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5"/>
        <w:tblW w:w="8720"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454"/>
        <w:gridCol w:w="1453"/>
        <w:gridCol w:w="1454"/>
        <w:gridCol w:w="1453"/>
        <w:gridCol w:w="2906"/>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exact"/>
        </w:trPr>
        <w:tc>
          <w:tcPr>
            <w:tcW w:w="5814" w:type="dxa"/>
            <w:gridSpan w:val="4"/>
            <w:tcBorders>
              <w:right w:val="single" w:color="auto" w:sz="4" w:space="0"/>
            </w:tcBorders>
            <w:vAlign w:val="center"/>
          </w:tcPr>
          <w:p>
            <w:pPr>
              <w:pStyle w:val="47"/>
              <w:rPr>
                <w:rFonts w:cs="仿宋_GB2312"/>
              </w:rPr>
            </w:pPr>
            <w:r>
              <w:rPr>
                <w:rFonts w:hint="eastAsia" w:cs="仿宋_GB2312"/>
              </w:rPr>
              <w:t>文档名称：</w:t>
            </w:r>
          </w:p>
        </w:tc>
        <w:tc>
          <w:tcPr>
            <w:tcW w:w="2906" w:type="dxa"/>
            <w:tcBorders>
              <w:top w:val="single" w:color="auto" w:sz="4" w:space="0"/>
              <w:left w:val="single" w:color="auto" w:sz="4" w:space="0"/>
              <w:bottom w:val="nil"/>
            </w:tcBorders>
            <w:vAlign w:val="center"/>
          </w:tcPr>
          <w:p>
            <w:pPr>
              <w:pStyle w:val="47"/>
              <w:rPr>
                <w:rFonts w:cs="仿宋_GB2312"/>
              </w:rPr>
            </w:pPr>
            <w:r>
              <w:rPr>
                <w:rFonts w:hint="eastAsia" w:cs="仿宋_GB2312"/>
              </w:rPr>
              <w:t>文档编号：</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80" w:hRule="exact"/>
        </w:trPr>
        <w:tc>
          <w:tcPr>
            <w:tcW w:w="5814" w:type="dxa"/>
            <w:gridSpan w:val="4"/>
            <w:tcBorders>
              <w:bottom w:val="single" w:color="auto" w:sz="4" w:space="0"/>
              <w:right w:val="single" w:color="auto" w:sz="4" w:space="0"/>
            </w:tcBorders>
            <w:vAlign w:val="center"/>
          </w:tcPr>
          <w:p>
            <w:pPr>
              <w:pStyle w:val="53"/>
              <w:ind w:firstLine="562"/>
              <w:rPr>
                <w:rFonts w:ascii="黑体" w:hAnsi="黑体" w:cs="黑体"/>
              </w:rPr>
            </w:pPr>
            <w:r>
              <w:rPr>
                <w:rFonts w:hint="eastAsia" w:ascii="黑体" w:hAnsi="黑体" w:cs="黑体"/>
                <w:lang w:eastAsia="zh-TW"/>
              </w:rPr>
              <w:t>RTDS评估系统设计说明书</w:t>
            </w:r>
          </w:p>
        </w:tc>
        <w:tc>
          <w:tcPr>
            <w:tcW w:w="2906" w:type="dxa"/>
            <w:tcBorders>
              <w:top w:val="nil"/>
              <w:left w:val="single" w:color="auto" w:sz="4" w:space="0"/>
              <w:bottom w:val="single" w:color="auto" w:sz="4" w:space="0"/>
            </w:tcBorders>
            <w:vAlign w:val="center"/>
          </w:tcPr>
          <w:p>
            <w:pPr>
              <w:pStyle w:val="53"/>
              <w:rPr>
                <w:rFonts w:ascii="黑体" w:hAnsi="黑体" w:cs="黑体"/>
              </w:rPr>
            </w:pPr>
            <w:r>
              <w:rPr>
                <w:rFonts w:hint="eastAsia" w:ascii="黑体" w:hAnsi="黑体" w:cs="黑体"/>
              </w:rPr>
              <w:t>RD-DEV-</w:t>
            </w:r>
            <w:r>
              <w:rPr>
                <w:rFonts w:ascii="黑体" w:hAnsi="黑体" w:cs="黑体"/>
              </w:rPr>
              <w:t>01</w:t>
            </w:r>
            <w:r>
              <w:rPr>
                <w:rFonts w:hint="eastAsia" w:ascii="黑体" w:hAnsi="黑体" w:cs="黑体"/>
              </w:rPr>
              <w:t>.0</w:t>
            </w:r>
            <w:r>
              <w:rPr>
                <w:rFonts w:ascii="黑体" w:hAnsi="黑体" w:cs="黑体"/>
              </w:rPr>
              <w:t>4</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exact"/>
        </w:trPr>
        <w:tc>
          <w:tcPr>
            <w:tcW w:w="1454" w:type="dxa"/>
            <w:tcBorders>
              <w:top w:val="single" w:color="auto" w:sz="4" w:space="0"/>
              <w:bottom w:val="single" w:color="auto" w:sz="4" w:space="0"/>
              <w:right w:val="single" w:color="auto" w:sz="4" w:space="0"/>
            </w:tcBorders>
            <w:vAlign w:val="center"/>
          </w:tcPr>
          <w:p>
            <w:pPr>
              <w:pStyle w:val="47"/>
              <w:jc w:val="center"/>
              <w:rPr>
                <w:rFonts w:cs="仿宋_GB2312"/>
              </w:rPr>
            </w:pPr>
            <w:r>
              <w:rPr>
                <w:rFonts w:hint="eastAsia" w:cs="仿宋_GB2312"/>
              </w:rPr>
              <w:t>编  写</w:t>
            </w:r>
          </w:p>
        </w:tc>
        <w:tc>
          <w:tcPr>
            <w:tcW w:w="1453" w:type="dxa"/>
            <w:tcBorders>
              <w:top w:val="single" w:color="auto" w:sz="4" w:space="0"/>
              <w:left w:val="single" w:color="auto" w:sz="4" w:space="0"/>
              <w:bottom w:val="single" w:color="auto" w:sz="4" w:space="0"/>
              <w:right w:val="single" w:color="auto" w:sz="4" w:space="0"/>
            </w:tcBorders>
            <w:vAlign w:val="center"/>
          </w:tcPr>
          <w:p>
            <w:pPr>
              <w:pStyle w:val="53"/>
              <w:jc w:val="left"/>
              <w:rPr>
                <w:rFonts w:eastAsia="仿宋_GB2312" w:cs="仿宋_GB2312"/>
                <w:sz w:val="24"/>
                <w:szCs w:val="24"/>
              </w:rPr>
            </w:pPr>
          </w:p>
        </w:tc>
        <w:tc>
          <w:tcPr>
            <w:tcW w:w="1454" w:type="dxa"/>
            <w:tcBorders>
              <w:top w:val="single" w:color="auto" w:sz="4" w:space="0"/>
              <w:left w:val="single" w:color="auto" w:sz="4" w:space="0"/>
              <w:bottom w:val="single" w:color="auto" w:sz="4" w:space="0"/>
              <w:right w:val="single" w:color="auto" w:sz="4" w:space="0"/>
            </w:tcBorders>
            <w:vAlign w:val="center"/>
          </w:tcPr>
          <w:p>
            <w:pPr>
              <w:pStyle w:val="47"/>
              <w:jc w:val="center"/>
              <w:rPr>
                <w:rFonts w:cs="仿宋_GB2312"/>
              </w:rPr>
            </w:pPr>
            <w:r>
              <w:rPr>
                <w:rFonts w:hint="eastAsia" w:cs="仿宋_GB2312"/>
              </w:rPr>
              <w:t>日  期</w:t>
            </w:r>
          </w:p>
        </w:tc>
        <w:tc>
          <w:tcPr>
            <w:tcW w:w="1453" w:type="dxa"/>
            <w:tcBorders>
              <w:top w:val="single" w:color="auto" w:sz="4" w:space="0"/>
              <w:left w:val="single" w:color="auto" w:sz="4" w:space="0"/>
              <w:bottom w:val="single" w:color="auto" w:sz="4" w:space="0"/>
              <w:right w:val="single" w:color="auto" w:sz="4" w:space="0"/>
            </w:tcBorders>
            <w:vAlign w:val="center"/>
          </w:tcPr>
          <w:p>
            <w:pPr>
              <w:pStyle w:val="53"/>
              <w:ind w:firstLine="34"/>
              <w:rPr>
                <w:rFonts w:eastAsia="仿宋_GB2312" w:cs="仿宋_GB2312"/>
                <w:sz w:val="24"/>
                <w:szCs w:val="24"/>
              </w:rPr>
            </w:pPr>
            <w:r>
              <w:rPr>
                <w:rFonts w:hint="eastAsia" w:hAnsi="Calibri" w:eastAsia="仿宋_GB2312"/>
                <w:b w:val="0"/>
                <w:bCs w:val="0"/>
                <w:sz w:val="22"/>
                <w:szCs w:val="22"/>
              </w:rPr>
              <w:t>2026-9-16</w:t>
            </w:r>
          </w:p>
        </w:tc>
        <w:tc>
          <w:tcPr>
            <w:tcW w:w="2906" w:type="dxa"/>
            <w:tcBorders>
              <w:top w:val="single" w:color="auto" w:sz="4" w:space="0"/>
              <w:left w:val="single" w:color="auto" w:sz="4" w:space="0"/>
              <w:bottom w:val="single" w:color="auto" w:sz="4" w:space="0"/>
            </w:tcBorders>
            <w:vAlign w:val="center"/>
          </w:tcPr>
          <w:p>
            <w:pPr>
              <w:pStyle w:val="47"/>
              <w:rPr>
                <w:rFonts w:cs="仿宋_GB2312"/>
              </w:rPr>
            </w:pPr>
            <w:r>
              <w:rPr>
                <w:rFonts w:hint="eastAsia" w:cs="仿宋_GB2312"/>
              </w:rPr>
              <w:t>文档类型：设计文档</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exact"/>
        </w:trPr>
        <w:tc>
          <w:tcPr>
            <w:tcW w:w="1454" w:type="dxa"/>
            <w:tcBorders>
              <w:top w:val="single" w:color="auto" w:sz="4" w:space="0"/>
              <w:bottom w:val="single" w:color="auto" w:sz="4" w:space="0"/>
              <w:right w:val="single" w:color="auto" w:sz="4" w:space="0"/>
            </w:tcBorders>
            <w:vAlign w:val="center"/>
          </w:tcPr>
          <w:p>
            <w:pPr>
              <w:pStyle w:val="47"/>
              <w:jc w:val="center"/>
              <w:rPr>
                <w:rFonts w:cs="仿宋_GB2312"/>
              </w:rPr>
            </w:pPr>
            <w:r>
              <w:rPr>
                <w:rFonts w:hint="eastAsia" w:cs="仿宋_GB2312"/>
              </w:rPr>
              <w:t>审  核</w:t>
            </w:r>
          </w:p>
        </w:tc>
        <w:tc>
          <w:tcPr>
            <w:tcW w:w="1453" w:type="dxa"/>
            <w:tcBorders>
              <w:top w:val="single" w:color="auto" w:sz="4" w:space="0"/>
              <w:left w:val="single" w:color="auto" w:sz="4" w:space="0"/>
              <w:bottom w:val="single" w:color="auto" w:sz="4" w:space="0"/>
              <w:right w:val="single" w:color="auto" w:sz="4" w:space="0"/>
            </w:tcBorders>
            <w:vAlign w:val="center"/>
          </w:tcPr>
          <w:p>
            <w:pPr>
              <w:pStyle w:val="53"/>
              <w:jc w:val="left"/>
              <w:rPr>
                <w:rFonts w:eastAsia="仿宋_GB2312" w:cs="仿宋_GB2312"/>
                <w:sz w:val="24"/>
                <w:szCs w:val="24"/>
              </w:rPr>
            </w:pPr>
          </w:p>
        </w:tc>
        <w:tc>
          <w:tcPr>
            <w:tcW w:w="1454" w:type="dxa"/>
            <w:tcBorders>
              <w:top w:val="single" w:color="auto" w:sz="4" w:space="0"/>
              <w:left w:val="single" w:color="auto" w:sz="4" w:space="0"/>
              <w:bottom w:val="single" w:color="auto" w:sz="4" w:space="0"/>
              <w:right w:val="single" w:color="auto" w:sz="4" w:space="0"/>
            </w:tcBorders>
            <w:vAlign w:val="center"/>
          </w:tcPr>
          <w:p>
            <w:pPr>
              <w:pStyle w:val="47"/>
              <w:jc w:val="center"/>
              <w:rPr>
                <w:rFonts w:cs="仿宋_GB2312"/>
              </w:rPr>
            </w:pPr>
            <w:r>
              <w:rPr>
                <w:rFonts w:hint="eastAsia" w:cs="仿宋_GB2312"/>
              </w:rPr>
              <w:t>日  期</w:t>
            </w:r>
          </w:p>
        </w:tc>
        <w:tc>
          <w:tcPr>
            <w:tcW w:w="1453" w:type="dxa"/>
            <w:tcBorders>
              <w:top w:val="single" w:color="auto" w:sz="4" w:space="0"/>
              <w:left w:val="single" w:color="auto" w:sz="4" w:space="0"/>
              <w:bottom w:val="single" w:color="auto" w:sz="4" w:space="0"/>
              <w:right w:val="single" w:color="auto" w:sz="4" w:space="0"/>
            </w:tcBorders>
            <w:vAlign w:val="center"/>
          </w:tcPr>
          <w:p>
            <w:pPr>
              <w:pStyle w:val="53"/>
              <w:ind w:firstLine="34"/>
              <w:rPr>
                <w:rFonts w:eastAsia="仿宋_GB2312" w:cs="仿宋_GB2312"/>
                <w:sz w:val="24"/>
                <w:szCs w:val="24"/>
              </w:rPr>
            </w:pPr>
            <w:r>
              <w:rPr>
                <w:rFonts w:hint="eastAsia" w:hAnsi="Calibri" w:eastAsia="仿宋_GB2312"/>
                <w:b w:val="0"/>
                <w:bCs w:val="0"/>
                <w:sz w:val="22"/>
                <w:szCs w:val="22"/>
              </w:rPr>
              <w:t>2026-9-16</w:t>
            </w:r>
          </w:p>
        </w:tc>
        <w:tc>
          <w:tcPr>
            <w:tcW w:w="2906" w:type="dxa"/>
            <w:tcBorders>
              <w:top w:val="single" w:color="auto" w:sz="4" w:space="0"/>
              <w:left w:val="single" w:color="auto" w:sz="4" w:space="0"/>
              <w:bottom w:val="single" w:color="auto" w:sz="4" w:space="0"/>
            </w:tcBorders>
            <w:vAlign w:val="center"/>
          </w:tcPr>
          <w:p>
            <w:pPr>
              <w:pStyle w:val="47"/>
              <w:rPr>
                <w:rFonts w:cs="仿宋_GB2312"/>
              </w:rPr>
            </w:pPr>
            <w:r>
              <w:rPr>
                <w:rFonts w:hint="eastAsia" w:cs="仿宋_GB2312"/>
              </w:rPr>
              <w:t>文档版本：V1.01</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exact"/>
        </w:trPr>
        <w:tc>
          <w:tcPr>
            <w:tcW w:w="1454" w:type="dxa"/>
            <w:tcBorders>
              <w:top w:val="single" w:color="auto" w:sz="4" w:space="0"/>
              <w:bottom w:val="single" w:color="auto" w:sz="4" w:space="0"/>
              <w:right w:val="single" w:color="auto" w:sz="4" w:space="0"/>
            </w:tcBorders>
            <w:vAlign w:val="center"/>
          </w:tcPr>
          <w:p>
            <w:pPr>
              <w:pStyle w:val="47"/>
              <w:jc w:val="center"/>
              <w:rPr>
                <w:rFonts w:cs="仿宋_GB2312"/>
              </w:rPr>
            </w:pPr>
            <w:r>
              <w:rPr>
                <w:rFonts w:hint="eastAsia" w:cs="仿宋_GB2312"/>
              </w:rPr>
              <w:t>批  准</w:t>
            </w:r>
          </w:p>
        </w:tc>
        <w:tc>
          <w:tcPr>
            <w:tcW w:w="1453" w:type="dxa"/>
            <w:tcBorders>
              <w:top w:val="single" w:color="auto" w:sz="4" w:space="0"/>
              <w:left w:val="single" w:color="auto" w:sz="4" w:space="0"/>
              <w:bottom w:val="single" w:color="auto" w:sz="4" w:space="0"/>
              <w:right w:val="single" w:color="auto" w:sz="4" w:space="0"/>
            </w:tcBorders>
            <w:vAlign w:val="center"/>
          </w:tcPr>
          <w:p>
            <w:pPr>
              <w:pStyle w:val="53"/>
              <w:jc w:val="left"/>
              <w:rPr>
                <w:rFonts w:eastAsia="仿宋_GB2312" w:cs="仿宋_GB2312"/>
                <w:sz w:val="24"/>
                <w:szCs w:val="24"/>
              </w:rPr>
            </w:pPr>
          </w:p>
        </w:tc>
        <w:tc>
          <w:tcPr>
            <w:tcW w:w="1454" w:type="dxa"/>
            <w:tcBorders>
              <w:top w:val="single" w:color="auto" w:sz="4" w:space="0"/>
              <w:left w:val="single" w:color="auto" w:sz="4" w:space="0"/>
              <w:bottom w:val="single" w:color="auto" w:sz="4" w:space="0"/>
              <w:right w:val="single" w:color="auto" w:sz="4" w:space="0"/>
            </w:tcBorders>
            <w:vAlign w:val="center"/>
          </w:tcPr>
          <w:p>
            <w:pPr>
              <w:pStyle w:val="47"/>
              <w:jc w:val="center"/>
              <w:rPr>
                <w:rFonts w:cs="仿宋_GB2312"/>
              </w:rPr>
            </w:pPr>
            <w:r>
              <w:rPr>
                <w:rFonts w:hint="eastAsia" w:cs="仿宋_GB2312"/>
              </w:rPr>
              <w:t>日  期</w:t>
            </w:r>
          </w:p>
        </w:tc>
        <w:tc>
          <w:tcPr>
            <w:tcW w:w="1453" w:type="dxa"/>
            <w:tcBorders>
              <w:top w:val="single" w:color="auto" w:sz="4" w:space="0"/>
              <w:left w:val="single" w:color="auto" w:sz="4" w:space="0"/>
              <w:bottom w:val="single" w:color="auto" w:sz="4" w:space="0"/>
              <w:right w:val="single" w:color="auto" w:sz="4" w:space="0"/>
            </w:tcBorders>
            <w:vAlign w:val="center"/>
          </w:tcPr>
          <w:p>
            <w:pPr>
              <w:pStyle w:val="53"/>
              <w:ind w:firstLine="34"/>
              <w:rPr>
                <w:rFonts w:eastAsia="仿宋_GB2312" w:cs="仿宋_GB2312"/>
                <w:sz w:val="24"/>
                <w:szCs w:val="24"/>
              </w:rPr>
            </w:pPr>
            <w:r>
              <w:rPr>
                <w:rFonts w:hint="eastAsia" w:hAnsi="Calibri" w:eastAsia="仿宋_GB2312"/>
                <w:b w:val="0"/>
                <w:bCs w:val="0"/>
                <w:sz w:val="22"/>
                <w:szCs w:val="22"/>
              </w:rPr>
              <w:t>2026-9-16</w:t>
            </w:r>
          </w:p>
        </w:tc>
        <w:tc>
          <w:tcPr>
            <w:tcW w:w="2906" w:type="dxa"/>
            <w:tcBorders>
              <w:top w:val="single" w:color="auto" w:sz="4" w:space="0"/>
              <w:left w:val="single" w:color="auto" w:sz="4" w:space="0"/>
              <w:bottom w:val="single" w:color="auto" w:sz="4" w:space="0"/>
            </w:tcBorders>
            <w:vAlign w:val="center"/>
          </w:tcPr>
          <w:p>
            <w:pPr>
              <w:pStyle w:val="47"/>
              <w:rPr>
                <w:rFonts w:cs="仿宋_GB2312"/>
              </w:rPr>
            </w:pPr>
          </w:p>
        </w:tc>
      </w:tr>
    </w:tbl>
    <w:p>
      <w:pPr>
        <w:pStyle w:val="6"/>
        <w:ind w:firstLine="480"/>
      </w:pPr>
    </w:p>
    <w:p>
      <w:pPr>
        <w:pStyle w:val="30"/>
      </w:pPr>
      <w:r>
        <w:rPr>
          <w:rFonts w:hint="eastAsia"/>
        </w:rPr>
        <w:t>摘 要：</w:t>
      </w:r>
    </w:p>
    <w:p>
      <w:pPr>
        <w:pStyle w:val="37"/>
        <w:spacing w:line="300" w:lineRule="auto"/>
        <w:rPr>
          <w:rFonts w:ascii="Times New Roman"/>
          <w:sz w:val="21"/>
        </w:rPr>
      </w:pPr>
      <w:r>
        <w:rPr>
          <w:rFonts w:hint="eastAsia"/>
        </w:rPr>
        <w:t>本文档为RTDS评估系统设计说明书，规定RTDS验证装置的总体设计方案、系统架构、数据流与时序、接口协议（含后台机与管理板之间的TCP网络通讯协议）及可靠性设计要求，给出管理板（RK3588）、主处理板（FPGA）、辅助板（FPGA）与后台机软件的模块划分、模块设计、模块间接口与工作规划，作为装置软件与FPGA逻辑开发、集成联调、测试验收与运行维护的统一依据。</w:t>
      </w:r>
    </w:p>
    <w:p>
      <w:pPr>
        <w:pStyle w:val="37"/>
      </w:pPr>
    </w:p>
    <w:p>
      <w:pPr>
        <w:pStyle w:val="37"/>
      </w:pPr>
    </w:p>
    <w:p>
      <w:pPr>
        <w:pStyle w:val="37"/>
      </w:pPr>
    </w:p>
    <w:p>
      <w:pPr>
        <w:pStyle w:val="57"/>
        <w:spacing w:line="300" w:lineRule="auto"/>
      </w:pPr>
      <w:r>
        <w:rPr>
          <w:rFonts w:hint="eastAsia"/>
        </w:rPr>
        <w:t>版本及修订说明：</w:t>
      </w:r>
    </w:p>
    <w:tbl>
      <w:tblPr>
        <w:tblStyle w:val="25"/>
        <w:tblpPr w:leftFromText="180" w:rightFromText="180" w:vertAnchor="text" w:horzAnchor="margin" w:tblpXSpec="center" w:tblpY="183"/>
        <w:tblW w:w="8720"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417"/>
        <w:gridCol w:w="1114"/>
        <w:gridCol w:w="4665"/>
        <w:gridCol w:w="1524"/>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417" w:type="dxa"/>
            <w:vAlign w:val="center"/>
          </w:tcPr>
          <w:p>
            <w:pPr>
              <w:pStyle w:val="54"/>
              <w:framePr w:hSpace="0" w:wrap="auto" w:vAnchor="margin" w:hAnchor="text" w:yAlign="inline"/>
            </w:pPr>
            <w:r>
              <w:rPr>
                <w:rFonts w:hint="eastAsia"/>
              </w:rPr>
              <w:t>日  期</w:t>
            </w:r>
          </w:p>
        </w:tc>
        <w:tc>
          <w:tcPr>
            <w:tcW w:w="1114" w:type="dxa"/>
            <w:vAlign w:val="center"/>
          </w:tcPr>
          <w:p>
            <w:pPr>
              <w:pStyle w:val="54"/>
              <w:framePr w:hSpace="0" w:wrap="auto" w:vAnchor="margin" w:hAnchor="text" w:yAlign="inline"/>
            </w:pPr>
            <w:r>
              <w:rPr>
                <w:rFonts w:hint="eastAsia"/>
              </w:rPr>
              <w:t>版 本</w:t>
            </w:r>
          </w:p>
        </w:tc>
        <w:tc>
          <w:tcPr>
            <w:tcW w:w="4665" w:type="dxa"/>
            <w:vAlign w:val="center"/>
          </w:tcPr>
          <w:p>
            <w:pPr>
              <w:pStyle w:val="54"/>
              <w:framePr w:hSpace="0" w:wrap="auto" w:vAnchor="margin" w:hAnchor="text" w:yAlign="inline"/>
            </w:pPr>
            <w:r>
              <w:rPr>
                <w:rFonts w:hint="eastAsia"/>
              </w:rPr>
              <w:t>描    述</w:t>
            </w:r>
          </w:p>
        </w:tc>
        <w:tc>
          <w:tcPr>
            <w:tcW w:w="1524" w:type="dxa"/>
            <w:vAlign w:val="center"/>
          </w:tcPr>
          <w:p>
            <w:pPr>
              <w:pStyle w:val="54"/>
              <w:framePr w:hSpace="0" w:wrap="auto" w:vAnchor="margin" w:hAnchor="text" w:yAlign="inline"/>
            </w:pPr>
            <w:r>
              <w:rPr>
                <w:rFonts w:hint="eastAsia"/>
              </w:rPr>
              <w:t>更改人员</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417" w:type="dxa"/>
            <w:vAlign w:val="center"/>
          </w:tcPr>
          <w:p>
            <w:pPr>
              <w:pStyle w:val="53"/>
              <w:ind w:firstLine="34"/>
              <w:rPr>
                <w:rFonts w:eastAsia="仿宋_GB2312" w:cs="仿宋_GB2312"/>
                <w:sz w:val="24"/>
                <w:szCs w:val="24"/>
              </w:rPr>
            </w:pPr>
            <w:r>
              <w:rPr>
                <w:rFonts w:hint="eastAsia" w:hAnsi="Calibri" w:eastAsia="仿宋_GB2312"/>
                <w:b w:val="0"/>
                <w:bCs w:val="0"/>
                <w:sz w:val="22"/>
                <w:szCs w:val="22"/>
              </w:rPr>
              <w:t>2026-9-16</w:t>
            </w:r>
          </w:p>
        </w:tc>
        <w:tc>
          <w:tcPr>
            <w:tcW w:w="1114" w:type="dxa"/>
            <w:vAlign w:val="center"/>
          </w:tcPr>
          <w:p>
            <w:pPr>
              <w:jc w:val="center"/>
              <w:rPr>
                <w:rFonts w:ascii="宋体" w:hAnsi="宋体"/>
              </w:rPr>
            </w:pPr>
            <w:r>
              <w:rPr>
                <w:rFonts w:hint="eastAsia" w:hAnsi="宋体"/>
              </w:rPr>
              <w:t>1.00</w:t>
            </w:r>
          </w:p>
        </w:tc>
        <w:tc>
          <w:tcPr>
            <w:tcW w:w="4665" w:type="dxa"/>
            <w:vAlign w:val="center"/>
          </w:tcPr>
          <w:p>
            <w:pPr>
              <w:rPr>
                <w:rFonts w:ascii="宋体" w:hAnsi="宋体" w:eastAsia="宋体"/>
              </w:rPr>
            </w:pPr>
            <w:r>
              <w:rPr>
                <w:rFonts w:hint="eastAsia" w:hAnsi="宋体" w:eastAsia="宋体"/>
              </w:rPr>
              <w:t>首版发布</w:t>
            </w:r>
          </w:p>
        </w:tc>
        <w:tc>
          <w:tcPr>
            <w:tcW w:w="1524" w:type="dxa"/>
            <w:vAlign w:val="center"/>
          </w:tcPr>
          <w:p>
            <w:pPr>
              <w:jc w:val="center"/>
              <w:rPr>
                <w:rFonts w:ascii="宋体" w:hAnsi="宋体" w:eastAsia="宋体"/>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417" w:type="dxa"/>
            <w:vAlign w:val="center"/>
          </w:tcPr>
          <w:p>
            <w:pPr>
              <w:pStyle w:val="43"/>
              <w:framePr w:hSpace="0" w:wrap="auto" w:vAnchor="margin" w:hAnchor="text" w:yAlign="inline"/>
              <w:ind w:firstLine="34"/>
              <w:rPr>
                <w:rFonts w:cs="仿宋_GB2312"/>
                <w:szCs w:val="24"/>
              </w:rPr>
            </w:pPr>
            <w:r>
              <w:t>2026-9-23</w:t>
            </w:r>
          </w:p>
        </w:tc>
        <w:tc>
          <w:tcPr>
            <w:tcW w:w="1114" w:type="dxa"/>
            <w:vAlign w:val="center"/>
          </w:tcPr>
          <w:p>
            <w:pPr>
              <w:pStyle w:val="43"/>
              <w:framePr w:hSpace="0" w:wrap="auto" w:vAnchor="margin" w:hAnchor="text" w:yAlign="inline"/>
              <w:rPr>
                <w:rFonts w:ascii="宋体" w:hAnsi="宋体" w:eastAsia="宋体"/>
              </w:rPr>
            </w:pPr>
            <w:r>
              <w:t>1.01</w:t>
            </w:r>
          </w:p>
        </w:tc>
        <w:tc>
          <w:tcPr>
            <w:tcW w:w="4665" w:type="dxa"/>
            <w:vAlign w:val="center"/>
          </w:tcPr>
          <w:p>
            <w:pPr>
              <w:pStyle w:val="43"/>
              <w:framePr w:hSpace="0" w:wrap="auto" w:vAnchor="margin" w:hAnchor="text" w:yAlign="inline"/>
              <w:rPr>
                <w:rFonts w:ascii="宋体" w:hAnsi="宋体" w:eastAsia="宋体"/>
              </w:rPr>
            </w:pPr>
            <w:r>
              <w:t>主处理板本地缓存方式由乒乓数据块A/B切换调整为当前值缓存（DDR保持最近一次应用数据），同步修订工作原理、设计原则与约束、数据流、可靠性、PCIE接口与术语等相关表述</w:t>
            </w:r>
          </w:p>
        </w:tc>
        <w:tc>
          <w:tcPr>
            <w:tcW w:w="1524" w:type="dxa"/>
            <w:vAlign w:val="center"/>
          </w:tcPr>
          <w:p>
            <w:pPr>
              <w:pStyle w:val="43"/>
              <w:framePr w:hSpace="0" w:wrap="auto" w:vAnchor="margin" w:hAnchor="text" w:yAlign="inline"/>
              <w:rPr>
                <w:rFonts w:ascii="宋体" w:hAnsi="宋体" w:eastAsia="宋体"/>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417" w:type="dxa"/>
            <w:vAlign w:val="center"/>
          </w:tcPr>
          <w:p>
            <w:pPr>
              <w:rPr>
                <w:rFonts w:ascii="宋体" w:hAnsi="宋体" w:eastAsia="宋体"/>
              </w:rPr>
            </w:pPr>
          </w:p>
        </w:tc>
        <w:tc>
          <w:tcPr>
            <w:tcW w:w="1114" w:type="dxa"/>
            <w:vAlign w:val="center"/>
          </w:tcPr>
          <w:p>
            <w:pPr>
              <w:rPr>
                <w:rFonts w:ascii="宋体" w:hAnsi="宋体" w:eastAsia="宋体"/>
              </w:rPr>
            </w:pPr>
          </w:p>
        </w:tc>
        <w:tc>
          <w:tcPr>
            <w:tcW w:w="4665" w:type="dxa"/>
            <w:vAlign w:val="center"/>
          </w:tcPr>
          <w:p>
            <w:pPr>
              <w:jc w:val="left"/>
              <w:rPr>
                <w:rFonts w:ascii="宋体" w:hAnsi="宋体" w:eastAsia="宋体"/>
              </w:rPr>
            </w:pPr>
            <w:bookmarkStart w:id="22" w:name="_GoBack"/>
            <w:bookmarkEnd w:id="22"/>
          </w:p>
        </w:tc>
        <w:tc>
          <w:tcPr>
            <w:tcW w:w="1524" w:type="dxa"/>
            <w:vAlign w:val="center"/>
          </w:tcPr>
          <w:p>
            <w:pPr>
              <w:rPr>
                <w:rFonts w:ascii="宋体" w:hAnsi="宋体" w:eastAsia="宋体"/>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417" w:type="dxa"/>
            <w:vAlign w:val="center"/>
          </w:tcPr>
          <w:p>
            <w:pPr>
              <w:rPr>
                <w:rFonts w:ascii="宋体" w:hAnsi="宋体" w:eastAsia="宋体"/>
              </w:rPr>
            </w:pPr>
          </w:p>
        </w:tc>
        <w:tc>
          <w:tcPr>
            <w:tcW w:w="1114" w:type="dxa"/>
            <w:vAlign w:val="center"/>
          </w:tcPr>
          <w:p>
            <w:pPr>
              <w:rPr>
                <w:rFonts w:ascii="宋体" w:hAnsi="宋体" w:eastAsia="宋体"/>
              </w:rPr>
            </w:pPr>
          </w:p>
        </w:tc>
        <w:tc>
          <w:tcPr>
            <w:tcW w:w="4665" w:type="dxa"/>
            <w:vAlign w:val="center"/>
          </w:tcPr>
          <w:p>
            <w:pPr>
              <w:jc w:val="left"/>
              <w:rPr>
                <w:rFonts w:ascii="宋体" w:hAnsi="宋体" w:eastAsia="宋体"/>
              </w:rPr>
            </w:pPr>
          </w:p>
        </w:tc>
        <w:tc>
          <w:tcPr>
            <w:tcW w:w="1524" w:type="dxa"/>
            <w:vAlign w:val="center"/>
          </w:tcPr>
          <w:p>
            <w:pPr>
              <w:rPr>
                <w:rFonts w:ascii="宋体" w:hAnsi="宋体" w:eastAsia="宋体"/>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417" w:type="dxa"/>
            <w:vAlign w:val="center"/>
          </w:tcPr>
          <w:p>
            <w:pPr>
              <w:rPr>
                <w:rFonts w:ascii="宋体" w:hAnsi="宋体" w:eastAsia="宋体"/>
              </w:rPr>
            </w:pPr>
          </w:p>
        </w:tc>
        <w:tc>
          <w:tcPr>
            <w:tcW w:w="1114" w:type="dxa"/>
            <w:vAlign w:val="center"/>
          </w:tcPr>
          <w:p>
            <w:pPr>
              <w:rPr>
                <w:rFonts w:ascii="宋体" w:hAnsi="宋体" w:eastAsia="宋体"/>
              </w:rPr>
            </w:pPr>
          </w:p>
        </w:tc>
        <w:tc>
          <w:tcPr>
            <w:tcW w:w="4665" w:type="dxa"/>
            <w:vAlign w:val="center"/>
          </w:tcPr>
          <w:p>
            <w:pPr>
              <w:jc w:val="left"/>
              <w:rPr>
                <w:rFonts w:ascii="宋体" w:hAnsi="宋体" w:eastAsia="宋体"/>
              </w:rPr>
            </w:pPr>
          </w:p>
        </w:tc>
        <w:tc>
          <w:tcPr>
            <w:tcW w:w="1524" w:type="dxa"/>
            <w:vAlign w:val="center"/>
          </w:tcPr>
          <w:p>
            <w:pPr>
              <w:rPr>
                <w:rFonts w:ascii="宋体" w:hAnsi="宋体" w:eastAsia="宋体"/>
              </w:rPr>
            </w:pPr>
          </w:p>
        </w:tc>
      </w:tr>
    </w:tbl>
    <w:p>
      <w:pPr>
        <w:widowControl/>
        <w:spacing w:line="240" w:lineRule="auto"/>
        <w:jc w:val="left"/>
        <w:sectPr>
          <w:headerReference r:id="rId5" w:type="first"/>
          <w:footerReference r:id="rId6" w:type="default"/>
          <w:pgSz w:w="11906" w:h="16838"/>
          <w:pgMar w:top="1134" w:right="1701" w:bottom="1134" w:left="1701" w:header="851" w:footer="992" w:gutter="0"/>
          <w:pgNumType w:fmt="upperRoman" w:start="1"/>
          <w:cols w:space="720" w:num="1"/>
          <w:titlePg/>
          <w:docGrid w:type="lines" w:linePitch="326" w:charSpace="0"/>
        </w:sectPr>
      </w:pPr>
      <w:r>
        <w:rPr>
          <w:rFonts w:hint="eastAsia"/>
        </w:rPr>
        <w:br w:type="page"/>
      </w:r>
    </w:p>
    <w:p>
      <w:pPr>
        <w:pStyle w:val="58"/>
      </w:pPr>
      <w:r>
        <w:rPr>
          <w:rFonts w:hint="eastAsia"/>
        </w:rPr>
        <w:t>目   录</w:t>
      </w:r>
    </w:p>
    <w:p>
      <w:pPr>
        <w:pStyle w:val="18"/>
        <w:tabs>
          <w:tab w:val="right" w:leader="dot" w:pos="8504"/>
          <w:tab w:val="clear" w:pos="426"/>
          <w:tab w:val="clear" w:pos="8494"/>
        </w:tabs>
      </w:pPr>
      <w:r>
        <w:fldChar w:fldCharType="begin"/>
      </w:r>
      <w:r>
        <w:instrText xml:space="preserve"> TOC \o "1-2" \h \z \u </w:instrText>
      </w:r>
      <w:r>
        <w:fldChar w:fldCharType="separate"/>
      </w:r>
      <w:r>
        <w:fldChar w:fldCharType="begin"/>
      </w:r>
      <w:r>
        <w:instrText xml:space="preserve"> HYPERLINK \l "_Toc28459" </w:instrText>
      </w:r>
      <w:r>
        <w:fldChar w:fldCharType="separate"/>
      </w:r>
      <w:r>
        <w:rPr>
          <w:rFonts w:hint="eastAsia"/>
        </w:rPr>
        <w:t>1. 概述</w:t>
      </w:r>
      <w:r>
        <w:tab/>
      </w:r>
      <w:r>
        <w:fldChar w:fldCharType="begin"/>
      </w:r>
      <w:r>
        <w:instrText xml:space="preserve"> PAGEREF _Toc28459 \h </w:instrText>
      </w:r>
      <w:r>
        <w:fldChar w:fldCharType="separate"/>
      </w:r>
      <w:r>
        <w:t>2</w:t>
      </w:r>
      <w:r>
        <w:fldChar w:fldCharType="end"/>
      </w:r>
      <w:r>
        <w:fldChar w:fldCharType="end"/>
      </w:r>
    </w:p>
    <w:p>
      <w:pPr>
        <w:pStyle w:val="21"/>
        <w:tabs>
          <w:tab w:val="right" w:leader="dot" w:pos="8504"/>
          <w:tab w:val="clear" w:pos="720"/>
          <w:tab w:val="clear" w:pos="8494"/>
        </w:tabs>
      </w:pPr>
      <w:r>
        <w:fldChar w:fldCharType="begin"/>
      </w:r>
      <w:r>
        <w:instrText xml:space="preserve"> HYPERLINK \l "_Toc8514" </w:instrText>
      </w:r>
      <w:r>
        <w:fldChar w:fldCharType="separate"/>
      </w:r>
      <w:r>
        <w:t xml:space="preserve">1.1 </w:t>
      </w:r>
      <w:r>
        <w:rPr>
          <w:rFonts w:hint="eastAsia"/>
        </w:rPr>
        <w:t>编写目的</w:t>
      </w:r>
      <w:r>
        <w:tab/>
      </w:r>
      <w:r>
        <w:fldChar w:fldCharType="begin"/>
      </w:r>
      <w:r>
        <w:instrText xml:space="preserve"> PAGEREF _Toc8514 \h </w:instrText>
      </w:r>
      <w:r>
        <w:fldChar w:fldCharType="separate"/>
      </w:r>
      <w:r>
        <w:t>2</w:t>
      </w:r>
      <w:r>
        <w:fldChar w:fldCharType="end"/>
      </w:r>
      <w:r>
        <w:fldChar w:fldCharType="end"/>
      </w:r>
    </w:p>
    <w:p>
      <w:pPr>
        <w:pStyle w:val="21"/>
        <w:tabs>
          <w:tab w:val="right" w:leader="dot" w:pos="8504"/>
          <w:tab w:val="clear" w:pos="720"/>
          <w:tab w:val="clear" w:pos="8494"/>
        </w:tabs>
      </w:pPr>
      <w:r>
        <w:fldChar w:fldCharType="begin"/>
      </w:r>
      <w:r>
        <w:instrText xml:space="preserve"> HYPERLINK \l "_Toc15671" </w:instrText>
      </w:r>
      <w:r>
        <w:fldChar w:fldCharType="separate"/>
      </w:r>
      <w:r>
        <w:t xml:space="preserve">1.2 </w:t>
      </w:r>
      <w:r>
        <w:rPr>
          <w:rFonts w:hint="eastAsia"/>
        </w:rPr>
        <w:t>适用范围</w:t>
      </w:r>
      <w:r>
        <w:tab/>
      </w:r>
      <w:r>
        <w:fldChar w:fldCharType="begin"/>
      </w:r>
      <w:r>
        <w:instrText xml:space="preserve"> PAGEREF _Toc15671 \h </w:instrText>
      </w:r>
      <w:r>
        <w:fldChar w:fldCharType="separate"/>
      </w:r>
      <w:r>
        <w:t>2</w:t>
      </w:r>
      <w:r>
        <w:fldChar w:fldCharType="end"/>
      </w:r>
      <w:r>
        <w:fldChar w:fldCharType="end"/>
      </w:r>
    </w:p>
    <w:p>
      <w:pPr>
        <w:pStyle w:val="21"/>
        <w:tabs>
          <w:tab w:val="right" w:leader="dot" w:pos="8504"/>
          <w:tab w:val="clear" w:pos="720"/>
          <w:tab w:val="clear" w:pos="8494"/>
        </w:tabs>
      </w:pPr>
      <w:r>
        <w:fldChar w:fldCharType="begin"/>
      </w:r>
      <w:r>
        <w:instrText xml:space="preserve"> HYPERLINK \l "_Toc986" </w:instrText>
      </w:r>
      <w:r>
        <w:fldChar w:fldCharType="separate"/>
      </w:r>
      <w:r>
        <w:t xml:space="preserve">1.3 </w:t>
      </w:r>
      <w:r>
        <w:rPr>
          <w:rFonts w:hint="eastAsia"/>
        </w:rPr>
        <w:t>术语、定义和缩略语</w:t>
      </w:r>
      <w:r>
        <w:tab/>
      </w:r>
      <w:r>
        <w:fldChar w:fldCharType="begin"/>
      </w:r>
      <w:r>
        <w:instrText xml:space="preserve"> PAGEREF _Toc986 \h </w:instrText>
      </w:r>
      <w:r>
        <w:fldChar w:fldCharType="separate"/>
      </w:r>
      <w:r>
        <w:t>2</w:t>
      </w:r>
      <w:r>
        <w:fldChar w:fldCharType="end"/>
      </w:r>
      <w:r>
        <w:fldChar w:fldCharType="end"/>
      </w:r>
    </w:p>
    <w:p>
      <w:pPr>
        <w:pStyle w:val="18"/>
        <w:tabs>
          <w:tab w:val="right" w:leader="dot" w:pos="8504"/>
          <w:tab w:val="clear" w:pos="426"/>
          <w:tab w:val="clear" w:pos="8494"/>
        </w:tabs>
      </w:pPr>
      <w:r>
        <w:fldChar w:fldCharType="begin"/>
      </w:r>
      <w:r>
        <w:instrText xml:space="preserve"> HYPERLINK \l "_Toc3296" </w:instrText>
      </w:r>
      <w:r>
        <w:fldChar w:fldCharType="separate"/>
      </w:r>
      <w:r>
        <w:rPr>
          <w:rFonts w:hint="eastAsia"/>
        </w:rPr>
        <w:t>2. 系统总体结构</w:t>
      </w:r>
      <w:r>
        <w:tab/>
      </w:r>
      <w:r>
        <w:fldChar w:fldCharType="begin"/>
      </w:r>
      <w:r>
        <w:instrText xml:space="preserve"> PAGEREF _Toc3296 \h </w:instrText>
      </w:r>
      <w:r>
        <w:fldChar w:fldCharType="separate"/>
      </w:r>
      <w:r>
        <w:t>4</w:t>
      </w:r>
      <w:r>
        <w:fldChar w:fldCharType="end"/>
      </w:r>
      <w:r>
        <w:fldChar w:fldCharType="end"/>
      </w:r>
    </w:p>
    <w:p>
      <w:pPr>
        <w:pStyle w:val="21"/>
        <w:tabs>
          <w:tab w:val="right" w:leader="dot" w:pos="8504"/>
          <w:tab w:val="clear" w:pos="720"/>
          <w:tab w:val="clear" w:pos="8494"/>
        </w:tabs>
      </w:pPr>
      <w:r>
        <w:fldChar w:fldCharType="begin"/>
      </w:r>
      <w:r>
        <w:instrText xml:space="preserve"> HYPERLINK \l "_Toc5551" </w:instrText>
      </w:r>
      <w:r>
        <w:fldChar w:fldCharType="separate"/>
      </w:r>
      <w:r>
        <w:t xml:space="preserve">2.1 </w:t>
      </w:r>
      <w:r>
        <w:rPr>
          <w:rFonts w:hint="eastAsia"/>
        </w:rPr>
        <w:t>装置组成</w:t>
      </w:r>
      <w:r>
        <w:rPr>
          <w:rFonts w:hint="eastAsia"/>
        </w:rPr>
        <w:tab/>
      </w:r>
      <w:r>
        <w:fldChar w:fldCharType="begin"/>
      </w:r>
      <w:r>
        <w:instrText xml:space="preserve"> PAGEREF _Toc5551 \h </w:instrText>
      </w:r>
      <w:r>
        <w:fldChar w:fldCharType="separate"/>
      </w:r>
      <w:r>
        <w:t>4</w:t>
      </w:r>
      <w:r>
        <w:fldChar w:fldCharType="end"/>
      </w:r>
      <w:r>
        <w:fldChar w:fldCharType="end"/>
      </w:r>
    </w:p>
    <w:p>
      <w:pPr>
        <w:pStyle w:val="21"/>
        <w:tabs>
          <w:tab w:val="right" w:leader="dot" w:pos="8504"/>
          <w:tab w:val="clear" w:pos="720"/>
          <w:tab w:val="clear" w:pos="8494"/>
        </w:tabs>
      </w:pPr>
      <w:r>
        <w:fldChar w:fldCharType="begin"/>
      </w:r>
      <w:r>
        <w:instrText xml:space="preserve"> HYPERLINK \l "_Toc8073" </w:instrText>
      </w:r>
      <w:r>
        <w:fldChar w:fldCharType="separate"/>
      </w:r>
      <w:r>
        <w:t xml:space="preserve">2.2 </w:t>
      </w:r>
      <w:r>
        <w:rPr>
          <w:rFonts w:hint="eastAsia"/>
        </w:rPr>
        <w:t>工作原理</w:t>
      </w:r>
      <w:r>
        <w:rPr>
          <w:rFonts w:hint="eastAsia"/>
        </w:rPr>
        <w:tab/>
      </w:r>
      <w:r>
        <w:fldChar w:fldCharType="begin"/>
      </w:r>
      <w:r>
        <w:instrText xml:space="preserve"> PAGEREF _Toc8073 \h </w:instrText>
      </w:r>
      <w:r>
        <w:fldChar w:fldCharType="separate"/>
      </w:r>
      <w:r>
        <w:t>5</w:t>
      </w:r>
      <w:r>
        <w:fldChar w:fldCharType="end"/>
      </w:r>
      <w:r>
        <w:fldChar w:fldCharType="end"/>
      </w:r>
    </w:p>
    <w:p>
      <w:pPr>
        <w:pStyle w:val="18"/>
        <w:tabs>
          <w:tab w:val="right" w:leader="dot" w:pos="8504"/>
          <w:tab w:val="clear" w:pos="426"/>
          <w:tab w:val="clear" w:pos="8494"/>
        </w:tabs>
      </w:pPr>
      <w:r>
        <w:fldChar w:fldCharType="begin"/>
      </w:r>
      <w:r>
        <w:instrText xml:space="preserve"> HYPERLINK \l "_Toc9561" </w:instrText>
      </w:r>
      <w:r>
        <w:fldChar w:fldCharType="separate"/>
      </w:r>
      <w:r>
        <w:rPr>
          <w:rFonts w:hint="eastAsia"/>
        </w:rPr>
        <w:t>3. 系统方案</w:t>
      </w:r>
      <w:r>
        <w:tab/>
      </w:r>
      <w:r>
        <w:fldChar w:fldCharType="begin"/>
      </w:r>
      <w:r>
        <w:instrText xml:space="preserve"> PAGEREF _Toc9561 \h </w:instrText>
      </w:r>
      <w:r>
        <w:fldChar w:fldCharType="separate"/>
      </w:r>
      <w:r>
        <w:t>6</w:t>
      </w:r>
      <w:r>
        <w:fldChar w:fldCharType="end"/>
      </w:r>
      <w:r>
        <w:fldChar w:fldCharType="end"/>
      </w:r>
    </w:p>
    <w:p>
      <w:pPr>
        <w:pStyle w:val="21"/>
        <w:tabs>
          <w:tab w:val="right" w:leader="dot" w:pos="8504"/>
          <w:tab w:val="clear" w:pos="720"/>
          <w:tab w:val="clear" w:pos="8494"/>
        </w:tabs>
      </w:pPr>
      <w:r>
        <w:fldChar w:fldCharType="begin"/>
      </w:r>
      <w:r>
        <w:instrText xml:space="preserve"> HYPERLINK \l "_Toc14657" </w:instrText>
      </w:r>
      <w:r>
        <w:fldChar w:fldCharType="separate"/>
      </w:r>
      <w:r>
        <w:t xml:space="preserve">3.1 </w:t>
      </w:r>
      <w:r>
        <w:rPr>
          <w:rFonts w:hint="eastAsia"/>
        </w:rPr>
        <w:t>设计原则与设计约束</w:t>
      </w:r>
      <w:r>
        <w:tab/>
      </w:r>
      <w:r>
        <w:fldChar w:fldCharType="begin"/>
      </w:r>
      <w:r>
        <w:instrText xml:space="preserve"> PAGEREF _Toc14657 \h </w:instrText>
      </w:r>
      <w:r>
        <w:fldChar w:fldCharType="separate"/>
      </w:r>
      <w:r>
        <w:t>6</w:t>
      </w:r>
      <w:r>
        <w:fldChar w:fldCharType="end"/>
      </w:r>
      <w:r>
        <w:fldChar w:fldCharType="end"/>
      </w:r>
    </w:p>
    <w:p>
      <w:pPr>
        <w:pStyle w:val="21"/>
        <w:tabs>
          <w:tab w:val="right" w:leader="dot" w:pos="8504"/>
          <w:tab w:val="clear" w:pos="720"/>
          <w:tab w:val="clear" w:pos="8494"/>
        </w:tabs>
      </w:pPr>
      <w:r>
        <w:fldChar w:fldCharType="begin"/>
      </w:r>
      <w:r>
        <w:instrText xml:space="preserve"> HYPERLINK \l "_Toc7983" </w:instrText>
      </w:r>
      <w:r>
        <w:fldChar w:fldCharType="separate"/>
      </w:r>
      <w:r>
        <w:t xml:space="preserve">3.2 </w:t>
      </w:r>
      <w:r>
        <w:rPr>
          <w:rFonts w:hint="eastAsia"/>
        </w:rPr>
        <w:t>功能分配与部署方案</w:t>
      </w:r>
      <w:r>
        <w:tab/>
      </w:r>
      <w:r>
        <w:fldChar w:fldCharType="begin"/>
      </w:r>
      <w:r>
        <w:instrText xml:space="preserve"> PAGEREF _Toc7983 \h </w:instrText>
      </w:r>
      <w:r>
        <w:fldChar w:fldCharType="separate"/>
      </w:r>
      <w:r>
        <w:t>7</w:t>
      </w:r>
      <w:r>
        <w:fldChar w:fldCharType="end"/>
      </w:r>
      <w:r>
        <w:fldChar w:fldCharType="end"/>
      </w:r>
    </w:p>
    <w:p>
      <w:pPr>
        <w:pStyle w:val="21"/>
        <w:tabs>
          <w:tab w:val="right" w:leader="dot" w:pos="8504"/>
          <w:tab w:val="clear" w:pos="720"/>
          <w:tab w:val="clear" w:pos="8494"/>
        </w:tabs>
      </w:pPr>
      <w:r>
        <w:fldChar w:fldCharType="begin"/>
      </w:r>
      <w:r>
        <w:instrText xml:space="preserve"> HYPERLINK \l "_Toc4962" </w:instrText>
      </w:r>
      <w:r>
        <w:fldChar w:fldCharType="separate"/>
      </w:r>
      <w:r>
        <w:t xml:space="preserve">3.3 </w:t>
      </w:r>
      <w:r>
        <w:rPr>
          <w:rFonts w:hint="eastAsia"/>
        </w:rPr>
        <w:t>数据流设计</w:t>
      </w:r>
      <w:r>
        <w:tab/>
      </w:r>
      <w:r>
        <w:fldChar w:fldCharType="begin"/>
      </w:r>
      <w:r>
        <w:instrText xml:space="preserve"> PAGEREF _Toc4962 \h </w:instrText>
      </w:r>
      <w:r>
        <w:fldChar w:fldCharType="separate"/>
      </w:r>
      <w:r>
        <w:t>7</w:t>
      </w:r>
      <w:r>
        <w:fldChar w:fldCharType="end"/>
      </w:r>
      <w:r>
        <w:fldChar w:fldCharType="end"/>
      </w:r>
    </w:p>
    <w:p>
      <w:pPr>
        <w:pStyle w:val="21"/>
        <w:tabs>
          <w:tab w:val="right" w:leader="dot" w:pos="8504"/>
          <w:tab w:val="clear" w:pos="720"/>
          <w:tab w:val="clear" w:pos="8494"/>
        </w:tabs>
      </w:pPr>
      <w:r>
        <w:fldChar w:fldCharType="begin"/>
      </w:r>
      <w:r>
        <w:instrText xml:space="preserve"> HYPERLINK \l "_Toc25600" </w:instrText>
      </w:r>
      <w:r>
        <w:fldChar w:fldCharType="separate"/>
      </w:r>
      <w:r>
        <w:t xml:space="preserve">3.4 </w:t>
      </w:r>
      <w:r>
        <w:rPr>
          <w:rFonts w:hint="eastAsia"/>
        </w:rPr>
        <w:t>时序设计</w:t>
      </w:r>
      <w:r>
        <w:tab/>
      </w:r>
      <w:r>
        <w:fldChar w:fldCharType="begin"/>
      </w:r>
      <w:r>
        <w:instrText xml:space="preserve"> PAGEREF _Toc25600 \h </w:instrText>
      </w:r>
      <w:r>
        <w:fldChar w:fldCharType="separate"/>
      </w:r>
      <w:r>
        <w:t>8</w:t>
      </w:r>
      <w:r>
        <w:fldChar w:fldCharType="end"/>
      </w:r>
      <w:r>
        <w:fldChar w:fldCharType="end"/>
      </w:r>
    </w:p>
    <w:p>
      <w:pPr>
        <w:pStyle w:val="21"/>
        <w:tabs>
          <w:tab w:val="right" w:leader="dot" w:pos="8504"/>
          <w:tab w:val="clear" w:pos="720"/>
          <w:tab w:val="clear" w:pos="8494"/>
        </w:tabs>
      </w:pPr>
      <w:r>
        <w:fldChar w:fldCharType="begin"/>
      </w:r>
      <w:r>
        <w:instrText xml:space="preserve"> HYPERLINK \l "_Toc19701" </w:instrText>
      </w:r>
      <w:r>
        <w:fldChar w:fldCharType="separate"/>
      </w:r>
      <w:r>
        <w:t xml:space="preserve">3.5 </w:t>
      </w:r>
      <w:r>
        <w:rPr>
          <w:rFonts w:hint="eastAsia"/>
        </w:rPr>
        <w:t>可靠性设计</w:t>
      </w:r>
      <w:r>
        <w:tab/>
      </w:r>
      <w:r>
        <w:fldChar w:fldCharType="begin"/>
      </w:r>
      <w:r>
        <w:instrText xml:space="preserve"> PAGEREF _Toc19701 \h </w:instrText>
      </w:r>
      <w:r>
        <w:fldChar w:fldCharType="separate"/>
      </w:r>
      <w:r>
        <w:t>10</w:t>
      </w:r>
      <w:r>
        <w:fldChar w:fldCharType="end"/>
      </w:r>
      <w:r>
        <w:fldChar w:fldCharType="end"/>
      </w:r>
    </w:p>
    <w:p>
      <w:pPr>
        <w:pStyle w:val="18"/>
        <w:tabs>
          <w:tab w:val="right" w:leader="dot" w:pos="8504"/>
          <w:tab w:val="clear" w:pos="426"/>
          <w:tab w:val="clear" w:pos="8494"/>
        </w:tabs>
      </w:pPr>
      <w:r>
        <w:fldChar w:fldCharType="begin"/>
      </w:r>
      <w:r>
        <w:instrText xml:space="preserve"> HYPERLINK \l "_Toc6746" </w:instrText>
      </w:r>
      <w:r>
        <w:fldChar w:fldCharType="separate"/>
      </w:r>
      <w:r>
        <w:rPr>
          <w:rFonts w:hint="eastAsia"/>
        </w:rPr>
        <w:t>4. 模块设计</w:t>
      </w:r>
      <w:r>
        <w:tab/>
      </w:r>
      <w:r>
        <w:fldChar w:fldCharType="begin"/>
      </w:r>
      <w:r>
        <w:instrText xml:space="preserve"> PAGEREF _Toc6746 \h </w:instrText>
      </w:r>
      <w:r>
        <w:fldChar w:fldCharType="separate"/>
      </w:r>
      <w:r>
        <w:t>10</w:t>
      </w:r>
      <w:r>
        <w:fldChar w:fldCharType="end"/>
      </w:r>
      <w:r>
        <w:fldChar w:fldCharType="end"/>
      </w:r>
    </w:p>
    <w:p>
      <w:pPr>
        <w:pStyle w:val="21"/>
        <w:tabs>
          <w:tab w:val="right" w:leader="dot" w:pos="8504"/>
          <w:tab w:val="clear" w:pos="720"/>
          <w:tab w:val="clear" w:pos="8494"/>
        </w:tabs>
      </w:pPr>
      <w:r>
        <w:fldChar w:fldCharType="begin"/>
      </w:r>
      <w:r>
        <w:instrText xml:space="preserve"> HYPERLINK \l "_Toc3918" </w:instrText>
      </w:r>
      <w:r>
        <w:fldChar w:fldCharType="separate"/>
      </w:r>
      <w:r>
        <w:t xml:space="preserve">4.1 </w:t>
      </w:r>
      <w:r>
        <w:rPr>
          <w:rFonts w:hint="eastAsia"/>
        </w:rPr>
        <w:t>管理板（RK3588）</w:t>
      </w:r>
      <w:r>
        <w:tab/>
      </w:r>
      <w:r>
        <w:fldChar w:fldCharType="begin"/>
      </w:r>
      <w:r>
        <w:instrText xml:space="preserve"> PAGEREF _Toc3918 \h </w:instrText>
      </w:r>
      <w:r>
        <w:fldChar w:fldCharType="separate"/>
      </w:r>
      <w:r>
        <w:t>10</w:t>
      </w:r>
      <w:r>
        <w:fldChar w:fldCharType="end"/>
      </w:r>
      <w:r>
        <w:fldChar w:fldCharType="end"/>
      </w:r>
    </w:p>
    <w:p>
      <w:pPr>
        <w:pStyle w:val="21"/>
        <w:tabs>
          <w:tab w:val="right" w:leader="dot" w:pos="8504"/>
          <w:tab w:val="clear" w:pos="720"/>
          <w:tab w:val="clear" w:pos="8494"/>
        </w:tabs>
      </w:pPr>
      <w:r>
        <w:fldChar w:fldCharType="begin"/>
      </w:r>
      <w:r>
        <w:instrText xml:space="preserve"> HYPERLINK \l "_Toc30523" </w:instrText>
      </w:r>
      <w:r>
        <w:fldChar w:fldCharType="separate"/>
      </w:r>
      <w:r>
        <w:t xml:space="preserve">4.2 </w:t>
      </w:r>
      <w:r>
        <w:rPr>
          <w:rFonts w:hint="eastAsia"/>
        </w:rPr>
        <w:t>主处理板</w:t>
      </w:r>
      <w:r>
        <w:tab/>
      </w:r>
      <w:r>
        <w:fldChar w:fldCharType="begin"/>
      </w:r>
      <w:r>
        <w:instrText xml:space="preserve"> PAGEREF _Toc30523 \h </w:instrText>
      </w:r>
      <w:r>
        <w:fldChar w:fldCharType="separate"/>
      </w:r>
      <w:r>
        <w:t>11</w:t>
      </w:r>
      <w:r>
        <w:fldChar w:fldCharType="end"/>
      </w:r>
      <w:r>
        <w:fldChar w:fldCharType="end"/>
      </w:r>
    </w:p>
    <w:p>
      <w:pPr>
        <w:pStyle w:val="21"/>
        <w:tabs>
          <w:tab w:val="right" w:leader="dot" w:pos="8504"/>
          <w:tab w:val="clear" w:pos="720"/>
          <w:tab w:val="clear" w:pos="8494"/>
        </w:tabs>
      </w:pPr>
      <w:r>
        <w:fldChar w:fldCharType="begin"/>
      </w:r>
      <w:r>
        <w:instrText xml:space="preserve"> HYPERLINK \l "_Toc4229" </w:instrText>
      </w:r>
      <w:r>
        <w:fldChar w:fldCharType="separate"/>
      </w:r>
      <w:r>
        <w:t xml:space="preserve">4.3 </w:t>
      </w:r>
      <w:r>
        <w:rPr>
          <w:rFonts w:hint="eastAsia"/>
        </w:rPr>
        <w:t>辅助板</w:t>
      </w:r>
      <w:r>
        <w:tab/>
      </w:r>
      <w:r>
        <w:fldChar w:fldCharType="begin"/>
      </w:r>
      <w:r>
        <w:instrText xml:space="preserve"> PAGEREF _Toc4229 \h </w:instrText>
      </w:r>
      <w:r>
        <w:fldChar w:fldCharType="separate"/>
      </w:r>
      <w:r>
        <w:t>12</w:t>
      </w:r>
      <w:r>
        <w:fldChar w:fldCharType="end"/>
      </w:r>
      <w:r>
        <w:fldChar w:fldCharType="end"/>
      </w:r>
    </w:p>
    <w:p>
      <w:pPr>
        <w:pStyle w:val="21"/>
        <w:tabs>
          <w:tab w:val="right" w:leader="dot" w:pos="8504"/>
          <w:tab w:val="clear" w:pos="720"/>
          <w:tab w:val="clear" w:pos="8494"/>
        </w:tabs>
      </w:pPr>
      <w:r>
        <w:fldChar w:fldCharType="begin"/>
      </w:r>
      <w:r>
        <w:instrText xml:space="preserve"> HYPERLINK \l "_Toc8487" </w:instrText>
      </w:r>
      <w:r>
        <w:fldChar w:fldCharType="separate"/>
      </w:r>
      <w:r>
        <w:t xml:space="preserve">4.4 </w:t>
      </w:r>
      <w:r>
        <w:rPr>
          <w:rFonts w:hint="eastAsia"/>
        </w:rPr>
        <w:t>后台机软件</w:t>
      </w:r>
      <w:r>
        <w:tab/>
      </w:r>
      <w:r>
        <w:fldChar w:fldCharType="begin"/>
      </w:r>
      <w:r>
        <w:instrText xml:space="preserve"> PAGEREF _Toc8487 \h </w:instrText>
      </w:r>
      <w:r>
        <w:fldChar w:fldCharType="separate"/>
      </w:r>
      <w:r>
        <w:t>13</w:t>
      </w:r>
      <w:r>
        <w:fldChar w:fldCharType="end"/>
      </w:r>
      <w:r>
        <w:fldChar w:fldCharType="end"/>
      </w:r>
    </w:p>
    <w:p>
      <w:pPr>
        <w:pStyle w:val="21"/>
        <w:tabs>
          <w:tab w:val="right" w:leader="dot" w:pos="8504"/>
          <w:tab w:val="clear" w:pos="720"/>
          <w:tab w:val="clear" w:pos="8494"/>
        </w:tabs>
      </w:pPr>
      <w:r>
        <w:fldChar w:fldCharType="begin"/>
      </w:r>
      <w:r>
        <w:instrText xml:space="preserve"> HYPERLINK \l "_Toc10930" </w:instrText>
      </w:r>
      <w:r>
        <w:fldChar w:fldCharType="separate"/>
      </w:r>
      <w:r>
        <w:t xml:space="preserve">4.5 </w:t>
      </w:r>
      <w:r>
        <w:rPr>
          <w:rFonts w:hint="eastAsia"/>
        </w:rPr>
        <w:t>网络通讯协议</w:t>
      </w:r>
      <w:r>
        <w:tab/>
      </w:r>
      <w:r>
        <w:fldChar w:fldCharType="begin"/>
      </w:r>
      <w:r>
        <w:instrText xml:space="preserve"> PAGEREF _Toc10930 \h </w:instrText>
      </w:r>
      <w:r>
        <w:fldChar w:fldCharType="separate"/>
      </w:r>
      <w:r>
        <w:t>13</w:t>
      </w:r>
      <w:r>
        <w:fldChar w:fldCharType="end"/>
      </w:r>
      <w:r>
        <w:fldChar w:fldCharType="end"/>
      </w:r>
    </w:p>
    <w:p>
      <w:pPr>
        <w:pStyle w:val="21"/>
        <w:tabs>
          <w:tab w:val="right" w:leader="dot" w:pos="8504"/>
          <w:tab w:val="clear" w:pos="720"/>
          <w:tab w:val="clear" w:pos="8494"/>
        </w:tabs>
      </w:pPr>
      <w:r>
        <w:fldChar w:fldCharType="begin"/>
      </w:r>
      <w:r>
        <w:instrText xml:space="preserve"> HYPERLINK \l "_Toc10477" </w:instrText>
      </w:r>
      <w:r>
        <w:fldChar w:fldCharType="separate"/>
      </w:r>
      <w:r>
        <w:t xml:space="preserve">4.6 </w:t>
      </w:r>
      <w:r>
        <w:rPr>
          <w:rFonts w:hint="eastAsia"/>
        </w:rPr>
        <w:t>接口与协议汇总</w:t>
      </w:r>
      <w:r>
        <w:tab/>
      </w:r>
      <w:r>
        <w:fldChar w:fldCharType="begin"/>
      </w:r>
      <w:r>
        <w:instrText xml:space="preserve"> PAGEREF _Toc10477 \h </w:instrText>
      </w:r>
      <w:r>
        <w:fldChar w:fldCharType="separate"/>
      </w:r>
      <w:r>
        <w:t>15</w:t>
      </w:r>
      <w:r>
        <w:fldChar w:fldCharType="end"/>
      </w:r>
      <w:r>
        <w:fldChar w:fldCharType="end"/>
      </w:r>
    </w:p>
    <w:p>
      <w:pPr>
        <w:pStyle w:val="21"/>
        <w:tabs>
          <w:tab w:val="right" w:leader="dot" w:pos="8504"/>
          <w:tab w:val="clear" w:pos="720"/>
          <w:tab w:val="clear" w:pos="8494"/>
        </w:tabs>
      </w:pPr>
      <w:r>
        <w:fldChar w:fldCharType="begin"/>
      </w:r>
      <w:r>
        <w:instrText xml:space="preserve"> HYPERLINK \l "_Toc13851" </w:instrText>
      </w:r>
      <w:r>
        <w:fldChar w:fldCharType="separate"/>
      </w:r>
      <w:r>
        <w:t xml:space="preserve">4.7 </w:t>
      </w:r>
      <w:r>
        <w:rPr>
          <w:rFonts w:hint="eastAsia"/>
        </w:rPr>
        <w:t>模块划分与工作规划</w:t>
      </w:r>
      <w:r>
        <w:tab/>
      </w:r>
      <w:r>
        <w:fldChar w:fldCharType="begin"/>
      </w:r>
      <w:r>
        <w:instrText xml:space="preserve"> PAGEREF _Toc13851 \h </w:instrText>
      </w:r>
      <w:r>
        <w:fldChar w:fldCharType="separate"/>
      </w:r>
      <w:r>
        <w:t>16</w:t>
      </w:r>
      <w:r>
        <w:fldChar w:fldCharType="end"/>
      </w:r>
      <w:r>
        <w:fldChar w:fldCharType="end"/>
      </w:r>
    </w:p>
    <w:p>
      <w:r>
        <w:fldChar w:fldCharType="end"/>
      </w:r>
    </w:p>
    <w:p>
      <w:pPr>
        <w:pStyle w:val="23"/>
      </w:pPr>
      <w:r>
        <w:rPr>
          <w:rFonts w:hint="eastAsia"/>
        </w:rPr>
        <w:t>RTDS评估系统设计说明书</w:t>
      </w:r>
    </w:p>
    <w:p>
      <w:pPr>
        <w:pStyle w:val="2"/>
      </w:pPr>
      <w:bookmarkStart w:id="0" w:name="_Toc28459"/>
      <w:r>
        <w:rPr>
          <w:rFonts w:hint="eastAsia"/>
        </w:rPr>
        <w:t>概述</w:t>
      </w:r>
      <w:bookmarkEnd w:id="0"/>
    </w:p>
    <w:p>
      <w:pPr>
        <w:pStyle w:val="4"/>
      </w:pPr>
      <w:bookmarkStart w:id="1" w:name="_Toc8514"/>
      <w:r>
        <w:rPr>
          <w:rFonts w:hint="eastAsia"/>
        </w:rPr>
        <w:t>编写目的</w:t>
      </w:r>
      <w:bookmarkEnd w:id="1"/>
    </w:p>
    <w:p>
      <w:pPr>
        <w:pStyle w:val="6"/>
        <w:ind w:firstLine="480"/>
      </w:pPr>
      <w:r>
        <w:rPr>
          <w:rFonts w:hint="eastAsia"/>
        </w:rPr>
        <w:t>本文档规定RTDS评估系统（以下简称“RTDS验证装置”或“装置”）的总体设计方案、系统架构、数据流与时序、模块划分及模块间接口协议（含基于TCP的网络通讯协议），明确管理板、主处理板、辅助板与后台机的功能分配与设计要求，为装置软件与FPGA逻辑的开发、集成联调、测试验收及运行维护提供统一依据。</w:t>
      </w:r>
    </w:p>
    <w:p>
      <w:pPr>
        <w:pStyle w:val="6"/>
        <w:ind w:firstLine="480"/>
      </w:pPr>
      <w:r>
        <w:rPr>
          <w:rFonts w:hint="eastAsia"/>
        </w:rPr>
        <w:t>本文档适用于装置总体设计人员、FPGA逻辑设计人员、嵌入式及后台软件开发人员、系统集成人员、测试人员与运维人员阅读。</w:t>
      </w:r>
    </w:p>
    <w:p>
      <w:pPr>
        <w:pStyle w:val="4"/>
      </w:pPr>
      <w:bookmarkStart w:id="2" w:name="_Toc15671"/>
      <w:r>
        <w:rPr>
          <w:rFonts w:hint="eastAsia"/>
        </w:rPr>
        <w:t>适用范围</w:t>
      </w:r>
      <w:bookmarkEnd w:id="2"/>
    </w:p>
    <w:p>
      <w:pPr>
        <w:pStyle w:val="6"/>
        <w:ind w:firstLine="480"/>
      </w:pPr>
      <w:r>
        <w:rPr>
          <w:rFonts w:hint="eastAsia"/>
        </w:rPr>
        <w:t>本文档适用于RTDS验证装置软件版本V1.01，覆盖管理板嵌入式软件、主处理板与辅助板FPGA逻辑、后台机数据显示软件的设计与实现，以及后台机与管理板之间的网络通讯协议。</w:t>
      </w:r>
    </w:p>
    <w:p>
      <w:pPr>
        <w:pStyle w:val="6"/>
        <w:ind w:firstLine="480"/>
      </w:pPr>
      <w:r>
        <w:rPr>
          <w:rFonts w:hint="eastAsia"/>
        </w:rPr>
        <w:t>本文档不涉及硬件电路原理图、PCB、结构与散热设计，也不包含功率放大与一次设备侧的设计内容，相关内容见硬件设计文件。</w:t>
      </w:r>
    </w:p>
    <w:p>
      <w:pPr>
        <w:pStyle w:val="4"/>
      </w:pPr>
      <w:bookmarkStart w:id="3" w:name="_Toc986"/>
      <w:r>
        <w:rPr>
          <w:rFonts w:hint="eastAsia"/>
        </w:rPr>
        <w:t>术语、定义和缩略语</w:t>
      </w:r>
      <w:bookmarkEnd w:id="3"/>
    </w:p>
    <w:p>
      <w:pPr>
        <w:pStyle w:val="6"/>
        <w:ind w:firstLine="480"/>
      </w:pPr>
      <w:r>
        <w:rPr>
          <w:rFonts w:hint="eastAsia"/>
        </w:rPr>
        <w:t>装置涉及的主要术语、定义和缩略语见表1。</w:t>
      </w:r>
    </w:p>
    <w:p>
      <w:pPr>
        <w:pStyle w:val="50"/>
      </w:pPr>
      <w:r>
        <w:rPr>
          <w:rFonts w:hint="eastAsia"/>
        </w:rPr>
        <w:t>表1 术语、定义和缩略语</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2"/>
            </w:pPr>
            <w:r>
              <w:rPr>
                <w:rFonts w:hint="eastAsia"/>
              </w:rPr>
              <w:t>缩略语</w:t>
            </w:r>
          </w:p>
        </w:tc>
        <w:tc>
          <w:tcPr>
            <w:tcW w:w="2835" w:type="dxa"/>
          </w:tcPr>
          <w:p>
            <w:pPr>
              <w:pStyle w:val="32"/>
            </w:pPr>
            <w:r>
              <w:rPr>
                <w:rFonts w:hint="eastAsia"/>
              </w:rPr>
              <w:t>全称</w:t>
            </w:r>
          </w:p>
        </w:tc>
        <w:tc>
          <w:tcPr>
            <w:tcW w:w="2835" w:type="dxa"/>
          </w:tcPr>
          <w:p>
            <w:pPr>
              <w:pStyle w:val="32"/>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5" w:type="dxa"/>
          </w:tcPr>
          <w:p>
            <w:pPr>
              <w:pStyle w:val="34"/>
            </w:pPr>
            <w:r>
              <w:t>RTDS</w:t>
            </w:r>
          </w:p>
        </w:tc>
        <w:tc>
          <w:tcPr>
            <w:tcW w:w="2835" w:type="dxa"/>
          </w:tcPr>
          <w:p>
            <w:pPr>
              <w:pStyle w:val="34"/>
            </w:pPr>
            <w:r>
              <w:t>Real Time Digital Simulator</w:t>
            </w:r>
          </w:p>
        </w:tc>
        <w:tc>
          <w:tcPr>
            <w:tcW w:w="2835" w:type="dxa"/>
          </w:tcPr>
          <w:p>
            <w:pPr>
              <w:pStyle w:val="34"/>
            </w:pPr>
            <w:r>
              <w:rPr>
                <w:rFonts w:hint="eastAsia"/>
              </w:rPr>
              <w:t>实时数字仿真系统，本装置用于其验证评估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t>FPGA</w:t>
            </w:r>
          </w:p>
        </w:tc>
        <w:tc>
          <w:tcPr>
            <w:tcW w:w="2835" w:type="dxa"/>
          </w:tcPr>
          <w:p>
            <w:pPr>
              <w:pStyle w:val="34"/>
            </w:pPr>
            <w:r>
              <w:t>Field Programmable Gate Array</w:t>
            </w:r>
          </w:p>
        </w:tc>
        <w:tc>
          <w:tcPr>
            <w:tcW w:w="2835" w:type="dxa"/>
          </w:tcPr>
          <w:p>
            <w:pPr>
              <w:pStyle w:val="34"/>
            </w:pPr>
            <w:r>
              <w:rPr>
                <w:rFonts w:hint="eastAsia"/>
              </w:rPr>
              <w:t>现场可编程门阵列，主处理板与辅助板的核心器件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t>AURORA</w:t>
            </w:r>
          </w:p>
        </w:tc>
        <w:tc>
          <w:tcPr>
            <w:tcW w:w="2835" w:type="dxa"/>
          </w:tcPr>
          <w:p>
            <w:pPr>
              <w:pStyle w:val="34"/>
            </w:pPr>
            <w:r>
              <w:rPr>
                <w:rFonts w:hint="eastAsia"/>
              </w:rPr>
              <w:t>Aurora高速串行协议</w:t>
            </w:r>
          </w:p>
        </w:tc>
        <w:tc>
          <w:tcPr>
            <w:tcW w:w="2835" w:type="dxa"/>
          </w:tcPr>
          <w:p>
            <w:pPr>
              <w:pStyle w:val="34"/>
            </w:pPr>
            <w:r>
              <w:rPr>
                <w:rFonts w:hint="eastAsia"/>
              </w:rPr>
              <w:t>板间光纤高速串行传输协议，本系统含主频1G与主频10G两条通道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t>PCIE</w:t>
            </w:r>
          </w:p>
        </w:tc>
        <w:tc>
          <w:tcPr>
            <w:tcW w:w="2835" w:type="dxa"/>
          </w:tcPr>
          <w:p>
            <w:pPr>
              <w:pStyle w:val="34"/>
            </w:pPr>
            <w:r>
              <w:t>Peripheral Component Interconnect Express</w:t>
            </w:r>
          </w:p>
        </w:tc>
        <w:tc>
          <w:tcPr>
            <w:tcW w:w="2835" w:type="dxa"/>
          </w:tcPr>
          <w:p>
            <w:pPr>
              <w:pStyle w:val="34"/>
            </w:pPr>
            <w:r>
              <w:rPr>
                <w:rFonts w:hint="eastAsia"/>
              </w:rPr>
              <w:t>高速串行计算机扩展总线，管理板对下属板卡的管理通道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5" w:type="dxa"/>
          </w:tcPr>
          <w:p>
            <w:pPr>
              <w:pStyle w:val="34"/>
            </w:pPr>
            <w:r>
              <w:t>DDR</w:t>
            </w:r>
          </w:p>
        </w:tc>
        <w:tc>
          <w:tcPr>
            <w:tcW w:w="2835" w:type="dxa"/>
          </w:tcPr>
          <w:p>
            <w:pPr>
              <w:pStyle w:val="34"/>
            </w:pPr>
            <w:r>
              <w:t>Double Data Rate SDRAM</w:t>
            </w:r>
          </w:p>
        </w:tc>
        <w:tc>
          <w:tcPr>
            <w:tcW w:w="2835" w:type="dxa"/>
          </w:tcPr>
          <w:p>
            <w:pPr>
              <w:pStyle w:val="34"/>
            </w:pPr>
            <w:r>
              <w:rPr>
                <w:rFonts w:hint="eastAsia"/>
              </w:rPr>
              <w:t>板载大容量存储器；辅助板DDR划分为乒乓数据块A/B管理，主处理板DDR按当前值方式缓存应用数据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rPr>
                <w:rFonts w:hint="eastAsia"/>
              </w:rPr>
              <w:t>后台机</w:t>
            </w:r>
          </w:p>
        </w:tc>
        <w:tc>
          <w:tcPr>
            <w:tcW w:w="2835" w:type="dxa"/>
          </w:tcPr>
          <w:p>
            <w:pPr>
              <w:pStyle w:val="34"/>
            </w:pPr>
            <w:r>
              <w:t>Background Computer</w:t>
            </w:r>
          </w:p>
        </w:tc>
        <w:tc>
          <w:tcPr>
            <w:tcW w:w="2835" w:type="dxa"/>
          </w:tcPr>
          <w:p>
            <w:pPr>
              <w:pStyle w:val="34"/>
            </w:pPr>
            <w:r>
              <w:rPr>
                <w:rFonts w:hint="eastAsia"/>
              </w:rPr>
              <w:t>运行后台数据显示软件的上位机，经以太网与装置交互，完成过程数据展示与操作命令下发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rPr>
                <w:rFonts w:hint="eastAsia"/>
              </w:rPr>
              <w:t>乒乓缓存</w:t>
            </w:r>
          </w:p>
        </w:tc>
        <w:tc>
          <w:tcPr>
            <w:tcW w:w="2835" w:type="dxa"/>
          </w:tcPr>
          <w:p>
            <w:pPr>
              <w:pStyle w:val="34"/>
            </w:pPr>
            <w:r>
              <w:t>Ping-Pong Buffer</w:t>
            </w:r>
          </w:p>
        </w:tc>
        <w:tc>
          <w:tcPr>
            <w:tcW w:w="2835" w:type="dxa"/>
          </w:tcPr>
          <w:p>
            <w:pPr>
              <w:pStyle w:val="34"/>
            </w:pPr>
            <w:r>
              <w:rPr>
                <w:rFonts w:hint="eastAsia"/>
              </w:rPr>
              <w:t>缓存或DDR按数据块划分，读写分块交替切换，避免读写冲突与数据撕裂；本系统辅助板DDR采用本方式，主处理板DDR采用当前值缓存方式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rPr>
                <w:rFonts w:hint="eastAsia"/>
              </w:rPr>
              <w:t>模拟量数据流</w:t>
            </w:r>
          </w:p>
        </w:tc>
        <w:tc>
          <w:tcPr>
            <w:tcW w:w="2835" w:type="dxa"/>
          </w:tcPr>
          <w:p>
            <w:pPr>
              <w:pStyle w:val="34"/>
            </w:pPr>
            <w:r>
              <w:t>Analog Data Stream</w:t>
            </w:r>
          </w:p>
        </w:tc>
        <w:tc>
          <w:tcPr>
            <w:tcW w:w="2835" w:type="dxa"/>
          </w:tcPr>
          <w:p>
            <w:pPr>
              <w:pStyle w:val="34"/>
            </w:pPr>
            <w:r>
              <w:rPr>
                <w:rFonts w:hint="eastAsia"/>
              </w:rPr>
              <w:t>辅助板至主处理板的实时采样数据流，周期2us，经AURORA（主频1G）光纤通道传输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rPr>
                <w:rFonts w:hint="eastAsia"/>
              </w:rPr>
              <w:t>应用数据流</w:t>
            </w:r>
          </w:p>
        </w:tc>
        <w:tc>
          <w:tcPr>
            <w:tcW w:w="2835" w:type="dxa"/>
          </w:tcPr>
          <w:p>
            <w:pPr>
              <w:pStyle w:val="34"/>
            </w:pPr>
            <w:r>
              <w:t>Application Data Stream</w:t>
            </w:r>
          </w:p>
        </w:tc>
        <w:tc>
          <w:tcPr>
            <w:tcW w:w="2835" w:type="dxa"/>
          </w:tcPr>
          <w:p>
            <w:pPr>
              <w:pStyle w:val="34"/>
            </w:pPr>
            <w:r>
              <w:rPr>
                <w:rFonts w:hint="eastAsia"/>
              </w:rPr>
              <w:t>主处理板至辅助板的仿真结果数据流，周期50us，经双向的AURORA（主频10G）光纤通道传输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t>ASDU</w:t>
            </w:r>
          </w:p>
        </w:tc>
        <w:tc>
          <w:tcPr>
            <w:tcW w:w="2835" w:type="dxa"/>
          </w:tcPr>
          <w:p>
            <w:pPr>
              <w:pStyle w:val="34"/>
            </w:pPr>
            <w:r>
              <w:t>Application Service Data Unit</w:t>
            </w:r>
          </w:p>
        </w:tc>
        <w:tc>
          <w:tcPr>
            <w:tcW w:w="2835" w:type="dxa"/>
          </w:tcPr>
          <w:p>
            <w:pPr>
              <w:pStyle w:val="34"/>
            </w:pPr>
            <w:r>
              <w:rPr>
                <w:rFonts w:hint="eastAsia"/>
              </w:rPr>
              <w:t>应用服务数据单元，本协议中指报文中的“类型+数据”部分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rPr>
                <w:rFonts w:hint="eastAsia"/>
              </w:rPr>
              <w:t>录波</w:t>
            </w:r>
          </w:p>
        </w:tc>
        <w:tc>
          <w:tcPr>
            <w:tcW w:w="2835" w:type="dxa"/>
          </w:tcPr>
          <w:p>
            <w:pPr>
              <w:pStyle w:val="34"/>
            </w:pPr>
            <w:r>
              <w:t>Wave Recording</w:t>
            </w:r>
          </w:p>
        </w:tc>
        <w:tc>
          <w:tcPr>
            <w:tcW w:w="2835" w:type="dxa"/>
          </w:tcPr>
          <w:p>
            <w:pPr>
              <w:pStyle w:val="34"/>
            </w:pPr>
            <w:r>
              <w:rPr>
                <w:rFonts w:hint="eastAsia"/>
              </w:rPr>
              <w:t>装置对过程数据的连续记录，后台机可按数据总长度与本帧数据偏移分帧读取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t>TCP</w:t>
            </w:r>
          </w:p>
        </w:tc>
        <w:tc>
          <w:tcPr>
            <w:tcW w:w="2835" w:type="dxa"/>
          </w:tcPr>
          <w:p>
            <w:pPr>
              <w:pStyle w:val="34"/>
            </w:pPr>
            <w:r>
              <w:t>Transmission Control Protocol</w:t>
            </w:r>
          </w:p>
        </w:tc>
        <w:tc>
          <w:tcPr>
            <w:tcW w:w="2835" w:type="dxa"/>
          </w:tcPr>
          <w:p>
            <w:pPr>
              <w:pStyle w:val="34"/>
            </w:pPr>
            <w:r>
              <w:rPr>
                <w:rFonts w:hint="eastAsia"/>
              </w:rPr>
              <w:t>面向连接的可靠传输协议，后台机与管理板之间的通信协议，管理板为服务端，端口8006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5" w:type="dxa"/>
          </w:tcPr>
          <w:p>
            <w:pPr>
              <w:pStyle w:val="34"/>
            </w:pPr>
            <w:r>
              <w:rPr>
                <w:rFonts w:hint="eastAsia"/>
              </w:rPr>
              <w:t>小端字节序</w:t>
            </w:r>
          </w:p>
        </w:tc>
        <w:tc>
          <w:tcPr>
            <w:tcW w:w="2835" w:type="dxa"/>
          </w:tcPr>
          <w:p>
            <w:pPr>
              <w:pStyle w:val="34"/>
            </w:pPr>
            <w:r>
              <w:t>Little-Endian</w:t>
            </w:r>
          </w:p>
        </w:tc>
        <w:tc>
          <w:tcPr>
            <w:tcW w:w="2835" w:type="dxa"/>
          </w:tcPr>
          <w:p>
            <w:pPr>
              <w:pStyle w:val="34"/>
            </w:pPr>
            <w:r>
              <w:rPr>
                <w:rFonts w:hint="eastAsia"/>
              </w:rPr>
              <w:t>多字节字段低字节在前、高字节在后的排列方式，本协议所有多字节字段均采用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rPr>
                <w:rFonts w:hint="eastAsia"/>
              </w:rPr>
              <w:t>心跳报文</w:t>
            </w:r>
          </w:p>
        </w:tc>
        <w:tc>
          <w:tcPr>
            <w:tcW w:w="2835" w:type="dxa"/>
          </w:tcPr>
          <w:p>
            <w:pPr>
              <w:pStyle w:val="34"/>
            </w:pPr>
            <w:r>
              <w:t>Heartbeat Message</w:t>
            </w:r>
          </w:p>
        </w:tc>
        <w:tc>
          <w:tcPr>
            <w:tcW w:w="2835" w:type="dxa"/>
          </w:tcPr>
          <w:p>
            <w:pPr>
              <w:pStyle w:val="34"/>
            </w:pPr>
            <w:r>
              <w:rPr>
                <w:rFonts w:hint="eastAsia"/>
              </w:rPr>
              <w:t>通信双方按固定周期发送的保活报文，用于链路在线状态检测与断链判定</w:t>
            </w:r>
          </w:p>
        </w:tc>
      </w:tr>
    </w:tbl>
    <w:p>
      <w:pPr>
        <w:pStyle w:val="6"/>
        <w:ind w:firstLine="480"/>
      </w:pPr>
    </w:p>
    <w:p>
      <w:pPr>
        <w:pStyle w:val="2"/>
      </w:pPr>
      <w:bookmarkStart w:id="4" w:name="_Toc3296"/>
      <w:r>
        <w:rPr>
          <w:rFonts w:hint="eastAsia"/>
        </w:rPr>
        <w:t>系统总体结构</w:t>
      </w:r>
      <w:bookmarkEnd w:id="4"/>
    </w:p>
    <w:p>
      <w:pPr>
        <w:pStyle w:val="4"/>
      </w:pPr>
      <w:bookmarkStart w:id="5" w:name="_Toc5551"/>
      <w:r>
        <w:rPr>
          <w:rFonts w:hint="eastAsia"/>
        </w:rPr>
        <w:t>装置组成</w:t>
      </w:r>
      <w:bookmarkEnd w:id="5"/>
    </w:p>
    <w:p>
      <w:pPr>
        <w:pStyle w:val="6"/>
        <w:ind w:firstLine="480"/>
      </w:pPr>
      <w:r>
        <w:rPr>
          <w:rFonts w:hint="eastAsia"/>
        </w:rPr>
        <w:t>RTDS验证装置由管理板、主处理板和辅助板组成，装置对外通过以太网接入后台机，系统结构如图1所示。</w:t>
      </w:r>
    </w:p>
    <w:p>
      <w:pPr>
        <w:pStyle w:val="6"/>
        <w:ind w:firstLine="480"/>
      </w:pPr>
      <w:r>
        <w:rPr>
          <w:rFonts w:hint="eastAsia"/>
        </w:rPr>
        <w:t>1）后台机：运行后台数据显示软件，经以太网与装置交互，完成仿真过程数据展示、装置状态监视与操作命令下发。</w:t>
      </w:r>
    </w:p>
    <w:p>
      <w:pPr>
        <w:pStyle w:val="6"/>
        <w:ind w:firstLine="480"/>
      </w:pPr>
      <w:r>
        <w:rPr>
          <w:rFonts w:hint="eastAsia"/>
        </w:rPr>
        <w:t>2）管理板：以CPU RK3588为核心，运行嵌入式Linux与通讯控制模块，向上经以太网与后台机通信，向下经主控PCIE与辅助控制PCIE分别对主处理板、辅助板进行配置下发、运行监视与数据回读。</w:t>
      </w:r>
    </w:p>
    <w:p>
      <w:pPr>
        <w:pStyle w:val="6"/>
        <w:ind w:firstLine="480"/>
      </w:pPr>
      <w:r>
        <w:rPr>
          <w:rFonts w:hint="eastAsia"/>
        </w:rPr>
        <w:t>3）主处理板：以FPGA为核心，由PCIE控制模块、模拟数据接收模块、应用逻辑、应用数据发送控制模块与本地缓存模块组成，其中模拟量接收经AURORA（主频1G）光纤通道、应用数据发送经AURORA（主频10G）光纤通道，是装置的实时仿真计算核心。</w:t>
      </w:r>
    </w:p>
    <w:p>
      <w:pPr>
        <w:pStyle w:val="6"/>
        <w:ind w:firstLine="480"/>
      </w:pPr>
      <w:r>
        <w:rPr>
          <w:rFonts w:hint="eastAsia"/>
        </w:rPr>
        <w:t>4）辅助板：以FPGA为核心，由PCIE控制模块、模拟数据控制模块、应用数据接收模块与应用数据缓存模块组成，其中模拟量上送经AURORA（主频1G）光纤通道、应用数据接收经AURORA（主频10G）光纤通道，承担模拟量数据接入与仿真结果输出。</w:t>
      </w:r>
    </w:p>
    <w:p>
      <w:pPr>
        <w:jc w:val="center"/>
      </w:pPr>
      <w:r>
        <w:drawing>
          <wp:inline distT="0" distB="0" distL="0" distR="0">
            <wp:extent cx="5394960" cy="481584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14"/>
                    <a:stretch>
                      <a:fillRect/>
                    </a:stretch>
                  </pic:blipFill>
                  <pic:spPr>
                    <a:xfrm>
                      <a:off x="0" y="0"/>
                      <a:ext cx="5394960" cy="4816126"/>
                    </a:xfrm>
                    <a:prstGeom prst="rect">
                      <a:avLst/>
                    </a:prstGeom>
                  </pic:spPr>
                </pic:pic>
              </a:graphicData>
            </a:graphic>
          </wp:inline>
        </w:drawing>
      </w:r>
    </w:p>
    <w:p>
      <w:pPr>
        <w:pStyle w:val="39"/>
      </w:pPr>
      <w:r>
        <w:rPr>
          <w:rFonts w:hint="eastAsia"/>
        </w:rPr>
        <w:t>图1 RTDS验证装置系统结构图</w:t>
      </w:r>
    </w:p>
    <w:p>
      <w:pPr>
        <w:pStyle w:val="4"/>
      </w:pPr>
      <w:bookmarkStart w:id="6" w:name="_Toc8073"/>
      <w:r>
        <w:rPr>
          <w:rFonts w:hint="eastAsia"/>
        </w:rPr>
        <w:t>工作原理</w:t>
      </w:r>
      <w:bookmarkEnd w:id="6"/>
    </w:p>
    <w:p>
      <w:pPr>
        <w:pStyle w:val="6"/>
        <w:ind w:firstLine="480"/>
      </w:pPr>
      <w:r>
        <w:rPr>
          <w:rFonts w:hint="eastAsia"/>
        </w:rPr>
        <w:t>装置工作原理分为配置下发与实时闭环两条链路：配置命令由后台机经管理板逐级下发至两块FPGA板卡；实时闭环构成“辅助板产生模拟数据—主处理板计算—辅助板输出”的验证链路。各环节的数据流向如下：</w:t>
      </w:r>
    </w:p>
    <w:p>
      <w:pPr>
        <w:pStyle w:val="6"/>
        <w:ind w:firstLine="480"/>
      </w:pPr>
      <w:r>
        <w:rPr>
          <w:rFonts w:hint="eastAsia"/>
        </w:rPr>
        <w:t>1）配置下发：后台机经以太网向管理板通讯控制模块下发应用逻辑启停状态与模拟数据模式；通讯控制模块经辅助控制PCIE将模拟数据模式转发至辅助板模拟数据控制模块。应用逻辑启停状态提供两条可选下发路径，由通讯控制模块按下发的定值配置选择其一、同一时刻仅启用一条：路径一经主控PCIE直接下发至主处理板应用逻辑模块；路径二经辅助控制PCIE下发至辅助板，再由辅助板经双向的AURORA（主频10G）光纤通道转发至主处理板应用逻辑模块。</w:t>
      </w:r>
    </w:p>
    <w:p>
      <w:pPr>
        <w:pStyle w:val="6"/>
        <w:ind w:firstLine="480"/>
      </w:pPr>
      <w:r>
        <w:rPr>
          <w:rFonts w:hint="eastAsia"/>
        </w:rPr>
        <w:t>2）辅助板按2us节拍产生模拟数据，经数据模式选择后组帧，通过AURORA（主频1G）光纤通道将模拟量数据流送至主处理板；</w:t>
      </w:r>
    </w:p>
    <w:p>
      <w:pPr>
        <w:pStyle w:val="6"/>
        <w:ind w:firstLine="480"/>
      </w:pPr>
      <w:r>
        <w:rPr>
          <w:rFonts w:hint="eastAsia"/>
        </w:rPr>
        <w:t>3）主处理板将接收数据写入模拟量数据缓存，应用逻辑按节拍读取并完成实时仿真计算；计算结果（应用数据）同时写入应用数据发送控制模块的应用数据发送缓存与本地缓存模块的DDR当前值缓存区；写入完成后经PCIE向管理板触发中断，管理板响应中断并将数据读入管理板DDR，作为后台显示的数据源之一。</w:t>
      </w:r>
    </w:p>
    <w:p>
      <w:pPr>
        <w:pStyle w:val="6"/>
        <w:ind w:firstLine="480"/>
      </w:pPr>
      <w:r>
        <w:rPr>
          <w:rFonts w:hint="eastAsia"/>
        </w:rPr>
        <w:t>4）主处理板按50us节拍组织应用数据帧，经AURORA（主频10G）光纤通道将应用数据流回传辅助板；</w:t>
      </w:r>
    </w:p>
    <w:p>
      <w:pPr>
        <w:pStyle w:val="6"/>
        <w:ind w:firstLine="480"/>
      </w:pPr>
      <w:r>
        <w:rPr>
          <w:rFonts w:hint="eastAsia"/>
        </w:rPr>
        <w:t>5）辅助板完成接收解析与校验后，经数据缓存写入DDR乒乓数据块A/B，供输出通道按节拍取用，实现仿真结果的连续输出；该数据块可经辅助控制PCIE由管理板回读，作为后台显示的另一种数据源。</w:t>
      </w:r>
    </w:p>
    <w:p>
      <w:pPr>
        <w:pStyle w:val="6"/>
        <w:ind w:firstLine="480"/>
      </w:pPr>
      <w:r>
        <w:rPr>
          <w:rFonts w:hint="eastAsia"/>
        </w:rPr>
        <w:t>管理板不参与2us/50us实时闭环数据链路，仅经主控PCIE与辅助控制PCIE完成两块FPGA板卡的配置下发、状态监视与应用数据回读，并经以太网与后台机交互，实现过程数据的集中展示。</w:t>
      </w:r>
    </w:p>
    <w:p>
      <w:pPr>
        <w:pStyle w:val="2"/>
      </w:pPr>
      <w:bookmarkStart w:id="7" w:name="_Toc9561"/>
      <w:r>
        <w:rPr>
          <w:rFonts w:hint="eastAsia"/>
        </w:rPr>
        <w:t>系统方案</w:t>
      </w:r>
      <w:bookmarkEnd w:id="7"/>
    </w:p>
    <w:p>
      <w:pPr>
        <w:pStyle w:val="4"/>
      </w:pPr>
      <w:bookmarkStart w:id="8" w:name="_Toc14657"/>
      <w:r>
        <w:rPr>
          <w:rFonts w:hint="eastAsia"/>
        </w:rPr>
        <w:t>设计原则与设计约束</w:t>
      </w:r>
      <w:bookmarkEnd w:id="8"/>
    </w:p>
    <w:p>
      <w:pPr>
        <w:pStyle w:val="5"/>
      </w:pPr>
      <w:r>
        <w:rPr>
          <w:rFonts w:hint="eastAsia"/>
        </w:rPr>
        <w:t>设计原则</w:t>
      </w:r>
    </w:p>
    <w:p>
      <w:pPr>
        <w:pStyle w:val="6"/>
        <w:ind w:firstLine="480"/>
      </w:pPr>
      <w:r>
        <w:rPr>
          <w:rFonts w:hint="eastAsia"/>
        </w:rPr>
        <w:t>1）实时优先：数据通路采用全流水设计，模拟量数据与应用数据按固定节拍处理，保证闭环时延确定可控。</w:t>
      </w:r>
    </w:p>
    <w:p>
      <w:pPr>
        <w:pStyle w:val="6"/>
        <w:ind w:firstLine="480"/>
      </w:pPr>
      <w:r>
        <w:rPr>
          <w:rFonts w:hint="eastAsia"/>
        </w:rPr>
        <w:t>2）通道化数据流：模拟量数据流与应用数据流分走独立的AURORA光纤通道，带宽与周期独立配置，互不干扰。</w:t>
      </w:r>
    </w:p>
    <w:p>
      <w:pPr>
        <w:pStyle w:val="6"/>
        <w:ind w:firstLine="480"/>
      </w:pPr>
      <w:r>
        <w:rPr>
          <w:rFonts w:hint="eastAsia"/>
        </w:rPr>
        <w:t>3）主从管理：管理板为主站，主处理板与辅助板为从设备，配置下发、状态监视与数据回读统一经PCIE管理通道完成。</w:t>
      </w:r>
    </w:p>
    <w:p>
      <w:pPr>
        <w:pStyle w:val="6"/>
        <w:ind w:firstLine="480"/>
      </w:pPr>
      <w:r>
        <w:rPr>
          <w:rFonts w:hint="eastAsia"/>
        </w:rPr>
        <w:t>4）缓存分块：辅助板DDR按数据块分块管理，采用乒乓方式切换，读写地址分离，避免读写冲突导致数据撕裂；主处理板DDR采用当前值缓存方式，保持最近一次写入的应用数据，按应用周期覆盖刷新。</w:t>
      </w:r>
    </w:p>
    <w:p>
      <w:pPr>
        <w:pStyle w:val="6"/>
        <w:ind w:firstLine="480"/>
      </w:pPr>
      <w:r>
        <w:rPr>
          <w:rFonts w:hint="eastAsia"/>
        </w:rPr>
        <w:t>5）状态可观测：AURORA链路状态、PCIE链路状态均可观测，异常可记录、可上报、可告警。</w:t>
      </w:r>
    </w:p>
    <w:p>
      <w:pPr>
        <w:pStyle w:val="6"/>
        <w:ind w:firstLine="480"/>
      </w:pPr>
      <w:r>
        <w:rPr>
          <w:rFonts w:hint="eastAsia"/>
        </w:rPr>
        <w:t>6）故障隔离：管理通道与后台通道的异常不得影响实时闭环链路运行，装置在断链条件下仍能持续仿真。</w:t>
      </w:r>
    </w:p>
    <w:p>
      <w:pPr>
        <w:pStyle w:val="5"/>
      </w:pPr>
      <w:r>
        <w:rPr>
          <w:rFonts w:hint="eastAsia"/>
        </w:rPr>
        <w:t>设计约束</w:t>
      </w:r>
    </w:p>
    <w:p>
      <w:pPr>
        <w:pStyle w:val="6"/>
        <w:ind w:firstLine="480"/>
      </w:pPr>
      <w:r>
        <w:rPr>
          <w:rFonts w:hint="eastAsia"/>
        </w:rPr>
        <w:t>1）模拟量数据流周期2us，应用数据流周期50us，两者节拍比25:1。</w:t>
      </w:r>
    </w:p>
    <w:p>
      <w:pPr>
        <w:pStyle w:val="6"/>
        <w:ind w:firstLine="480"/>
      </w:pPr>
      <w:r>
        <w:rPr>
          <w:rFonts w:hint="eastAsia"/>
        </w:rPr>
        <w:t>2）板间数据交互采用光纤AURORA通道：模拟量通道主频1G，应用数据通道主频10G；其中应用数据通道为双向链路，两个方向收发独立、互不干扰。</w:t>
      </w:r>
    </w:p>
    <w:p>
      <w:pPr>
        <w:pStyle w:val="6"/>
        <w:ind w:firstLine="480"/>
      </w:pPr>
      <w:r>
        <w:rPr>
          <w:rFonts w:hint="eastAsia"/>
        </w:rPr>
        <w:t>3）管理板与主处理板之间采用主控PCIE，管理板与辅助板之间采用辅助控制PCIE。</w:t>
      </w:r>
    </w:p>
    <w:p>
      <w:pPr>
        <w:pStyle w:val="6"/>
        <w:ind w:firstLine="480"/>
      </w:pPr>
      <w:r>
        <w:rPr>
          <w:rFonts w:hint="eastAsia"/>
        </w:rPr>
        <w:t>4）管理板CPU为RK3588，运行嵌入式Linux及通讯控制模块。</w:t>
      </w:r>
    </w:p>
    <w:p>
      <w:pPr>
        <w:pStyle w:val="6"/>
        <w:ind w:firstLine="480"/>
      </w:pPr>
      <w:r>
        <w:rPr>
          <w:rFonts w:hint="eastAsia"/>
        </w:rPr>
        <w:t>5）辅助板DDR划分为乒乓数据块A/B两块，乒乓切换使用；主处理板DDR不再划分乒乓数据块，按当前值方式缓存应用数据。</w:t>
      </w:r>
    </w:p>
    <w:p>
      <w:pPr>
        <w:pStyle w:val="6"/>
        <w:ind w:firstLine="480"/>
      </w:pPr>
      <w:r>
        <w:rPr>
          <w:rFonts w:hint="eastAsia"/>
        </w:rPr>
        <w:t>6）后台机与装置之间通过以太网通信。</w:t>
      </w:r>
    </w:p>
    <w:p>
      <w:pPr>
        <w:pStyle w:val="6"/>
        <w:ind w:firstLine="480"/>
      </w:pPr>
      <w:r>
        <w:rPr>
          <w:rFonts w:hint="eastAsia"/>
        </w:rPr>
        <w:t>7）应用逻辑须在50us的应用周期内完成本周期计算并输出结果，不得跨周期占用。</w:t>
      </w:r>
    </w:p>
    <w:p>
      <w:pPr>
        <w:pStyle w:val="4"/>
      </w:pPr>
      <w:bookmarkStart w:id="9" w:name="_Toc7983"/>
      <w:r>
        <w:rPr>
          <w:rFonts w:hint="eastAsia"/>
        </w:rPr>
        <w:t>功能分配与部署方案</w:t>
      </w:r>
      <w:bookmarkEnd w:id="9"/>
    </w:p>
    <w:p>
      <w:pPr>
        <w:pStyle w:val="6"/>
        <w:ind w:firstLine="480"/>
      </w:pPr>
      <w:r>
        <w:rPr>
          <w:rFonts w:hint="eastAsia"/>
        </w:rPr>
        <w:t>装置按“后台机—管理板—主处理板—辅助板”分层部署，各部分的功能分配与部署方案见表2。</w:t>
      </w:r>
    </w:p>
    <w:p>
      <w:pPr>
        <w:pStyle w:val="50"/>
      </w:pPr>
      <w:r>
        <w:rPr>
          <w:rFonts w:hint="eastAsia"/>
        </w:rPr>
        <w:t>表2 功能分配与部署方案</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pPr>
              <w:pStyle w:val="32"/>
            </w:pPr>
            <w:r>
              <w:rPr>
                <w:rFonts w:hint="eastAsia"/>
              </w:rPr>
              <w:t>部分</w:t>
            </w:r>
          </w:p>
        </w:tc>
        <w:tc>
          <w:tcPr>
            <w:tcW w:w="2126" w:type="dxa"/>
          </w:tcPr>
          <w:p>
            <w:pPr>
              <w:pStyle w:val="32"/>
            </w:pPr>
            <w:r>
              <w:rPr>
                <w:rFonts w:hint="eastAsia"/>
              </w:rPr>
              <w:t>载体</w:t>
            </w:r>
          </w:p>
        </w:tc>
        <w:tc>
          <w:tcPr>
            <w:tcW w:w="2126" w:type="dxa"/>
          </w:tcPr>
          <w:p>
            <w:pPr>
              <w:pStyle w:val="32"/>
            </w:pPr>
            <w:r>
              <w:rPr>
                <w:rFonts w:hint="eastAsia"/>
              </w:rPr>
              <w:t>部署内容</w:t>
            </w:r>
          </w:p>
        </w:tc>
        <w:tc>
          <w:tcPr>
            <w:tcW w:w="2126" w:type="dxa"/>
          </w:tcPr>
          <w:p>
            <w:pPr>
              <w:pStyle w:val="32"/>
            </w:pPr>
            <w:r>
              <w:rPr>
                <w:rFonts w:hint="eastAsia"/>
              </w:rPr>
              <w:t>主要职责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pPr>
              <w:pStyle w:val="34"/>
            </w:pPr>
            <w:r>
              <w:rPr>
                <w:rFonts w:hint="eastAsia"/>
              </w:rPr>
              <w:t>后台机</w:t>
            </w:r>
          </w:p>
        </w:tc>
        <w:tc>
          <w:tcPr>
            <w:tcW w:w="2126" w:type="dxa"/>
          </w:tcPr>
          <w:p>
            <w:pPr>
              <w:pStyle w:val="34"/>
            </w:pPr>
            <w:r>
              <w:rPr>
                <w:rFonts w:hint="eastAsia"/>
              </w:rPr>
              <w:t>上位机软件</w:t>
            </w:r>
          </w:p>
        </w:tc>
        <w:tc>
          <w:tcPr>
            <w:tcW w:w="2126" w:type="dxa"/>
          </w:tcPr>
          <w:p>
            <w:pPr>
              <w:pStyle w:val="34"/>
            </w:pPr>
            <w:r>
              <w:rPr>
                <w:rFonts w:hint="eastAsia"/>
              </w:rPr>
              <w:t>后台数据显示软件</w:t>
            </w:r>
          </w:p>
        </w:tc>
        <w:tc>
          <w:tcPr>
            <w:tcW w:w="2126" w:type="dxa"/>
          </w:tcPr>
          <w:p>
            <w:pPr>
              <w:pStyle w:val="34"/>
            </w:pPr>
            <w:r>
              <w:rPr>
                <w:rFonts w:hint="eastAsia"/>
              </w:rPr>
              <w:t>过程数据展示、状态监视、配置与控制命令下发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pPr>
              <w:pStyle w:val="34"/>
            </w:pPr>
            <w:r>
              <w:rPr>
                <w:rFonts w:hint="eastAsia"/>
              </w:rPr>
              <w:t>管理板</w:t>
            </w:r>
          </w:p>
        </w:tc>
        <w:tc>
          <w:tcPr>
            <w:tcW w:w="2126" w:type="dxa"/>
          </w:tcPr>
          <w:p>
            <w:pPr>
              <w:pStyle w:val="34"/>
            </w:pPr>
            <w:r>
              <w:rPr>
                <w:rFonts w:hint="eastAsia"/>
              </w:rPr>
              <w:t>RK3588嵌入式Linux</w:t>
            </w:r>
          </w:p>
        </w:tc>
        <w:tc>
          <w:tcPr>
            <w:tcW w:w="2126" w:type="dxa"/>
          </w:tcPr>
          <w:p>
            <w:pPr>
              <w:pStyle w:val="34"/>
            </w:pPr>
            <w:r>
              <w:rPr>
                <w:rFonts w:hint="eastAsia"/>
              </w:rPr>
              <w:t>嵌入式Linux操作系统、通讯控制模块</w:t>
            </w:r>
          </w:p>
        </w:tc>
        <w:tc>
          <w:tcPr>
            <w:tcW w:w="2126" w:type="dxa"/>
          </w:tcPr>
          <w:p>
            <w:pPr>
              <w:pStyle w:val="34"/>
            </w:pPr>
            <w:r>
              <w:rPr>
                <w:rFonts w:hint="eastAsia"/>
              </w:rPr>
              <w:t>系统平台与设备驱动支撑、后台机通信、主控/辅助控制PCIE管理、装置状态汇总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pPr>
              <w:pStyle w:val="34"/>
            </w:pPr>
            <w:r>
              <w:rPr>
                <w:rFonts w:hint="eastAsia"/>
              </w:rPr>
              <w:t>主处理板</w:t>
            </w:r>
          </w:p>
        </w:tc>
        <w:tc>
          <w:tcPr>
            <w:tcW w:w="2126" w:type="dxa"/>
          </w:tcPr>
          <w:p>
            <w:pPr>
              <w:pStyle w:val="34"/>
            </w:pPr>
            <w:r>
              <w:rPr>
                <w:rFonts w:hint="eastAsia"/>
              </w:rPr>
              <w:t>FPGA逻辑</w:t>
            </w:r>
          </w:p>
        </w:tc>
        <w:tc>
          <w:tcPr>
            <w:tcW w:w="2126" w:type="dxa"/>
          </w:tcPr>
          <w:p>
            <w:pPr>
              <w:pStyle w:val="34"/>
            </w:pPr>
            <w:r>
              <w:rPr>
                <w:rFonts w:hint="eastAsia"/>
              </w:rPr>
              <w:t>PCIE控制模块、模拟数据接收模块、应用逻辑、应用数据发送控制模块、本地缓存模块</w:t>
            </w:r>
          </w:p>
        </w:tc>
        <w:tc>
          <w:tcPr>
            <w:tcW w:w="2126" w:type="dxa"/>
          </w:tcPr>
          <w:p>
            <w:pPr>
              <w:pStyle w:val="34"/>
            </w:pPr>
            <w:r>
              <w:rPr>
                <w:rFonts w:hint="eastAsia"/>
              </w:rPr>
              <w:t>实时仿真计算、模拟量接收、应用数据回传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pPr>
              <w:pStyle w:val="34"/>
            </w:pPr>
            <w:r>
              <w:rPr>
                <w:rFonts w:hint="eastAsia"/>
              </w:rPr>
              <w:t>辅助板</w:t>
            </w:r>
          </w:p>
        </w:tc>
        <w:tc>
          <w:tcPr>
            <w:tcW w:w="2126" w:type="dxa"/>
          </w:tcPr>
          <w:p>
            <w:pPr>
              <w:pStyle w:val="34"/>
            </w:pPr>
            <w:r>
              <w:rPr>
                <w:rFonts w:hint="eastAsia"/>
              </w:rPr>
              <w:t>FPGA逻辑</w:t>
            </w:r>
          </w:p>
        </w:tc>
        <w:tc>
          <w:tcPr>
            <w:tcW w:w="2126" w:type="dxa"/>
          </w:tcPr>
          <w:p>
            <w:pPr>
              <w:pStyle w:val="34"/>
            </w:pPr>
            <w:r>
              <w:rPr>
                <w:rFonts w:hint="eastAsia"/>
              </w:rPr>
              <w:t>PCIE控制模块、模拟数据控制模块、应用数据接收模块、应用数据缓存模块</w:t>
            </w:r>
          </w:p>
        </w:tc>
        <w:tc>
          <w:tcPr>
            <w:tcW w:w="2126" w:type="dxa"/>
          </w:tcPr>
          <w:p>
            <w:pPr>
              <w:pStyle w:val="34"/>
            </w:pPr>
            <w:r>
              <w:rPr>
                <w:rFonts w:hint="eastAsia"/>
              </w:rPr>
              <w:t>模拟数据接入、应用数据接收与输出</w:t>
            </w:r>
          </w:p>
        </w:tc>
      </w:tr>
    </w:tbl>
    <w:p>
      <w:pPr>
        <w:pStyle w:val="6"/>
        <w:ind w:firstLine="480"/>
      </w:pPr>
    </w:p>
    <w:p>
      <w:pPr>
        <w:pStyle w:val="4"/>
      </w:pPr>
      <w:bookmarkStart w:id="10" w:name="_Toc4962"/>
      <w:r>
        <w:rPr>
          <w:rFonts w:hint="eastAsia"/>
        </w:rPr>
        <w:t>数据流设计</w:t>
      </w:r>
      <w:bookmarkEnd w:id="10"/>
    </w:p>
    <w:p>
      <w:pPr>
        <w:pStyle w:val="6"/>
        <w:ind w:firstLine="480"/>
      </w:pPr>
      <w:r>
        <w:rPr>
          <w:rFonts w:hint="eastAsia"/>
        </w:rPr>
        <w:t>装置数据流分为模拟量数据流、应用数据流以及管理与监控数据流三类，分别承载实时采样数据、仿真计算结果和配置监视信息，设计如下。</w:t>
      </w:r>
    </w:p>
    <w:p>
      <w:pPr>
        <w:pStyle w:val="5"/>
      </w:pPr>
      <w:r>
        <w:rPr>
          <w:rFonts w:hint="eastAsia"/>
        </w:rPr>
        <w:t>模拟量数据流（2us周期）</w:t>
      </w:r>
    </w:p>
    <w:p>
      <w:pPr>
        <w:pStyle w:val="6"/>
        <w:ind w:firstLine="480"/>
      </w:pPr>
      <w:r>
        <w:rPr>
          <w:rFonts w:hint="eastAsia"/>
        </w:rPr>
        <w:t>1）辅助板采集模拟数据，模拟数据控制模块按配置选择数据模式，按2us节拍组织模拟量数据帧。</w:t>
      </w:r>
    </w:p>
    <w:p>
      <w:pPr>
        <w:pStyle w:val="6"/>
        <w:ind w:firstLine="480"/>
      </w:pPr>
      <w:r>
        <w:rPr>
          <w:rFonts w:hint="eastAsia"/>
        </w:rPr>
        <w:t>2）辅助板FPGA经AURORA（主频1G）将模拟量数据流通过光纤通道发送至主处理板。</w:t>
      </w:r>
    </w:p>
    <w:p>
      <w:pPr>
        <w:pStyle w:val="6"/>
        <w:ind w:firstLine="480"/>
      </w:pPr>
      <w:r>
        <w:rPr>
          <w:rFonts w:hint="eastAsia"/>
        </w:rPr>
        <w:t>3）主处理板AURORA（主频1G）接收数据，完成帧解析与校验。</w:t>
      </w:r>
    </w:p>
    <w:p>
      <w:pPr>
        <w:pStyle w:val="6"/>
        <w:ind w:firstLine="480"/>
      </w:pPr>
      <w:r>
        <w:rPr>
          <w:rFonts w:hint="eastAsia"/>
        </w:rPr>
        <w:t>4）有效数据写入模拟量数据缓存（2us周期），供应用逻辑按节拍读取。</w:t>
      </w:r>
    </w:p>
    <w:p>
      <w:pPr>
        <w:pStyle w:val="6"/>
        <w:ind w:firstLine="480"/>
      </w:pPr>
      <w:r>
        <w:rPr>
          <w:rFonts w:hint="eastAsia"/>
        </w:rPr>
        <w:t>5）管理板经主控PCIE读取通道状态，异常时经以太网上报后台机告警。</w:t>
      </w:r>
    </w:p>
    <w:p>
      <w:pPr>
        <w:pStyle w:val="5"/>
      </w:pPr>
      <w:r>
        <w:rPr>
          <w:rFonts w:hint="eastAsia"/>
        </w:rPr>
        <w:t>应用数据流（50us周期）</w:t>
      </w:r>
    </w:p>
    <w:p>
      <w:pPr>
        <w:pStyle w:val="6"/>
        <w:ind w:firstLine="480"/>
      </w:pPr>
      <w:r>
        <w:rPr>
          <w:rFonts w:hint="eastAsia"/>
        </w:rPr>
        <w:t>1）主处理板应用逻辑完成实时仿真计算，计算结果（应用数据）同时写入应用数据发送缓存与本地缓存模块的DDR当前值缓存区。</w:t>
      </w:r>
    </w:p>
    <w:p>
      <w:pPr>
        <w:pStyle w:val="6"/>
        <w:ind w:firstLine="480"/>
      </w:pPr>
      <w:r>
        <w:rPr>
          <w:rFonts w:hint="eastAsia"/>
        </w:rPr>
        <w:t>2）应用数据发送缓存按50us周期组织应用数据帧。</w:t>
      </w:r>
    </w:p>
    <w:p>
      <w:pPr>
        <w:pStyle w:val="6"/>
        <w:ind w:firstLine="480"/>
      </w:pPr>
      <w:r>
        <w:rPr>
          <w:rFonts w:hint="eastAsia"/>
        </w:rPr>
        <w:t>3）主处理板经AURORA（主频10G）将应用数据流通过光纤通道发送至辅助板。</w:t>
      </w:r>
    </w:p>
    <w:p>
      <w:pPr>
        <w:pStyle w:val="6"/>
        <w:ind w:firstLine="480"/>
      </w:pPr>
      <w:r>
        <w:rPr>
          <w:rFonts w:hint="eastAsia"/>
        </w:rPr>
        <w:t>4）辅助板AURORA（主频10G）接收数据，经数据缓存校验后写入DDR乒乓数据块A/B。</w:t>
      </w:r>
    </w:p>
    <w:p>
      <w:pPr>
        <w:pStyle w:val="6"/>
        <w:ind w:firstLine="480"/>
      </w:pPr>
      <w:r>
        <w:rPr>
          <w:rFonts w:hint="eastAsia"/>
        </w:rPr>
        <w:t>5）DDR乒乓数据块A/B轮转切换，供输出通道按节拍取用，实现仿真结果的连续显示。</w:t>
      </w:r>
    </w:p>
    <w:p>
      <w:pPr>
        <w:pStyle w:val="5"/>
      </w:pPr>
      <w:r>
        <w:rPr>
          <w:rFonts w:hint="eastAsia"/>
        </w:rPr>
        <w:t>管理与监控数据流（PCIE/以太网）</w:t>
      </w:r>
    </w:p>
    <w:p>
      <w:pPr>
        <w:pStyle w:val="6"/>
        <w:ind w:firstLine="480"/>
      </w:pPr>
      <w:r>
        <w:rPr>
          <w:rFonts w:hint="eastAsia"/>
        </w:rPr>
        <w:t>1）后台机经以太网向管理板下发配置与控制命令，订阅装置状态与过程数据。</w:t>
      </w:r>
    </w:p>
    <w:p>
      <w:pPr>
        <w:pStyle w:val="6"/>
        <w:ind w:firstLine="480"/>
      </w:pPr>
      <w:r>
        <w:rPr>
          <w:rFonts w:hint="eastAsia"/>
        </w:rPr>
        <w:t>2）管理板通讯控制模块经主控PCIE访问主处理板PCIE控制模块，完成配置下发、状态读取、数据回读，并可访问主处理板DDR当前值缓存区；应用逻辑启停状态可经本通道直接下发至主处理板应用逻辑模块（路径一）。</w:t>
      </w:r>
    </w:p>
    <w:p>
      <w:pPr>
        <w:pStyle w:val="6"/>
        <w:ind w:firstLine="480"/>
      </w:pPr>
      <w:r>
        <w:rPr>
          <w:rFonts w:hint="eastAsia"/>
        </w:rPr>
        <w:t>3）管理板经辅助控制PCIE访问辅助板PCIE控制模块，完成辅助板的配置下发（含数据模式选择）与运行监视，并可回读辅助板DDR中的应用数据；应用逻辑启停状态亦可经本通道下发至辅助板，由辅助板经AURORA（主频10G）光纤通道转发至主处理板（路径二）。</w:t>
      </w:r>
    </w:p>
    <w:p>
      <w:pPr>
        <w:pStyle w:val="6"/>
        <w:ind w:firstLine="480"/>
      </w:pPr>
      <w:r>
        <w:rPr>
          <w:rFonts w:hint="eastAsia"/>
        </w:rPr>
        <w:t>4）应用逻辑启停状态的两条下发路径由管理板通讯控制模块按下发的定值配置选择，定值由后台机经以太网下发并保存于管理板，变更在启停命令下发前生效；同一时刻仅启用其中一条，两条路径的启停结果保持一致。</w:t>
      </w:r>
    </w:p>
    <w:p>
      <w:pPr>
        <w:pStyle w:val="6"/>
        <w:ind w:firstLine="480"/>
      </w:pPr>
      <w:r>
        <w:rPr>
          <w:rFonts w:hint="eastAsia"/>
        </w:rPr>
        <w:t>5）管理板汇总装置整体状态，按周期上传后台机显示；装置异常时即时上报告警。</w:t>
      </w:r>
    </w:p>
    <w:p>
      <w:pPr>
        <w:pStyle w:val="4"/>
      </w:pPr>
      <w:bookmarkStart w:id="11" w:name="_Toc25600"/>
      <w:r>
        <w:rPr>
          <w:rFonts w:hint="eastAsia"/>
        </w:rPr>
        <w:t>时序设计</w:t>
      </w:r>
      <w:bookmarkEnd w:id="11"/>
    </w:p>
    <w:p>
      <w:pPr>
        <w:pStyle w:val="6"/>
        <w:ind w:firstLine="480"/>
      </w:pPr>
      <w:r>
        <w:rPr>
          <w:rFonts w:hint="eastAsia"/>
        </w:rPr>
        <w:t>两条实时数据流的关键时序参数见表3。</w:t>
      </w:r>
    </w:p>
    <w:p>
      <w:pPr>
        <w:pStyle w:val="50"/>
      </w:pPr>
      <w:r>
        <w:rPr>
          <w:rFonts w:hint="eastAsia"/>
        </w:rPr>
        <w:t>表3 数据流时序参数</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2"/>
            </w:pPr>
            <w:r>
              <w:rPr>
                <w:rFonts w:hint="eastAsia"/>
              </w:rPr>
              <w:t>数据流</w:t>
            </w:r>
          </w:p>
        </w:tc>
        <w:tc>
          <w:tcPr>
            <w:tcW w:w="1701" w:type="dxa"/>
          </w:tcPr>
          <w:p>
            <w:pPr>
              <w:pStyle w:val="32"/>
            </w:pPr>
            <w:r>
              <w:rPr>
                <w:rFonts w:hint="eastAsia"/>
              </w:rPr>
              <w:t>通道</w:t>
            </w:r>
          </w:p>
        </w:tc>
        <w:tc>
          <w:tcPr>
            <w:tcW w:w="1701" w:type="dxa"/>
          </w:tcPr>
          <w:p>
            <w:pPr>
              <w:pStyle w:val="32"/>
            </w:pPr>
            <w:r>
              <w:rPr>
                <w:rFonts w:hint="eastAsia"/>
              </w:rPr>
              <w:t>周期</w:t>
            </w:r>
          </w:p>
        </w:tc>
        <w:tc>
          <w:tcPr>
            <w:tcW w:w="1701" w:type="dxa"/>
          </w:tcPr>
          <w:p>
            <w:pPr>
              <w:pStyle w:val="32"/>
            </w:pPr>
            <w:r>
              <w:rPr>
                <w:rFonts w:hint="eastAsia"/>
              </w:rPr>
              <w:t>方向</w:t>
            </w:r>
          </w:p>
        </w:tc>
        <w:tc>
          <w:tcPr>
            <w:tcW w:w="1701" w:type="dxa"/>
          </w:tcPr>
          <w:p>
            <w:pPr>
              <w:pStyle w:val="32"/>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rPr>
                <w:rFonts w:hint="eastAsia"/>
              </w:rPr>
              <w:t>模拟量数据流</w:t>
            </w:r>
          </w:p>
        </w:tc>
        <w:tc>
          <w:tcPr>
            <w:tcW w:w="1701" w:type="dxa"/>
          </w:tcPr>
          <w:p>
            <w:pPr>
              <w:pStyle w:val="34"/>
            </w:pPr>
            <w:r>
              <w:rPr>
                <w:rFonts w:hint="eastAsia"/>
              </w:rPr>
              <w:t>AURORA光纤（主频1G）</w:t>
            </w:r>
          </w:p>
        </w:tc>
        <w:tc>
          <w:tcPr>
            <w:tcW w:w="1701" w:type="dxa"/>
          </w:tcPr>
          <w:p>
            <w:pPr>
              <w:pStyle w:val="34"/>
            </w:pPr>
            <w:r>
              <w:t>2us</w:t>
            </w:r>
          </w:p>
        </w:tc>
        <w:tc>
          <w:tcPr>
            <w:tcW w:w="1701" w:type="dxa"/>
          </w:tcPr>
          <w:p>
            <w:pPr>
              <w:pStyle w:val="34"/>
            </w:pPr>
            <w:r>
              <w:rPr>
                <w:rFonts w:hint="eastAsia"/>
              </w:rPr>
              <w:t>辅助板→主处理板</w:t>
            </w:r>
          </w:p>
        </w:tc>
        <w:tc>
          <w:tcPr>
            <w:tcW w:w="1701" w:type="dxa"/>
          </w:tcPr>
          <w:p>
            <w:pPr>
              <w:pStyle w:val="34"/>
            </w:pPr>
            <w:r>
              <w:rPr>
                <w:rFonts w:hint="eastAsia"/>
              </w:rPr>
              <w:t>实时采样数据，写入模拟量数据缓存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rPr>
                <w:rFonts w:hint="eastAsia"/>
              </w:rPr>
              <w:t>应用数据流</w:t>
            </w:r>
          </w:p>
        </w:tc>
        <w:tc>
          <w:tcPr>
            <w:tcW w:w="1701" w:type="dxa"/>
          </w:tcPr>
          <w:p>
            <w:pPr>
              <w:pStyle w:val="34"/>
            </w:pPr>
            <w:r>
              <w:rPr>
                <w:rFonts w:hint="eastAsia"/>
              </w:rPr>
              <w:t>AURORA光纤（主频10G）</w:t>
            </w:r>
          </w:p>
        </w:tc>
        <w:tc>
          <w:tcPr>
            <w:tcW w:w="1701" w:type="dxa"/>
          </w:tcPr>
          <w:p>
            <w:pPr>
              <w:pStyle w:val="34"/>
            </w:pPr>
            <w:r>
              <w:t>50us</w:t>
            </w:r>
          </w:p>
        </w:tc>
        <w:tc>
          <w:tcPr>
            <w:tcW w:w="1701" w:type="dxa"/>
          </w:tcPr>
          <w:p>
            <w:pPr>
              <w:pStyle w:val="34"/>
            </w:pPr>
            <w:r>
              <w:rPr>
                <w:rFonts w:hint="eastAsia"/>
              </w:rPr>
              <w:t>主处理板↔辅助板（双向链路）</w:t>
            </w:r>
          </w:p>
        </w:tc>
        <w:tc>
          <w:tcPr>
            <w:tcW w:w="1701" w:type="dxa"/>
          </w:tcPr>
          <w:p>
            <w:pPr>
              <w:pStyle w:val="34"/>
            </w:pPr>
            <w:r>
              <w:rPr>
                <w:rFonts w:hint="eastAsia"/>
              </w:rPr>
              <w:t>仿真计算结果，经辅助板数据缓存写入DDR乒乓数据块A/B；反向承载路径二的启停状态转发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rPr>
                <w:rFonts w:hint="eastAsia"/>
              </w:rPr>
              <w:t>管理通道</w:t>
            </w:r>
          </w:p>
        </w:tc>
        <w:tc>
          <w:tcPr>
            <w:tcW w:w="1701" w:type="dxa"/>
          </w:tcPr>
          <w:p>
            <w:pPr>
              <w:pStyle w:val="34"/>
            </w:pPr>
            <w:r>
              <w:rPr>
                <w:rFonts w:hint="eastAsia"/>
              </w:rPr>
              <w:t>主控PCIE</w:t>
            </w:r>
          </w:p>
        </w:tc>
        <w:tc>
          <w:tcPr>
            <w:tcW w:w="1701" w:type="dxa"/>
          </w:tcPr>
          <w:p>
            <w:pPr>
              <w:pStyle w:val="34"/>
            </w:pPr>
            <w:r>
              <w:rPr>
                <w:rFonts w:hint="eastAsia"/>
              </w:rPr>
              <w:t>事件/周期</w:t>
            </w:r>
          </w:p>
        </w:tc>
        <w:tc>
          <w:tcPr>
            <w:tcW w:w="1701" w:type="dxa"/>
          </w:tcPr>
          <w:p>
            <w:pPr>
              <w:pStyle w:val="34"/>
            </w:pPr>
            <w:r>
              <w:rPr>
                <w:rFonts w:hint="eastAsia"/>
              </w:rPr>
              <w:t>管理板↔主处理板</w:t>
            </w:r>
          </w:p>
        </w:tc>
        <w:tc>
          <w:tcPr>
            <w:tcW w:w="1701" w:type="dxa"/>
          </w:tcPr>
          <w:p>
            <w:pPr>
              <w:pStyle w:val="34"/>
            </w:pPr>
            <w:r>
              <w:rPr>
                <w:rFonts w:hint="eastAsia"/>
              </w:rPr>
              <w:t>配置、状态、数据回读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rPr>
                <w:rFonts w:hint="eastAsia"/>
              </w:rPr>
              <w:t>辅助管理通道</w:t>
            </w:r>
          </w:p>
        </w:tc>
        <w:tc>
          <w:tcPr>
            <w:tcW w:w="1701" w:type="dxa"/>
          </w:tcPr>
          <w:p>
            <w:pPr>
              <w:pStyle w:val="34"/>
            </w:pPr>
            <w:r>
              <w:rPr>
                <w:rFonts w:hint="eastAsia"/>
              </w:rPr>
              <w:t>辅助控制PCIE</w:t>
            </w:r>
          </w:p>
        </w:tc>
        <w:tc>
          <w:tcPr>
            <w:tcW w:w="1701" w:type="dxa"/>
          </w:tcPr>
          <w:p>
            <w:pPr>
              <w:pStyle w:val="34"/>
            </w:pPr>
            <w:r>
              <w:rPr>
                <w:rFonts w:hint="eastAsia"/>
              </w:rPr>
              <w:t>事件/周期</w:t>
            </w:r>
          </w:p>
        </w:tc>
        <w:tc>
          <w:tcPr>
            <w:tcW w:w="1701" w:type="dxa"/>
          </w:tcPr>
          <w:p>
            <w:pPr>
              <w:pStyle w:val="34"/>
            </w:pPr>
            <w:r>
              <w:rPr>
                <w:rFonts w:hint="eastAsia"/>
              </w:rPr>
              <w:t>管理板↔辅助板</w:t>
            </w:r>
          </w:p>
        </w:tc>
        <w:tc>
          <w:tcPr>
            <w:tcW w:w="1701" w:type="dxa"/>
          </w:tcPr>
          <w:p>
            <w:pPr>
              <w:pStyle w:val="34"/>
            </w:pPr>
            <w:r>
              <w:rPr>
                <w:rFonts w:hint="eastAsia"/>
              </w:rPr>
              <w:t>配置、状态监视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rPr>
                <w:rFonts w:hint="eastAsia"/>
              </w:rPr>
              <w:t>后台通道</w:t>
            </w:r>
          </w:p>
        </w:tc>
        <w:tc>
          <w:tcPr>
            <w:tcW w:w="1701" w:type="dxa"/>
          </w:tcPr>
          <w:p>
            <w:pPr>
              <w:pStyle w:val="34"/>
            </w:pPr>
            <w:r>
              <w:rPr>
                <w:rFonts w:hint="eastAsia"/>
              </w:rPr>
              <w:t>以太网</w:t>
            </w:r>
          </w:p>
        </w:tc>
        <w:tc>
          <w:tcPr>
            <w:tcW w:w="1701" w:type="dxa"/>
          </w:tcPr>
          <w:p>
            <w:pPr>
              <w:pStyle w:val="34"/>
            </w:pPr>
            <w:r>
              <w:rPr>
                <w:rFonts w:hint="eastAsia"/>
              </w:rPr>
              <w:t>周期/事件</w:t>
            </w:r>
          </w:p>
        </w:tc>
        <w:tc>
          <w:tcPr>
            <w:tcW w:w="1701" w:type="dxa"/>
          </w:tcPr>
          <w:p>
            <w:pPr>
              <w:pStyle w:val="34"/>
            </w:pPr>
            <w:r>
              <w:rPr>
                <w:rFonts w:hint="eastAsia"/>
              </w:rPr>
              <w:t>管理板↔后台机</w:t>
            </w:r>
          </w:p>
        </w:tc>
        <w:tc>
          <w:tcPr>
            <w:tcW w:w="1701" w:type="dxa"/>
          </w:tcPr>
          <w:p>
            <w:pPr>
              <w:pStyle w:val="34"/>
            </w:pPr>
            <w:r>
              <w:rPr>
                <w:rFonts w:hint="eastAsia"/>
              </w:rPr>
              <w:t>状态汇总上传、命令下发</w:t>
            </w:r>
          </w:p>
        </w:tc>
      </w:tr>
    </w:tbl>
    <w:p>
      <w:pPr>
        <w:pStyle w:val="6"/>
        <w:ind w:firstLine="480"/>
      </w:pPr>
    </w:p>
    <w:p>
      <w:pPr>
        <w:pStyle w:val="6"/>
        <w:ind w:firstLine="480"/>
      </w:pPr>
      <w:r>
        <w:rPr>
          <w:rFonts w:hint="eastAsia"/>
        </w:rPr>
        <w:t>时序要求：模拟量数据缓存按2us周期刷新，应用逻辑每个节拍读取最新模拟量数据；应用数据发送缓存按50us周期刷新，模拟量节拍与应用节拍之比为25:1；应用逻辑须在一个应用周期内完成本周期计算并将结果写入应用数据发送缓存。</w:t>
      </w:r>
    </w:p>
    <w:p>
      <w:pPr>
        <w:pStyle w:val="6"/>
        <w:ind w:firstLine="480"/>
      </w:pPr>
      <w:r>
        <w:rPr>
          <w:rFonts w:hint="eastAsia"/>
        </w:rPr>
        <w:t>端到端闭环时延按50us应用周期设计：模拟数据获取与传输、应用逻辑计算、应用数据回传与DDR写入各环节须在一个应用周期内完成；具体时延分配以联调实测结果为准，实测数据记入测试报告。</w:t>
      </w:r>
    </w:p>
    <w:p>
      <w:pPr>
        <w:pStyle w:val="6"/>
        <w:ind w:firstLine="480"/>
      </w:pPr>
    </w:p>
    <w:p>
      <w:pPr>
        <w:pStyle w:val="4"/>
      </w:pPr>
      <w:bookmarkStart w:id="12" w:name="_Toc19701"/>
      <w:r>
        <w:rPr>
          <w:rFonts w:hint="eastAsia"/>
        </w:rPr>
        <w:t>可靠性设计</w:t>
      </w:r>
      <w:bookmarkEnd w:id="12"/>
    </w:p>
    <w:p>
      <w:pPr>
        <w:pStyle w:val="6"/>
        <w:ind w:firstLine="480"/>
      </w:pPr>
      <w:r>
        <w:rPr>
          <w:rFonts w:hint="eastAsia"/>
        </w:rPr>
        <w:t>1）链路监视：AURORA通道监视链路就绪与误码状态，PCIE链路监视链路训练状态，异常时上报管理板并经以太网告警后台机。</w:t>
      </w:r>
    </w:p>
    <w:p>
      <w:pPr>
        <w:pStyle w:val="6"/>
        <w:ind w:firstLine="480"/>
      </w:pPr>
      <w:r>
        <w:rPr>
          <w:rFonts w:hint="eastAsia"/>
        </w:rPr>
        <w:t>2）数据完整性：数据帧含帧头帧尾标识与累加和校验，错帧丢弃并计数，通道误码率可经管理通道读取。</w:t>
      </w:r>
    </w:p>
    <w:p>
      <w:pPr>
        <w:pStyle w:val="6"/>
        <w:ind w:firstLine="480"/>
      </w:pPr>
      <w:r>
        <w:rPr>
          <w:rFonts w:hint="eastAsia"/>
        </w:rPr>
        <w:t>3）缓存管理：辅助板DDR划分为乒乓数据块A/B并采用乒乓切换，读写地址分离，避免读写冲突导致数据撕裂；主处理板DDR采用当前值缓存方式，同一缓存区按周期覆盖写入，由写入节拍与PCIE读取窗口的时序配合保证读出数据的完整性。</w:t>
      </w:r>
    </w:p>
    <w:p>
      <w:pPr>
        <w:pStyle w:val="6"/>
        <w:ind w:firstLine="480"/>
      </w:pPr>
      <w:r>
        <w:rPr>
          <w:rFonts w:hint="eastAsia"/>
        </w:rPr>
        <w:t>4）管理板可靠性：通讯控制模块运行监视，异常看门狗重启；与后台机断链时装置闭环仿真不受影响，关键状态本地缓存。</w:t>
      </w:r>
    </w:p>
    <w:p>
      <w:pPr>
        <w:pStyle w:val="6"/>
        <w:ind w:firstLine="480"/>
      </w:pPr>
      <w:r>
        <w:rPr>
          <w:rFonts w:hint="eastAsia"/>
        </w:rPr>
        <w:t>5）上电与复位：装置上电后按“管理板—主处理板—辅助板”顺序完成自检与配置下发，链路未就绪前不启动实时闭环；运行中发生不可恢复故障时由看门狗复位，复位后重新完成同步。</w:t>
      </w:r>
    </w:p>
    <w:p>
      <w:pPr>
        <w:pStyle w:val="6"/>
        <w:ind w:firstLine="480"/>
      </w:pPr>
      <w:r>
        <w:rPr>
          <w:rFonts w:hint="eastAsia"/>
        </w:rPr>
        <w:t>6）网络通道：后台机与管理板之间采用TCP长连接并以心跳报文维持（心跳周期1s，连续3个周期无报文判定链路中断）；链路中断后管理板本地缓存关键状态与告警，后台机按退避策略自动重连（初始2s，逐步增大至30s上限），链路恢复后补传缓存数据。</w:t>
      </w:r>
    </w:p>
    <w:p>
      <w:pPr>
        <w:pStyle w:val="2"/>
      </w:pPr>
      <w:bookmarkStart w:id="13" w:name="_Toc6746"/>
      <w:r>
        <w:rPr>
          <w:rFonts w:hint="eastAsia"/>
        </w:rPr>
        <w:t>模块设计</w:t>
      </w:r>
      <w:bookmarkEnd w:id="13"/>
    </w:p>
    <w:p>
      <w:pPr>
        <w:pStyle w:val="4"/>
      </w:pPr>
      <w:bookmarkStart w:id="14" w:name="_Toc3918"/>
      <w:r>
        <w:rPr>
          <w:rFonts w:hint="eastAsia"/>
        </w:rPr>
        <w:t>管理板（RK3588）</w:t>
      </w:r>
      <w:bookmarkEnd w:id="14"/>
    </w:p>
    <w:p>
      <w:pPr>
        <w:pStyle w:val="6"/>
        <w:ind w:firstLine="480"/>
      </w:pPr>
      <w:r>
        <w:rPr>
          <w:rFonts w:hint="eastAsia"/>
        </w:rPr>
        <w:t>管理板以CPU RK3588为核心，由操作系统与通讯控制模块两部分组成，是装置的管理与通信中枢，不参与2us/50us实时闭环数据链路。</w:t>
      </w:r>
    </w:p>
    <w:p>
      <w:pPr>
        <w:pStyle w:val="5"/>
      </w:pPr>
      <w:r>
        <w:rPr>
          <w:rFonts w:hint="eastAsia"/>
        </w:rPr>
        <w:t>通讯控制模块</w:t>
      </w:r>
    </w:p>
    <w:p>
      <w:pPr>
        <w:pStyle w:val="6"/>
        <w:ind w:firstLine="480"/>
      </w:pPr>
      <w:r>
        <w:rPr>
          <w:rFonts w:hint="eastAsia"/>
        </w:rPr>
        <w:t>1）后台机通信：接收后台机下发的配置与控制命令，按周期上传装置状态与过程数据；通信协议与报文处理见“网络通讯协议”。</w:t>
      </w:r>
    </w:p>
    <w:p>
      <w:pPr>
        <w:pStyle w:val="6"/>
        <w:ind w:firstLine="480"/>
      </w:pPr>
      <w:r>
        <w:rPr>
          <w:rFonts w:hint="eastAsia"/>
        </w:rPr>
        <w:t>2）装置管理：经主控PCIE与辅助控制PCIE分别对主处理板和辅助板完成配置下发、状态监视与数据回读；其中应用逻辑参数（含启停下发路径）以定值方式管理，由后台机下发、本模块保存并生效；应用逻辑启停状态提供“主控PCIE直发主处理板”与“经辅助板AURORA（主频10G）转发”两条下发路径，由本模块按该定值选择并保持一致。</w:t>
      </w:r>
    </w:p>
    <w:p>
      <w:pPr>
        <w:pStyle w:val="6"/>
        <w:ind w:firstLine="480"/>
      </w:pPr>
      <w:r>
        <w:rPr>
          <w:rFonts w:hint="eastAsia"/>
        </w:rPr>
        <w:t>3）状态汇总：汇总AURORA链路、PCIE链路与各板卡运行状态，形成装置整体状态。</w:t>
      </w:r>
    </w:p>
    <w:p>
      <w:pPr>
        <w:pStyle w:val="6"/>
        <w:ind w:firstLine="480"/>
      </w:pPr>
      <w:r>
        <w:rPr>
          <w:rFonts w:hint="eastAsia"/>
        </w:rPr>
        <w:t>4）异常处理：链路异常、校验错误、缓存越限等事件的本地记录与上报；通信中断期间关键状态本地缓存，恢复后补传。</w:t>
      </w:r>
    </w:p>
    <w:p>
      <w:pPr>
        <w:pStyle w:val="6"/>
        <w:ind w:firstLine="480"/>
      </w:pPr>
      <w:r>
        <w:rPr>
          <w:rFonts w:hint="eastAsia"/>
        </w:rPr>
        <w:t>5）网络接口：经以太网与后台机建立TCP连接（管理板为服务端，服务端口8006，后台显示软件为客户端），承载配置命令、控制命令、状态数据与过程数据；通信断链时装置侧闭环仿真继续运行，关键状态本地缓存，链路恢复后补传；心跳周期、断链判定与重连策略见“网络通讯协议”，报文格式见表4~表6。</w:t>
      </w:r>
    </w:p>
    <w:p>
      <w:pPr>
        <w:pStyle w:val="5"/>
      </w:pPr>
      <w:r>
        <w:rPr>
          <w:rFonts w:hint="eastAsia"/>
        </w:rPr>
        <w:t>操作系统</w:t>
      </w:r>
    </w:p>
    <w:p>
      <w:pPr>
        <w:pStyle w:val="6"/>
        <w:ind w:firstLine="480"/>
      </w:pPr>
      <w:r>
        <w:rPr>
          <w:rFonts w:hint="eastAsia"/>
        </w:rPr>
        <w:t>管理板运行嵌入式Linux操作系统，承担系统平台与设备驱动职责，为通讯控制模块提供运行环境与硬件访问能力，主要内容如下。</w:t>
      </w:r>
    </w:p>
    <w:p>
      <w:pPr>
        <w:pStyle w:val="6"/>
        <w:ind w:firstLine="480"/>
      </w:pPr>
      <w:r>
        <w:rPr>
          <w:rFonts w:hint="eastAsia"/>
        </w:rPr>
        <w:t>1）系统平台：嵌入式Linux内核移植与裁剪，文件系统、启动脚本与系统服务配置，提供进程管理、日志记录与异常处理等基础能力。</w:t>
      </w:r>
    </w:p>
    <w:p>
      <w:pPr>
        <w:pStyle w:val="6"/>
        <w:ind w:firstLine="480"/>
      </w:pPr>
      <w:r>
        <w:rPr>
          <w:rFonts w:hint="eastAsia"/>
        </w:rPr>
        <w:t>2）设备驱动：以太网驱动与PCIE驱动实现，主控PCIE与辅助控制PCIE经驱动封装为统一的设备访问接口，供通讯控制模块调用。</w:t>
      </w:r>
    </w:p>
    <w:p>
      <w:pPr>
        <w:pStyle w:val="6"/>
        <w:ind w:firstLine="480"/>
      </w:pPr>
      <w:r>
        <w:rPr>
          <w:rFonts w:hint="eastAsia"/>
        </w:rPr>
        <w:t>3）主控PCIE接口：主控PCIE用于管理板对主处理板的管理，完成应用逻辑参数配置、AURORA通道与缓存状态读取、过程数据回读，并可经PCIE控制模块访问主处理板DDR中的当前值缓存区。主处理板侧由PCIE控制模块承接，以寄存器与数据窗口方式提供服务，地址空间由接口协议规范定义。</w:t>
      </w:r>
    </w:p>
    <w:p>
      <w:pPr>
        <w:pStyle w:val="6"/>
        <w:ind w:firstLine="480"/>
      </w:pPr>
      <w:r>
        <w:rPr>
          <w:rFonts w:hint="eastAsia"/>
        </w:rPr>
        <w:t>4）辅助控制PCIE接口：辅助控制PCIE用于管理板对辅助板的管理，完成辅助板采集与数据模式配置、数据缓存与DDR管理状态读取、DDR应用数据回读。辅助板侧由PCIE控制模块承接，服务方式与主控PCIE保持一致。</w:t>
      </w:r>
    </w:p>
    <w:p>
      <w:pPr>
        <w:pStyle w:val="4"/>
      </w:pPr>
      <w:bookmarkStart w:id="15" w:name="_Toc30523"/>
      <w:r>
        <w:rPr>
          <w:rFonts w:hint="eastAsia"/>
        </w:rPr>
        <w:t>主处理板</w:t>
      </w:r>
      <w:bookmarkEnd w:id="15"/>
    </w:p>
    <w:p>
      <w:pPr>
        <w:pStyle w:val="6"/>
        <w:ind w:firstLine="480"/>
      </w:pPr>
      <w:r>
        <w:rPr>
          <w:rFonts w:hint="eastAsia"/>
        </w:rPr>
        <w:t>主处理板以FPGA为核心，是装置的实时仿真计算核心，由PCIE控制模块、模拟数据接收模块、应用逻辑、应用数据发送控制模块与本地缓存模块组成。</w:t>
      </w:r>
    </w:p>
    <w:p>
      <w:pPr>
        <w:pStyle w:val="5"/>
      </w:pPr>
      <w:r>
        <w:rPr>
          <w:rFonts w:hint="eastAsia"/>
        </w:rPr>
        <w:t>PCIE控制模块</w:t>
      </w:r>
    </w:p>
    <w:p>
      <w:pPr>
        <w:pStyle w:val="6"/>
        <w:ind w:firstLine="480"/>
      </w:pPr>
      <w:r>
        <w:rPr>
          <w:rFonts w:hint="eastAsia"/>
        </w:rPr>
        <w:t>承接管理板主控PCIE访问，提供配置寄存器、状态寄存器与数据回读窗口，支持对DDR当前值缓存区的访问，并完成PCIE链路训练状态监视与上报。</w:t>
      </w:r>
    </w:p>
    <w:p>
      <w:pPr>
        <w:pStyle w:val="5"/>
      </w:pPr>
      <w:r>
        <w:rPr>
          <w:rFonts w:hint="eastAsia"/>
        </w:rPr>
        <w:t>模拟数据接收模块</w:t>
      </w:r>
    </w:p>
    <w:p>
      <w:pPr>
        <w:pStyle w:val="6"/>
        <w:ind w:firstLine="480"/>
      </w:pPr>
      <w:r>
        <w:rPr>
          <w:rFonts w:hint="eastAsia"/>
        </w:rPr>
        <w:t>AURORA（主频1G）经光纤通道接收辅助板发送的模拟量数据流，完成帧同步、帧解析与校验；有效数据按2us周期写入模拟量数据缓存，供应用逻辑按节拍读取。</w:t>
      </w:r>
    </w:p>
    <w:p>
      <w:pPr>
        <w:pStyle w:val="5"/>
      </w:pPr>
      <w:r>
        <w:rPr>
          <w:rFonts w:hint="eastAsia"/>
        </w:rPr>
        <w:t>应用逻辑</w:t>
      </w:r>
    </w:p>
    <w:p>
      <w:pPr>
        <w:pStyle w:val="6"/>
        <w:ind w:firstLine="480"/>
      </w:pPr>
      <w:r>
        <w:rPr>
          <w:rFonts w:hint="eastAsia"/>
        </w:rPr>
        <w:t>应用逻辑为实时仿真计算核心，按2us节拍读取模拟量数据缓存完成计算，计算结果（应用数据）同时送应用数据发送控制模块的应用数据发送缓存与本地缓存模块的DDR，两条通路并行写入；须在50us应用数据周期内完成本周期计算与结果输出，运行状态与加载版本信息经PCIE控制模块供管理板读取。应用逻辑启停状态可经主控PCIE直接接收（路径一），或经辅助板由AURORA（主频10G）光纤通道转发接收（路径二），两条路径由管理板通讯控制模块按定值配置选择。</w:t>
      </w:r>
    </w:p>
    <w:p>
      <w:pPr>
        <w:pStyle w:val="5"/>
      </w:pPr>
      <w:r>
        <w:rPr>
          <w:rFonts w:hint="eastAsia"/>
        </w:rPr>
        <w:t>应用数据发送控制模块</w:t>
      </w:r>
    </w:p>
    <w:p>
      <w:pPr>
        <w:pStyle w:val="6"/>
        <w:ind w:firstLine="480"/>
      </w:pPr>
      <w:r>
        <w:rPr>
          <w:rFonts w:hint="eastAsia"/>
        </w:rPr>
        <w:t>应用数据发送缓存按50us周期接收应用逻辑输出的应用数据并组织应用数据帧，与本地缓存模块的DDR写入并行进行，同一份应用数据同时送入两条通路；应用数据帧经双向的AURORA（主频10G）光纤通道发送至辅助板；发送侧记录帧序号与校验和，供对端校验与丢帧统计。本通道为双向链路，路径二启用时接收辅助板经本通道反向转发的应用逻辑启停状态，并送应用逻辑模块执行。</w:t>
      </w:r>
    </w:p>
    <w:p>
      <w:pPr>
        <w:pStyle w:val="5"/>
      </w:pPr>
      <w:r>
        <w:rPr>
          <w:rFonts w:hint="eastAsia"/>
        </w:rPr>
        <w:t>本地缓存模块</w:t>
      </w:r>
    </w:p>
    <w:p>
      <w:pPr>
        <w:pStyle w:val="6"/>
        <w:ind w:firstLine="480"/>
      </w:pPr>
      <w:r>
        <w:rPr>
          <w:rFonts w:hint="eastAsia"/>
        </w:rPr>
        <w:t>本地缓存模块与应用数据发送控制模块并行接收同一份应用数据，并以当前值方式缓存至DDR内存中：DDR不再划分为乒乓数据块，而是设置当前值缓存区，按50us应用周期写入本周期应用数据并覆盖上一周期数据，使DDR中始终保持最近一次计算结果；每个周期写入完成后，本模块经PCIE向管理板触发中断，管理板响应中断后经PCIE控制模块读取该当前值；数据有效标志、写入序号与数据长度等状态同时以寄存器方式供管理板查询。</w:t>
      </w:r>
    </w:p>
    <w:p>
      <w:pPr>
        <w:pStyle w:val="4"/>
      </w:pPr>
      <w:bookmarkStart w:id="16" w:name="_Toc4229"/>
      <w:r>
        <w:rPr>
          <w:rFonts w:hint="eastAsia"/>
        </w:rPr>
        <w:t>辅助板</w:t>
      </w:r>
      <w:bookmarkEnd w:id="16"/>
    </w:p>
    <w:p>
      <w:pPr>
        <w:pStyle w:val="6"/>
        <w:ind w:firstLine="480"/>
      </w:pPr>
      <w:r>
        <w:rPr>
          <w:rFonts w:hint="eastAsia"/>
        </w:rPr>
        <w:t>辅助板以FPGA为核心，承担模拟量数据接入与仿真结果输出，由PCIE控制模块、模拟数据控制模块、应用数据接收模块与应用数据缓存模块组成。</w:t>
      </w:r>
    </w:p>
    <w:p>
      <w:pPr>
        <w:pStyle w:val="5"/>
      </w:pPr>
      <w:r>
        <w:rPr>
          <w:rFonts w:hint="eastAsia"/>
        </w:rPr>
        <w:t>PCIE控制模块</w:t>
      </w:r>
    </w:p>
    <w:p>
      <w:pPr>
        <w:pStyle w:val="6"/>
        <w:ind w:firstLine="480"/>
      </w:pPr>
      <w:r>
        <w:rPr>
          <w:rFonts w:hint="eastAsia"/>
        </w:rPr>
        <w:t>承接管理板辅助控制PCIE访问，提供采集配置、通道配置与状态寄存器，完成PCIE链路状态监视与上报，并支持DDR应用数据回读；路径二启用时，承接管理板下发的应用逻辑启停状态，并经双向的AURORA（主频10G）光纤通道反向转发至主处理板。</w:t>
      </w:r>
    </w:p>
    <w:p>
      <w:pPr>
        <w:pStyle w:val="5"/>
      </w:pPr>
      <w:r>
        <w:rPr>
          <w:rFonts w:hint="eastAsia"/>
        </w:rPr>
        <w:t>模拟数据控制模块</w:t>
      </w:r>
    </w:p>
    <w:p>
      <w:pPr>
        <w:pStyle w:val="6"/>
        <w:ind w:firstLine="480"/>
      </w:pPr>
      <w:r>
        <w:rPr>
          <w:rFonts w:hint="eastAsia"/>
        </w:rPr>
        <w:t>按管理板经PCIE下发的配置选择模拟量数据模式（数据类型、通道使能等），配置变更在帧边界生效，不产生错帧；模拟数据经模式选择后按2us周期组织为数据帧，经光纤通道发送至主处理板，发送侧添加帧序号与校验和，链路状态与发送统计经PCIE控制模块上报管理板。</w:t>
      </w:r>
    </w:p>
    <w:p>
      <w:pPr>
        <w:pStyle w:val="5"/>
      </w:pPr>
      <w:r>
        <w:rPr>
          <w:rFonts w:hint="eastAsia"/>
        </w:rPr>
        <w:t>应用数据接收模块</w:t>
      </w:r>
    </w:p>
    <w:p>
      <w:pPr>
        <w:pStyle w:val="6"/>
        <w:ind w:firstLine="480"/>
      </w:pPr>
      <w:r>
        <w:rPr>
          <w:rFonts w:hint="eastAsia"/>
        </w:rPr>
        <w:t>AURORA（主频10G）经光纤通道接收主处理板回传的应用数据流，解析校验后写入数据缓存，再写入DDR乒乓数据块A/B；错帧丢弃并计数，丢帧率可经PCIE读取。</w:t>
      </w:r>
    </w:p>
    <w:p>
      <w:pPr>
        <w:pStyle w:val="5"/>
      </w:pPr>
      <w:r>
        <w:rPr>
          <w:rFonts w:hint="eastAsia"/>
        </w:rPr>
        <w:t>应用数据缓存模块</w:t>
      </w:r>
    </w:p>
    <w:p>
      <w:pPr>
        <w:pStyle w:val="6"/>
        <w:ind w:firstLine="480"/>
      </w:pPr>
      <w:r>
        <w:rPr>
          <w:rFonts w:hint="eastAsia"/>
        </w:rPr>
        <w:t>DDR划分为乒乓数据块A/B两块，乒乓轮转存储应用数据，供输出通道按节拍取用，实现仿真结果的连续输出；输出侧应用数据可经PCIE控制模块回读，数据块状态经PCIE控制模块供管理板监视。</w:t>
      </w:r>
    </w:p>
    <w:p>
      <w:pPr>
        <w:pStyle w:val="4"/>
      </w:pPr>
      <w:bookmarkStart w:id="17" w:name="_Toc8487"/>
      <w:r>
        <w:rPr>
          <w:rFonts w:hint="eastAsia"/>
        </w:rPr>
        <w:t>后台机软件</w:t>
      </w:r>
      <w:bookmarkEnd w:id="17"/>
    </w:p>
    <w:p>
      <w:pPr>
        <w:pStyle w:val="6"/>
        <w:ind w:firstLine="480"/>
      </w:pPr>
      <w:r>
        <w:rPr>
          <w:rFonts w:hint="eastAsia"/>
        </w:rPr>
        <w:t>后台机软件运行于上位机，完成过程数据展示、控制界面操作、配置控制与数据记录，其中控制界面为使用者提供装置运行控制与曲线显示控制的操作入口，功能要求如下。</w:t>
      </w:r>
    </w:p>
    <w:p>
      <w:pPr>
        <w:pStyle w:val="6"/>
        <w:ind w:firstLine="480"/>
      </w:pPr>
      <w:r>
        <w:rPr>
          <w:rFonts w:hint="eastAsia"/>
        </w:rPr>
        <w:t>1）后台数据显示：以曲线形式展示管理板上送的应用数据流，支持时间轴缩放。</w:t>
      </w:r>
    </w:p>
    <w:p>
      <w:pPr>
        <w:pStyle w:val="6"/>
        <w:ind w:firstLine="480"/>
      </w:pPr>
      <w:r>
        <w:rPr>
          <w:rFonts w:hint="eastAsia"/>
        </w:rPr>
        <w:t>2）控制界面：以图形界面方式为使用者提供应用逻辑参数选择、应用逻辑启停控制与曲线显示更新三类操作，各项操作均触发相应报文的发送或显示行为的变更，具体要求如下。</w:t>
      </w:r>
    </w:p>
    <w:p>
      <w:pPr>
        <w:pStyle w:val="6"/>
        <w:ind w:firstLine="480"/>
      </w:pPr>
      <w:r>
        <w:rPr>
          <w:rFonts w:hint="eastAsia"/>
        </w:rPr>
        <w:t>　1）参数选择：应用逻辑参数以下拉框形式给出全部可选项，供使用者选择；所选取值作为控制报文中应用逻辑参数的取值下发装置。</w:t>
      </w:r>
    </w:p>
    <w:p>
      <w:pPr>
        <w:pStyle w:val="6"/>
        <w:ind w:firstLine="480"/>
      </w:pPr>
      <w:r>
        <w:rPr>
          <w:rFonts w:hint="eastAsia"/>
        </w:rPr>
        <w:t>　2）启停控制：设置使能按钮，由使用者控制应用逻辑的启动与停止；按钮状态与装置侧实际生效状态保持一致，装置回显状态异常时给出提示。</w:t>
      </w:r>
    </w:p>
    <w:p>
      <w:pPr>
        <w:pStyle w:val="6"/>
        <w:ind w:firstLine="480"/>
      </w:pPr>
      <w:r>
        <w:rPr>
          <w:rFonts w:hint="eastAsia"/>
        </w:rPr>
        <w:t>　3）报文触发：使用者按下使能按钮后，后台软件立即按表5组织报文类型1（控制/心跳报文），将应用逻辑使能与所选参数主动发送至管理板，无需等待下一个心跳发送周期。</w:t>
      </w:r>
    </w:p>
    <w:p>
      <w:pPr>
        <w:pStyle w:val="6"/>
        <w:ind w:firstLine="480"/>
      </w:pPr>
      <w:r>
        <w:rPr>
          <w:rFonts w:hint="eastAsia"/>
        </w:rPr>
        <w:t>　4）曲线更新：设置更新按钮，控制曲线界面的显示更新。按下更新按钮后，后台软件开始将接收到的应用数据自动绘制到曲线界面；曲线显示满屏后，后台软件停止刷新显示，仅继续接收数据，直至使用者再次按下更新按钮后重新开始绘制。</w:t>
      </w:r>
    </w:p>
    <w:p>
      <w:pPr>
        <w:pStyle w:val="6"/>
        <w:ind w:firstLine="480"/>
      </w:pPr>
      <w:r>
        <w:rPr>
          <w:rFonts w:hint="eastAsia"/>
        </w:rPr>
        <w:t>3）配置与控制：向装置下发仿真配置、应用逻辑参数与管理命令，并反馈执行结果。</w:t>
      </w:r>
    </w:p>
    <w:p>
      <w:pPr>
        <w:pStyle w:val="6"/>
        <w:ind w:firstLine="480"/>
      </w:pPr>
      <w:r>
        <w:rPr>
          <w:rFonts w:hint="eastAsia"/>
        </w:rPr>
        <w:t>4）数据记录：过程数据与告警事件本地记录，支持导出与离线分析。</w:t>
      </w:r>
    </w:p>
    <w:p>
      <w:pPr>
        <w:pStyle w:val="4"/>
      </w:pPr>
      <w:bookmarkStart w:id="18" w:name="_Toc22932"/>
      <w:bookmarkStart w:id="19" w:name="_Toc10930"/>
      <w:r>
        <w:rPr>
          <w:rFonts w:hint="eastAsia"/>
        </w:rPr>
        <w:t>网络通讯协议</w:t>
      </w:r>
      <w:bookmarkEnd w:id="18"/>
      <w:bookmarkEnd w:id="19"/>
    </w:p>
    <w:p>
      <w:pPr>
        <w:pStyle w:val="6"/>
        <w:ind w:firstLine="480"/>
      </w:pPr>
      <w:r>
        <w:rPr>
          <w:rFonts w:hint="eastAsia"/>
        </w:rPr>
        <w:t>网络通讯采用TCP协议：后台显示软件为客户端（Client），管理板CPU为服务端（Server），TCP服务端口号8006。本协议承载后台机对装置的配置与控制命令下发，以及装置状态与过程数据的上传，报文格式定义如下。</w:t>
      </w:r>
    </w:p>
    <w:p>
      <w:pPr>
        <w:pStyle w:val="5"/>
      </w:pPr>
      <w:r>
        <w:rPr>
          <w:rFonts w:hint="eastAsia"/>
        </w:rPr>
        <w:t>通信方式与连接管理</w:t>
      </w:r>
    </w:p>
    <w:p>
      <w:pPr>
        <w:pStyle w:val="6"/>
        <w:ind w:firstLine="480"/>
      </w:pPr>
      <w:r>
        <w:rPr>
          <w:rFonts w:hint="eastAsia"/>
        </w:rPr>
        <w:t>1）连接建立：后台机启动后主动向管理板8006端口发起TCP连接请求，管理板监听并接受连接；同一时刻仅维持一个后台机客户端连接，新连接建立时释放原有连接。</w:t>
      </w:r>
    </w:p>
    <w:p>
      <w:pPr>
        <w:pStyle w:val="6"/>
        <w:ind w:firstLine="480"/>
      </w:pPr>
      <w:r>
        <w:rPr>
          <w:rFonts w:hint="eastAsia"/>
        </w:rPr>
        <w:t>2）连接维持：双方以心跳报文维持链路，后台机按1s周期发送心跳报文；管理板连续3个心跳周期未收到任何报文即判定链路中断并释放连接。</w:t>
      </w:r>
    </w:p>
    <w:p>
      <w:pPr>
        <w:pStyle w:val="6"/>
        <w:ind w:firstLine="480"/>
      </w:pPr>
      <w:r>
        <w:rPr>
          <w:rFonts w:hint="eastAsia"/>
        </w:rPr>
        <w:t>3）断链与重连：链路中断后装置实时闭环仿真继续运行，管理板将关键状态与告警事件本地缓存；后台机按退避策略自动重连（初始间隔2s，逐步增大，上限30s），连接恢复后由管理板补传缓存数据。</w:t>
      </w:r>
    </w:p>
    <w:p>
      <w:pPr>
        <w:pStyle w:val="6"/>
        <w:ind w:firstLine="480"/>
      </w:pPr>
      <w:r>
        <w:rPr>
          <w:rFonts w:hint="eastAsia"/>
        </w:rPr>
        <w:t>4）帧同步：接收方按长度字段界定帧边界，出现非法同步标志、长度越限或校验和错误时丢弃当前帧并计入错帧统计，随后重新搜索帧头。</w:t>
      </w:r>
    </w:p>
    <w:p>
      <w:pPr>
        <w:pStyle w:val="6"/>
        <w:ind w:firstLine="480"/>
      </w:pPr>
      <w:r>
        <w:rPr>
          <w:rFonts w:hint="eastAsia"/>
        </w:rPr>
        <w:t>5）数据上送：后台机通过报文类型1（控制/心跳报文）使能应用逻辑后，管理板按100ms周期扫描数据缓存区；检测到新数据时，将整段数据拆分为多包报文主动上送后台机，每包按表6填写数据总长度、本帧数据长度与本帧数据偏移，后台机据此完成拼接还原。</w:t>
      </w:r>
    </w:p>
    <w:p>
      <w:pPr>
        <w:pStyle w:val="5"/>
      </w:pPr>
      <w:r>
        <w:rPr>
          <w:rFonts w:hint="eastAsia"/>
        </w:rPr>
        <w:t>报文总体格式</w:t>
      </w:r>
    </w:p>
    <w:p>
      <w:pPr>
        <w:pStyle w:val="6"/>
        <w:numPr>
          <w:ilvl w:val="0"/>
          <w:numId w:val="2"/>
        </w:numPr>
        <w:ind w:firstLineChars="0"/>
        <w:rPr>
          <w:b/>
        </w:rPr>
      </w:pPr>
      <w:r>
        <w:rPr>
          <w:rFonts w:hint="eastAsia"/>
          <w:b/>
        </w:rPr>
        <w:t>报文总体格式见表4，各字段均采用小端字节序。</w:t>
      </w:r>
    </w:p>
    <w:p>
      <w:pPr>
        <w:pStyle w:val="50"/>
      </w:pPr>
      <w:r>
        <w:rPr>
          <w:rFonts w:hint="eastAsia"/>
        </w:rPr>
        <w:t>表4 网络报文总体格式</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8"/>
        <w:gridCol w:w="1537"/>
        <w:gridCol w:w="54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tcPr>
          <w:p>
            <w:pPr>
              <w:pStyle w:val="32"/>
            </w:pPr>
            <w:r>
              <w:rPr>
                <w:rFonts w:hint="eastAsia"/>
              </w:rPr>
              <w:t>域</w:t>
            </w:r>
          </w:p>
        </w:tc>
        <w:tc>
          <w:tcPr>
            <w:tcW w:w="1537" w:type="dxa"/>
          </w:tcPr>
          <w:p>
            <w:pPr>
              <w:pStyle w:val="32"/>
            </w:pPr>
            <w:r>
              <w:rPr>
                <w:rFonts w:hint="eastAsia"/>
              </w:rPr>
              <w:t>字段（长度）</w:t>
            </w:r>
          </w:p>
        </w:tc>
        <w:tc>
          <w:tcPr>
            <w:tcW w:w="5470" w:type="dxa"/>
          </w:tcPr>
          <w:p>
            <w:pPr>
              <w:pStyle w:val="32"/>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vMerge w:val="restart"/>
          </w:tcPr>
          <w:p>
            <w:pPr>
              <w:pStyle w:val="34"/>
            </w:pPr>
            <w:r>
              <w:rPr>
                <w:rFonts w:hint="eastAsia"/>
              </w:rPr>
              <w:t>同步(8B)</w:t>
            </w:r>
          </w:p>
        </w:tc>
        <w:tc>
          <w:tcPr>
            <w:tcW w:w="1537" w:type="dxa"/>
          </w:tcPr>
          <w:p>
            <w:pPr>
              <w:pStyle w:val="34"/>
            </w:pPr>
            <w:r>
              <w:rPr>
                <w:rFonts w:hint="eastAsia"/>
              </w:rPr>
              <w:t>同步标志(2B)</w:t>
            </w:r>
          </w:p>
        </w:tc>
        <w:tc>
          <w:tcPr>
            <w:tcW w:w="5470" w:type="dxa"/>
          </w:tcPr>
          <w:p>
            <w:pPr>
              <w:pStyle w:val="34"/>
            </w:pPr>
            <w:r>
              <w:rPr>
                <w:rFonts w:hint="eastAsia"/>
              </w:rPr>
              <w:t>固定为 0xEB90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vMerge w:val="continue"/>
          </w:tcPr>
          <w:p>
            <w:pPr>
              <w:pStyle w:val="34"/>
            </w:pPr>
          </w:p>
        </w:tc>
        <w:tc>
          <w:tcPr>
            <w:tcW w:w="1537" w:type="dxa"/>
          </w:tcPr>
          <w:p>
            <w:pPr>
              <w:pStyle w:val="34"/>
            </w:pPr>
            <w:r>
              <w:rPr>
                <w:rFonts w:hint="eastAsia"/>
              </w:rPr>
              <w:t>长度(2B)</w:t>
            </w:r>
          </w:p>
        </w:tc>
        <w:tc>
          <w:tcPr>
            <w:tcW w:w="5470" w:type="dxa"/>
          </w:tcPr>
          <w:p>
            <w:pPr>
              <w:pStyle w:val="34"/>
            </w:pPr>
            <w:r>
              <w:rPr>
                <w:rFonts w:hint="eastAsia"/>
              </w:rPr>
              <w:t>ASDU长度与结束标志长度之和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vMerge w:val="continue"/>
          </w:tcPr>
          <w:p>
            <w:pPr>
              <w:pStyle w:val="34"/>
            </w:pPr>
          </w:p>
        </w:tc>
        <w:tc>
          <w:tcPr>
            <w:tcW w:w="1537" w:type="dxa"/>
          </w:tcPr>
          <w:p>
            <w:pPr>
              <w:pStyle w:val="34"/>
            </w:pPr>
            <w:r>
              <w:rPr>
                <w:rFonts w:hint="eastAsia"/>
              </w:rPr>
              <w:t>长度(2B)</w:t>
            </w:r>
          </w:p>
        </w:tc>
        <w:tc>
          <w:tcPr>
            <w:tcW w:w="5470" w:type="dxa"/>
          </w:tcPr>
          <w:p>
            <w:pPr>
              <w:pStyle w:val="34"/>
            </w:pPr>
            <w:r>
              <w:rPr>
                <w:rFonts w:hint="eastAsia"/>
              </w:rPr>
              <w:t>与前一长度字段相同，用于长度校验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vMerge w:val="continue"/>
          </w:tcPr>
          <w:p>
            <w:pPr>
              <w:pStyle w:val="34"/>
            </w:pPr>
          </w:p>
        </w:tc>
        <w:tc>
          <w:tcPr>
            <w:tcW w:w="1537" w:type="dxa"/>
          </w:tcPr>
          <w:p>
            <w:pPr>
              <w:pStyle w:val="34"/>
            </w:pPr>
            <w:r>
              <w:rPr>
                <w:rFonts w:hint="eastAsia"/>
              </w:rPr>
              <w:t>同步标志(2B)</w:t>
            </w:r>
          </w:p>
        </w:tc>
        <w:tc>
          <w:tcPr>
            <w:tcW w:w="5470" w:type="dxa"/>
          </w:tcPr>
          <w:p>
            <w:pPr>
              <w:pStyle w:val="34"/>
            </w:pPr>
            <w:r>
              <w:rPr>
                <w:rFonts w:hint="eastAsia"/>
              </w:rPr>
              <w:t>固定为 0xEB90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98" w:type="dxa"/>
            <w:vMerge w:val="restart"/>
          </w:tcPr>
          <w:p>
            <w:pPr>
              <w:pStyle w:val="34"/>
            </w:pPr>
            <w:r>
              <w:t>ASDU</w:t>
            </w:r>
          </w:p>
        </w:tc>
        <w:tc>
          <w:tcPr>
            <w:tcW w:w="1537" w:type="dxa"/>
          </w:tcPr>
          <w:p>
            <w:pPr>
              <w:pStyle w:val="34"/>
            </w:pPr>
            <w:r>
              <w:rPr>
                <w:rFonts w:hint="eastAsia"/>
              </w:rPr>
              <w:t>ASDU类型(1B)</w:t>
            </w:r>
          </w:p>
        </w:tc>
        <w:tc>
          <w:tcPr>
            <w:tcW w:w="5470" w:type="dxa"/>
          </w:tcPr>
          <w:p>
            <w:pPr>
              <w:pStyle w:val="34"/>
            </w:pPr>
            <w:r>
              <w:rPr>
                <w:rFonts w:hint="eastAsia"/>
              </w:rPr>
              <w:t>报文类型标识，取值见报文类型定义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vMerge w:val="continue"/>
          </w:tcPr>
          <w:p>
            <w:pPr>
              <w:pStyle w:val="34"/>
            </w:pPr>
          </w:p>
        </w:tc>
        <w:tc>
          <w:tcPr>
            <w:tcW w:w="1537" w:type="dxa"/>
          </w:tcPr>
          <w:p>
            <w:pPr>
              <w:pStyle w:val="34"/>
            </w:pPr>
            <w:r>
              <w:rPr>
                <w:rFonts w:hint="eastAsia"/>
              </w:rPr>
              <w:t>ASDU数据(NB)</w:t>
            </w:r>
          </w:p>
        </w:tc>
        <w:tc>
          <w:tcPr>
            <w:tcW w:w="5470" w:type="dxa"/>
          </w:tcPr>
          <w:p>
            <w:pPr>
              <w:pStyle w:val="34"/>
            </w:pPr>
            <w:r>
              <w:rPr>
                <w:rFonts w:hint="eastAsia"/>
              </w:rPr>
              <w:t>由ASDU类型定义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vMerge w:val="restart"/>
          </w:tcPr>
          <w:p>
            <w:pPr>
              <w:pStyle w:val="34"/>
            </w:pPr>
            <w:r>
              <w:rPr>
                <w:rFonts w:hint="eastAsia"/>
              </w:rPr>
              <w:t>结尾(2B)</w:t>
            </w:r>
          </w:p>
        </w:tc>
        <w:tc>
          <w:tcPr>
            <w:tcW w:w="1537" w:type="dxa"/>
          </w:tcPr>
          <w:p>
            <w:pPr>
              <w:pStyle w:val="34"/>
            </w:pPr>
            <w:r>
              <w:t>SUM(1B)</w:t>
            </w:r>
          </w:p>
        </w:tc>
        <w:tc>
          <w:tcPr>
            <w:tcW w:w="5470" w:type="dxa"/>
          </w:tcPr>
          <w:p>
            <w:pPr>
              <w:pStyle w:val="34"/>
            </w:pPr>
            <w:r>
              <w:rPr>
                <w:rFonts w:hint="eastAsia"/>
              </w:rPr>
              <w:t>校验和：ASDU类型与ASDU数据的累加和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vMerge w:val="continue"/>
          </w:tcPr>
          <w:p>
            <w:pPr>
              <w:pStyle w:val="34"/>
            </w:pPr>
          </w:p>
        </w:tc>
        <w:tc>
          <w:tcPr>
            <w:tcW w:w="1537" w:type="dxa"/>
          </w:tcPr>
          <w:p>
            <w:pPr>
              <w:pStyle w:val="34"/>
            </w:pPr>
            <w:r>
              <w:rPr>
                <w:rFonts w:hint="eastAsia"/>
              </w:rPr>
              <w:t>结束标志(1B)</w:t>
            </w:r>
          </w:p>
        </w:tc>
        <w:tc>
          <w:tcPr>
            <w:tcW w:w="5470" w:type="dxa"/>
          </w:tcPr>
          <w:p>
            <w:pPr>
              <w:pStyle w:val="34"/>
            </w:pPr>
            <w:r>
              <w:rPr>
                <w:rFonts w:hint="eastAsia"/>
              </w:rPr>
              <w:t>固定为 0x10</w:t>
            </w:r>
          </w:p>
        </w:tc>
      </w:tr>
    </w:tbl>
    <w:p>
      <w:pPr>
        <w:widowControl/>
        <w:spacing w:line="240" w:lineRule="auto"/>
        <w:jc w:val="left"/>
        <w:sectPr>
          <w:headerReference r:id="rId7" w:type="first"/>
          <w:footerReference r:id="rId8" w:type="default"/>
          <w:pgSz w:w="11906" w:h="16838"/>
          <w:pgMar w:top="1134" w:right="1701" w:bottom="1134" w:left="1701" w:header="851" w:footer="992" w:gutter="0"/>
          <w:pgNumType w:fmt="upperRoman" w:start="1"/>
          <w:cols w:space="720" w:num="1"/>
          <w:titlePg/>
          <w:docGrid w:type="lines" w:linePitch="326" w:charSpace="0"/>
        </w:sectPr>
      </w:pPr>
      <w:r>
        <w:rPr>
          <w:rFonts w:hint="eastAsia"/>
        </w:rPr>
        <w:br w:type="page"/>
      </w:r>
    </w:p>
    <w:p>
      <w:pPr>
        <w:pStyle w:val="6"/>
        <w:ind w:firstLine="420"/>
        <w:rPr>
          <w:sz w:val="21"/>
          <w:szCs w:val="21"/>
        </w:rPr>
      </w:pPr>
      <w:r>
        <w:rPr>
          <w:rFonts w:hint="eastAsia"/>
          <w:sz w:val="21"/>
          <w:szCs w:val="21"/>
        </w:rPr>
        <w:t>其中：长度字段取值为“ASDU长度 + 结束标志长度（2B）”，即本帧中同步域之后的全部字节数；两个长度字段取值必须一致，不一致时判为错帧并丢弃。</w:t>
      </w:r>
    </w:p>
    <w:p>
      <w:pPr>
        <w:pStyle w:val="6"/>
        <w:ind w:firstLine="480"/>
      </w:pPr>
      <w:r>
        <w:rPr>
          <w:rFonts w:hint="eastAsia"/>
        </w:rPr>
        <w:t>校验和SUM为ASDU类型与ASDU数据全部字节的算术累加和，取低8位。</w:t>
      </w:r>
    </w:p>
    <w:p>
      <w:pPr>
        <w:pStyle w:val="6"/>
        <w:ind w:firstLine="480"/>
      </w:pPr>
      <w:r>
        <w:rPr>
          <w:rFonts w:hint="eastAsia"/>
        </w:rPr>
        <w:t>接收方以同步标志0xEB90判定帧起始，以结束标志0x10判定帧结束，帧长度以长度字段为准。</w:t>
      </w:r>
    </w:p>
    <w:p/>
    <w:p>
      <w:pPr>
        <w:pStyle w:val="6"/>
        <w:numPr>
          <w:ilvl w:val="0"/>
          <w:numId w:val="2"/>
        </w:numPr>
        <w:ind w:firstLineChars="0"/>
        <w:rPr>
          <w:b/>
        </w:rPr>
      </w:pPr>
      <w:r>
        <w:rPr>
          <w:rFonts w:hint="eastAsia"/>
          <w:b/>
        </w:rPr>
        <w:t>报文类型1为控制报文与心跳报文，由后台机发送给管理板，用于维持TCP链路，并设置应用逻辑使能、模拟数据模式与数据来源，ASDU数据格式见表5。</w:t>
      </w:r>
    </w:p>
    <w:p>
      <w:pPr>
        <w:pStyle w:val="50"/>
      </w:pPr>
      <w:r>
        <w:rPr>
          <w:rFonts w:hint="eastAsia"/>
        </w:rPr>
        <w:t>表5 报文类型1（控制/心跳）ASDU数据格式</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3"/>
        <w:gridCol w:w="801"/>
        <w:gridCol w:w="62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Pr>
          <w:p>
            <w:pPr>
              <w:pStyle w:val="32"/>
            </w:pPr>
            <w:r>
              <w:rPr>
                <w:rFonts w:hint="eastAsia"/>
              </w:rPr>
              <w:t>字段</w:t>
            </w:r>
          </w:p>
        </w:tc>
        <w:tc>
          <w:tcPr>
            <w:tcW w:w="801" w:type="dxa"/>
          </w:tcPr>
          <w:p>
            <w:pPr>
              <w:pStyle w:val="32"/>
            </w:pPr>
            <w:r>
              <w:rPr>
                <w:rFonts w:hint="eastAsia"/>
              </w:rPr>
              <w:t>长度</w:t>
            </w:r>
          </w:p>
        </w:tc>
        <w:tc>
          <w:tcPr>
            <w:tcW w:w="6211" w:type="dxa"/>
          </w:tcPr>
          <w:p>
            <w:pPr>
              <w:pStyle w:val="32"/>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Pr>
          <w:p>
            <w:pPr>
              <w:pStyle w:val="34"/>
            </w:pPr>
            <w:r>
              <w:rPr>
                <w:rFonts w:hint="eastAsia"/>
              </w:rPr>
              <w:t>类型</w:t>
            </w:r>
          </w:p>
        </w:tc>
        <w:tc>
          <w:tcPr>
            <w:tcW w:w="801" w:type="dxa"/>
          </w:tcPr>
          <w:p>
            <w:pPr>
              <w:pStyle w:val="34"/>
            </w:pPr>
            <w:r>
              <w:t>1B</w:t>
            </w:r>
          </w:p>
        </w:tc>
        <w:tc>
          <w:tcPr>
            <w:tcW w:w="6211" w:type="dxa"/>
          </w:tcPr>
          <w:p>
            <w:pPr>
              <w:pStyle w:val="34"/>
            </w:pPr>
            <w:r>
              <w:rPr>
                <w:rFonts w:hint="eastAsia"/>
              </w:rPr>
              <w:t>固定为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Pr>
          <w:p>
            <w:pPr>
              <w:pStyle w:val="34"/>
            </w:pPr>
            <w:r>
              <w:rPr>
                <w:rFonts w:hint="eastAsia"/>
              </w:rPr>
              <w:t>子类型</w:t>
            </w:r>
          </w:p>
        </w:tc>
        <w:tc>
          <w:tcPr>
            <w:tcW w:w="801" w:type="dxa"/>
          </w:tcPr>
          <w:p>
            <w:pPr>
              <w:pStyle w:val="34"/>
            </w:pPr>
            <w:r>
              <w:t>1B</w:t>
            </w:r>
          </w:p>
        </w:tc>
        <w:tc>
          <w:tcPr>
            <w:tcW w:w="6211" w:type="dxa"/>
          </w:tcPr>
          <w:p>
            <w:pPr>
              <w:pStyle w:val="34"/>
            </w:pPr>
            <w:r>
              <w:rPr>
                <w:rFonts w:hint="eastAsia"/>
              </w:rPr>
              <w:t>数据来源选择：0 辅助板缓存数据；1 主处理板缓存数据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Pr>
          <w:p>
            <w:pPr>
              <w:pStyle w:val="34"/>
            </w:pPr>
            <w:r>
              <w:rPr>
                <w:rFonts w:hint="eastAsia"/>
              </w:rPr>
              <w:t>保留（Revs）</w:t>
            </w:r>
          </w:p>
        </w:tc>
        <w:tc>
          <w:tcPr>
            <w:tcW w:w="801" w:type="dxa"/>
          </w:tcPr>
          <w:p>
            <w:pPr>
              <w:pStyle w:val="34"/>
            </w:pPr>
            <w:r>
              <w:t>2B</w:t>
            </w:r>
          </w:p>
        </w:tc>
        <w:tc>
          <w:tcPr>
            <w:tcW w:w="6211" w:type="dxa"/>
          </w:tcPr>
          <w:p>
            <w:pPr>
              <w:pStyle w:val="34"/>
            </w:pPr>
            <w:r>
              <w:rPr>
                <w:rFonts w:hint="eastAsia"/>
              </w:rPr>
              <w:t>保留字段，填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Pr>
          <w:p>
            <w:pPr>
              <w:pStyle w:val="34"/>
            </w:pPr>
            <w:r>
              <w:rPr>
                <w:rFonts w:hint="eastAsia"/>
              </w:rPr>
              <w:t>应用逻辑使能</w:t>
            </w:r>
          </w:p>
        </w:tc>
        <w:tc>
          <w:tcPr>
            <w:tcW w:w="801" w:type="dxa"/>
          </w:tcPr>
          <w:p>
            <w:pPr>
              <w:pStyle w:val="34"/>
            </w:pPr>
            <w:r>
              <w:t>4B</w:t>
            </w:r>
          </w:p>
        </w:tc>
        <w:tc>
          <w:tcPr>
            <w:tcW w:w="6211" w:type="dxa"/>
          </w:tcPr>
          <w:p>
            <w:pPr>
              <w:pStyle w:val="34"/>
            </w:pPr>
            <w:r>
              <w:rPr>
                <w:rFonts w:hint="eastAsia"/>
              </w:rPr>
              <w:t>bit0 有效：0 停止，1 使能；其余位保留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Pr>
          <w:p>
            <w:pPr>
              <w:pStyle w:val="34"/>
            </w:pPr>
            <w:r>
              <w:rPr>
                <w:rFonts w:hint="eastAsia"/>
              </w:rPr>
              <w:t>模拟数据模式</w:t>
            </w:r>
          </w:p>
        </w:tc>
        <w:tc>
          <w:tcPr>
            <w:tcW w:w="801" w:type="dxa"/>
          </w:tcPr>
          <w:p>
            <w:pPr>
              <w:pStyle w:val="34"/>
            </w:pPr>
            <w:r>
              <w:t>4B</w:t>
            </w:r>
          </w:p>
        </w:tc>
        <w:tc>
          <w:tcPr>
            <w:tcW w:w="6211" w:type="dxa"/>
          </w:tcPr>
          <w:p>
            <w:pPr>
              <w:pStyle w:val="34"/>
            </w:pPr>
            <w:r>
              <w:rPr>
                <w:rFonts w:hint="eastAsia"/>
              </w:rPr>
              <w:t>模拟量数据模式选择值</w:t>
            </w:r>
          </w:p>
        </w:tc>
      </w:tr>
    </w:tbl>
    <w:p>
      <w:pPr>
        <w:pStyle w:val="6"/>
        <w:ind w:firstLine="480"/>
      </w:pPr>
      <w:r>
        <w:rPr>
          <w:rFonts w:hint="eastAsia"/>
        </w:rPr>
        <w:t>说明：本报文由后台机周期性发送，同时承担链路心跳与运行参数设置两项职责。参数设置包括应用逻辑使能（bit0：0 停止，1 使能）、模拟数据模式以及数据来源；数据来源由子类型选择，取值0为辅助板缓存数据、取值1为主处理板缓存数据。仅作心跳使用时，各参数字段保持上一次下发的取值，不改变装置运行状态。应用逻辑使能后，管理板按100ms周期扫描数据缓存区并以报文类型2上送数据，见“通信方式与连接管理”。</w:t>
      </w:r>
    </w:p>
    <w:p/>
    <w:p>
      <w:pPr>
        <w:pStyle w:val="6"/>
        <w:numPr>
          <w:ilvl w:val="0"/>
          <w:numId w:val="2"/>
        </w:numPr>
        <w:ind w:firstLineChars="0"/>
        <w:rPr>
          <w:b/>
        </w:rPr>
      </w:pPr>
      <w:r>
        <w:rPr>
          <w:rFonts w:hint="eastAsia"/>
          <w:b/>
        </w:rPr>
        <w:t>报文类型2为数据应答报文，由管理板发送给后台机，按表5设置的数据来源回传相应缓存中的过程数据，并回显当前生效的应用逻辑使能与模拟数据模式，ASDU数据格式见表6。</w:t>
      </w:r>
    </w:p>
    <w:p>
      <w:pPr>
        <w:pStyle w:val="50"/>
      </w:pPr>
      <w:r>
        <w:rPr>
          <w:rFonts w:hint="eastAsia"/>
        </w:rPr>
        <w:t>表6 报文类型2（数据应答）ASDU数据格式</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0"/>
        <w:gridCol w:w="1491"/>
        <w:gridCol w:w="52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Pr>
          <w:p>
            <w:pPr>
              <w:pStyle w:val="32"/>
            </w:pPr>
            <w:r>
              <w:rPr>
                <w:rFonts w:hint="eastAsia"/>
              </w:rPr>
              <w:t>字段</w:t>
            </w:r>
          </w:p>
        </w:tc>
        <w:tc>
          <w:tcPr>
            <w:tcW w:w="1491" w:type="dxa"/>
          </w:tcPr>
          <w:p>
            <w:pPr>
              <w:pStyle w:val="32"/>
            </w:pPr>
            <w:r>
              <w:rPr>
                <w:rFonts w:hint="eastAsia"/>
              </w:rPr>
              <w:t>长度</w:t>
            </w:r>
          </w:p>
        </w:tc>
        <w:tc>
          <w:tcPr>
            <w:tcW w:w="5274" w:type="dxa"/>
          </w:tcPr>
          <w:p>
            <w:pPr>
              <w:pStyle w:val="32"/>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40" w:type="dxa"/>
          </w:tcPr>
          <w:p>
            <w:pPr>
              <w:pStyle w:val="34"/>
            </w:pPr>
            <w:r>
              <w:rPr>
                <w:rFonts w:hint="eastAsia"/>
              </w:rPr>
              <w:t>类型</w:t>
            </w:r>
          </w:p>
        </w:tc>
        <w:tc>
          <w:tcPr>
            <w:tcW w:w="1491" w:type="dxa"/>
          </w:tcPr>
          <w:p>
            <w:pPr>
              <w:pStyle w:val="34"/>
            </w:pPr>
            <w:r>
              <w:t>1B</w:t>
            </w:r>
          </w:p>
        </w:tc>
        <w:tc>
          <w:tcPr>
            <w:tcW w:w="5274" w:type="dxa"/>
          </w:tcPr>
          <w:p>
            <w:pPr>
              <w:pStyle w:val="34"/>
            </w:pPr>
            <w:r>
              <w:rPr>
                <w:rFonts w:hint="eastAsia"/>
              </w:rPr>
              <w:t>固定为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Pr>
          <w:p>
            <w:pPr>
              <w:pStyle w:val="34"/>
            </w:pPr>
            <w:r>
              <w:rPr>
                <w:rFonts w:hint="eastAsia"/>
              </w:rPr>
              <w:t>子类型</w:t>
            </w:r>
          </w:p>
        </w:tc>
        <w:tc>
          <w:tcPr>
            <w:tcW w:w="1491" w:type="dxa"/>
          </w:tcPr>
          <w:p>
            <w:pPr>
              <w:pStyle w:val="34"/>
            </w:pPr>
            <w:r>
              <w:t>1B</w:t>
            </w:r>
          </w:p>
        </w:tc>
        <w:tc>
          <w:tcPr>
            <w:tcW w:w="5274" w:type="dxa"/>
          </w:tcPr>
          <w:p>
            <w:pPr>
              <w:pStyle w:val="34"/>
            </w:pPr>
            <w:r>
              <w:rPr>
                <w:rFonts w:hint="eastAsia"/>
              </w:rPr>
              <w:t>本次回传数据的来源，取值与表5设置的数据来源一致：0 辅助板缓存数据；1 主处理板缓存数据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Pr>
          <w:p>
            <w:pPr>
              <w:pStyle w:val="34"/>
            </w:pPr>
            <w:r>
              <w:rPr>
                <w:rFonts w:hint="eastAsia"/>
              </w:rPr>
              <w:t>结果</w:t>
            </w:r>
          </w:p>
        </w:tc>
        <w:tc>
          <w:tcPr>
            <w:tcW w:w="1491" w:type="dxa"/>
          </w:tcPr>
          <w:p>
            <w:pPr>
              <w:pStyle w:val="34"/>
            </w:pPr>
            <w:r>
              <w:t>1B</w:t>
            </w:r>
          </w:p>
        </w:tc>
        <w:tc>
          <w:tcPr>
            <w:tcW w:w="5274" w:type="dxa"/>
          </w:tcPr>
          <w:p>
            <w:pPr>
              <w:pStyle w:val="34"/>
            </w:pPr>
            <w:r>
              <w:rPr>
                <w:rFonts w:hint="eastAsia"/>
              </w:rPr>
              <w:t>0 表示执行成功，非 0 为错误码（取值待协议定稿定义）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Pr>
          <w:p>
            <w:pPr>
              <w:pStyle w:val="34"/>
            </w:pPr>
            <w:r>
              <w:rPr>
                <w:rFonts w:hint="eastAsia"/>
              </w:rPr>
              <w:t>应用逻辑使能</w:t>
            </w:r>
          </w:p>
        </w:tc>
        <w:tc>
          <w:tcPr>
            <w:tcW w:w="1491" w:type="dxa"/>
          </w:tcPr>
          <w:p>
            <w:pPr>
              <w:pStyle w:val="34"/>
            </w:pPr>
            <w:r>
              <w:t>4B</w:t>
            </w:r>
          </w:p>
        </w:tc>
        <w:tc>
          <w:tcPr>
            <w:tcW w:w="5274" w:type="dxa"/>
          </w:tcPr>
          <w:p>
            <w:pPr>
              <w:pStyle w:val="34"/>
            </w:pPr>
            <w:r>
              <w:rPr>
                <w:rFonts w:hint="eastAsia"/>
              </w:rPr>
              <w:t>回显当前生效值：bit0 为 0 表示停止，1 表示使能；其余位保留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Pr>
          <w:p>
            <w:pPr>
              <w:pStyle w:val="34"/>
            </w:pPr>
            <w:r>
              <w:rPr>
                <w:rFonts w:hint="eastAsia"/>
              </w:rPr>
              <w:t>模拟数据模式</w:t>
            </w:r>
          </w:p>
        </w:tc>
        <w:tc>
          <w:tcPr>
            <w:tcW w:w="1491" w:type="dxa"/>
          </w:tcPr>
          <w:p>
            <w:pPr>
              <w:pStyle w:val="34"/>
            </w:pPr>
            <w:r>
              <w:t>4B</w:t>
            </w:r>
          </w:p>
        </w:tc>
        <w:tc>
          <w:tcPr>
            <w:tcW w:w="5274" w:type="dxa"/>
          </w:tcPr>
          <w:p>
            <w:pPr>
              <w:pStyle w:val="34"/>
            </w:pPr>
            <w:r>
              <w:rPr>
                <w:rFonts w:hint="eastAsia"/>
              </w:rPr>
              <w:t>回显当前生效的模拟量数据模式选择值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Pr>
          <w:p>
            <w:pPr>
              <w:pStyle w:val="34"/>
            </w:pPr>
            <w:r>
              <w:rPr>
                <w:rFonts w:hint="eastAsia"/>
              </w:rPr>
              <w:t>数据总长度</w:t>
            </w:r>
          </w:p>
        </w:tc>
        <w:tc>
          <w:tcPr>
            <w:tcW w:w="1491" w:type="dxa"/>
          </w:tcPr>
          <w:p>
            <w:pPr>
              <w:pStyle w:val="34"/>
            </w:pPr>
            <w:r>
              <w:t>4B</w:t>
            </w:r>
          </w:p>
        </w:tc>
        <w:tc>
          <w:tcPr>
            <w:tcW w:w="5274" w:type="dxa"/>
          </w:tcPr>
          <w:p>
            <w:pPr>
              <w:pStyle w:val="34"/>
            </w:pPr>
            <w:r>
              <w:rPr>
                <w:rFonts w:hint="eastAsia"/>
              </w:rPr>
              <w:t>最新数据长度；0 表示当前无有效数据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Pr>
          <w:p>
            <w:pPr>
              <w:pStyle w:val="34"/>
            </w:pPr>
            <w:r>
              <w:rPr>
                <w:rFonts w:hint="eastAsia"/>
              </w:rPr>
              <w:t>本帧数据长度</w:t>
            </w:r>
          </w:p>
        </w:tc>
        <w:tc>
          <w:tcPr>
            <w:tcW w:w="1491" w:type="dxa"/>
          </w:tcPr>
          <w:p>
            <w:pPr>
              <w:pStyle w:val="34"/>
            </w:pPr>
            <w:r>
              <w:t>4B</w:t>
            </w:r>
          </w:p>
        </w:tc>
        <w:tc>
          <w:tcPr>
            <w:tcW w:w="5274" w:type="dxa"/>
          </w:tcPr>
          <w:p>
            <w:pPr>
              <w:pStyle w:val="34"/>
            </w:pPr>
            <w:r>
              <w:rPr>
                <w:rFonts w:hint="eastAsia"/>
              </w:rPr>
              <w:t>N，本帧携带的数据长度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Pr>
          <w:p>
            <w:pPr>
              <w:pStyle w:val="34"/>
            </w:pPr>
            <w:r>
              <w:rPr>
                <w:rFonts w:hint="eastAsia"/>
              </w:rPr>
              <w:t>本帧数据偏移</w:t>
            </w:r>
          </w:p>
        </w:tc>
        <w:tc>
          <w:tcPr>
            <w:tcW w:w="1491" w:type="dxa"/>
          </w:tcPr>
          <w:p>
            <w:pPr>
              <w:pStyle w:val="34"/>
            </w:pPr>
            <w:r>
              <w:t>4B</w:t>
            </w:r>
          </w:p>
        </w:tc>
        <w:tc>
          <w:tcPr>
            <w:tcW w:w="5274" w:type="dxa"/>
          </w:tcPr>
          <w:p>
            <w:pPr>
              <w:pStyle w:val="34"/>
            </w:pPr>
            <w:r>
              <w:rPr>
                <w:rFonts w:hint="eastAsia"/>
              </w:rPr>
              <w:t>本帧数据在整段数据块中的偏移位置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40" w:type="dxa"/>
          </w:tcPr>
          <w:p>
            <w:pPr>
              <w:pStyle w:val="34"/>
            </w:pPr>
            <w:r>
              <w:rPr>
                <w:rFonts w:hint="eastAsia"/>
              </w:rPr>
              <w:t>录波数据</w:t>
            </w:r>
          </w:p>
        </w:tc>
        <w:tc>
          <w:tcPr>
            <w:tcW w:w="1491" w:type="dxa"/>
          </w:tcPr>
          <w:p>
            <w:pPr>
              <w:pStyle w:val="34"/>
            </w:pPr>
            <w:r>
              <w:t>NB</w:t>
            </w:r>
          </w:p>
        </w:tc>
        <w:tc>
          <w:tcPr>
            <w:tcW w:w="5274" w:type="dxa"/>
          </w:tcPr>
          <w:p>
            <w:pPr>
              <w:pStyle w:val="34"/>
            </w:pPr>
            <w:r>
              <w:rPr>
                <w:rFonts w:hint="eastAsia"/>
              </w:rPr>
              <w:t>变长数据域，本帧携带的过程数据</w:t>
            </w:r>
          </w:p>
        </w:tc>
      </w:tr>
    </w:tbl>
    <w:p>
      <w:pPr>
        <w:pStyle w:val="6"/>
        <w:ind w:firstLine="480"/>
      </w:pPr>
      <w:r>
        <w:rPr>
          <w:rFonts w:hint="eastAsia"/>
        </w:rPr>
        <w:t>说明：数据按分帧方式传输，管理板将整段数据拆分为多包上送，后台机依据数据总长度、本帧数据长度与本帧数据偏移三个字段完成分片接收与拼接还原；数据总长度为0表示当前无有效数据。子类型指示本次回传数据的来源，取值与表5的数据来源设置一致；应用逻辑使能与模拟数据模式为回显字段，供后台机校核下发结果是否生效；结果字段为0表示执行成功，非0为错误码（取值待协议定稿定义）。</w:t>
      </w:r>
    </w:p>
    <w:p/>
    <w:p>
      <w:pPr>
        <w:pStyle w:val="4"/>
      </w:pPr>
      <w:bookmarkStart w:id="20" w:name="_Toc10477"/>
      <w:r>
        <w:rPr>
          <w:rFonts w:hint="eastAsia"/>
        </w:rPr>
        <w:t>接口与协议汇总</w:t>
      </w:r>
      <w:bookmarkEnd w:id="20"/>
    </w:p>
    <w:p>
      <w:pPr>
        <w:pStyle w:val="6"/>
        <w:ind w:firstLine="480"/>
      </w:pPr>
      <w:r>
        <w:rPr>
          <w:rFonts w:hint="eastAsia"/>
        </w:rPr>
        <w:t>装置各接口与通道的通信方式、承载内容及关键约定见表7。</w:t>
      </w:r>
    </w:p>
    <w:p>
      <w:pPr>
        <w:pStyle w:val="50"/>
      </w:pPr>
      <w:r>
        <w:rPr>
          <w:rFonts w:hint="eastAsia"/>
        </w:rPr>
        <w:t>表7 接口与协议汇总</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454"/>
        <w:gridCol w:w="3511"/>
        <w:gridCol w:w="2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pStyle w:val="32"/>
            </w:pPr>
            <w:r>
              <w:rPr>
                <w:rFonts w:hint="eastAsia"/>
              </w:rPr>
              <w:t>接口/通道</w:t>
            </w:r>
          </w:p>
        </w:tc>
        <w:tc>
          <w:tcPr>
            <w:tcW w:w="1454" w:type="dxa"/>
          </w:tcPr>
          <w:p>
            <w:pPr>
              <w:pStyle w:val="32"/>
            </w:pPr>
            <w:r>
              <w:rPr>
                <w:rFonts w:hint="eastAsia"/>
              </w:rPr>
              <w:t>通信方式</w:t>
            </w:r>
          </w:p>
        </w:tc>
        <w:tc>
          <w:tcPr>
            <w:tcW w:w="3511" w:type="dxa"/>
          </w:tcPr>
          <w:p>
            <w:pPr>
              <w:pStyle w:val="32"/>
            </w:pPr>
            <w:r>
              <w:rPr>
                <w:rFonts w:hint="eastAsia"/>
              </w:rPr>
              <w:t>承载内容</w:t>
            </w:r>
          </w:p>
        </w:tc>
        <w:tc>
          <w:tcPr>
            <w:tcW w:w="2126" w:type="dxa"/>
          </w:tcPr>
          <w:p>
            <w:pPr>
              <w:pStyle w:val="32"/>
            </w:pPr>
            <w:r>
              <w:rPr>
                <w:rFonts w:hint="eastAsia"/>
              </w:rPr>
              <w:t>关键约定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pStyle w:val="34"/>
            </w:pPr>
            <w:r>
              <w:rPr>
                <w:rFonts w:hint="eastAsia"/>
              </w:rPr>
              <w:t>后台通道</w:t>
            </w:r>
          </w:p>
        </w:tc>
        <w:tc>
          <w:tcPr>
            <w:tcW w:w="1454" w:type="dxa"/>
          </w:tcPr>
          <w:p>
            <w:pPr>
              <w:pStyle w:val="34"/>
            </w:pPr>
            <w:r>
              <w:rPr>
                <w:rFonts w:hint="eastAsia"/>
              </w:rPr>
              <w:t>以太网 TCP（后台机客户端↔管理板服务端：8006）</w:t>
            </w:r>
          </w:p>
        </w:tc>
        <w:tc>
          <w:tcPr>
            <w:tcW w:w="3511" w:type="dxa"/>
          </w:tcPr>
          <w:p>
            <w:pPr>
              <w:pStyle w:val="34"/>
            </w:pPr>
            <w:r>
              <w:rPr>
                <w:rFonts w:hint="eastAsia"/>
              </w:rPr>
              <w:t>配置命令、控制命令、状态与过程数据</w:t>
            </w:r>
          </w:p>
        </w:tc>
        <w:tc>
          <w:tcPr>
            <w:tcW w:w="2126" w:type="dxa"/>
          </w:tcPr>
          <w:p>
            <w:pPr>
              <w:pStyle w:val="34"/>
            </w:pPr>
            <w:r>
              <w:rPr>
                <w:rFonts w:hint="eastAsia"/>
              </w:rPr>
              <w:t>小端字节序；TCP长连接+心跳（端口8006），报文格式见表4~表6；数据按100ms周期扫描数据缓存区分包上送；断链本地缓存、恢复后补传，装置闭环不受影响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pStyle w:val="34"/>
            </w:pPr>
            <w:r>
              <w:rPr>
                <w:rFonts w:hint="eastAsia"/>
              </w:rPr>
              <w:t>主控PCIE</w:t>
            </w:r>
          </w:p>
        </w:tc>
        <w:tc>
          <w:tcPr>
            <w:tcW w:w="1454" w:type="dxa"/>
          </w:tcPr>
          <w:p>
            <w:pPr>
              <w:pStyle w:val="34"/>
            </w:pPr>
            <w:r>
              <w:rPr>
                <w:rFonts w:hint="eastAsia"/>
              </w:rPr>
              <w:t>PCIE（管理板↔主处理板）</w:t>
            </w:r>
          </w:p>
        </w:tc>
        <w:tc>
          <w:tcPr>
            <w:tcW w:w="3511" w:type="dxa"/>
          </w:tcPr>
          <w:p>
            <w:pPr>
              <w:pStyle w:val="34"/>
            </w:pPr>
            <w:r>
              <w:rPr>
                <w:rFonts w:hint="eastAsia"/>
              </w:rPr>
              <w:t>应用逻辑配置与启停（路径一）、状态、数据与DDR当前值缓存区回读</w:t>
            </w:r>
          </w:p>
        </w:tc>
        <w:tc>
          <w:tcPr>
            <w:tcW w:w="2126" w:type="dxa"/>
          </w:tcPr>
          <w:p>
            <w:pPr>
              <w:pStyle w:val="34"/>
            </w:pPr>
            <w:r>
              <w:rPr>
                <w:rFonts w:hint="eastAsia"/>
              </w:rPr>
              <w:t>寄存器+数据窗口，链路训练状态监视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pStyle w:val="34"/>
            </w:pPr>
            <w:r>
              <w:rPr>
                <w:rFonts w:hint="eastAsia"/>
              </w:rPr>
              <w:t>辅助控制PCIE</w:t>
            </w:r>
          </w:p>
        </w:tc>
        <w:tc>
          <w:tcPr>
            <w:tcW w:w="1454" w:type="dxa"/>
          </w:tcPr>
          <w:p>
            <w:pPr>
              <w:pStyle w:val="34"/>
            </w:pPr>
            <w:r>
              <w:rPr>
                <w:rFonts w:hint="eastAsia"/>
              </w:rPr>
              <w:t>PCIE（管理板↔辅助板）</w:t>
            </w:r>
          </w:p>
        </w:tc>
        <w:tc>
          <w:tcPr>
            <w:tcW w:w="3511" w:type="dxa"/>
          </w:tcPr>
          <w:p>
            <w:pPr>
              <w:pStyle w:val="34"/>
            </w:pPr>
            <w:r>
              <w:rPr>
                <w:rFonts w:hint="eastAsia"/>
              </w:rPr>
              <w:t>采集与数据模式配置、状态监视、应用数据回读、应用逻辑启停转发（路径二）</w:t>
            </w:r>
          </w:p>
        </w:tc>
        <w:tc>
          <w:tcPr>
            <w:tcW w:w="2126" w:type="dxa"/>
          </w:tcPr>
          <w:p>
            <w:pPr>
              <w:pStyle w:val="34"/>
            </w:pPr>
            <w:r>
              <w:rPr>
                <w:rFonts w:hint="eastAsia"/>
              </w:rPr>
              <w:t>寄存器+数据窗口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pStyle w:val="34"/>
            </w:pPr>
            <w:r>
              <w:rPr>
                <w:rFonts w:hint="eastAsia"/>
              </w:rPr>
              <w:t>模拟量AURORA通道</w:t>
            </w:r>
          </w:p>
        </w:tc>
        <w:tc>
          <w:tcPr>
            <w:tcW w:w="1454" w:type="dxa"/>
          </w:tcPr>
          <w:p>
            <w:pPr>
              <w:pStyle w:val="34"/>
            </w:pPr>
            <w:r>
              <w:rPr>
                <w:rFonts w:hint="eastAsia"/>
              </w:rPr>
              <w:t>光纤AURORA（主频1G）</w:t>
            </w:r>
          </w:p>
        </w:tc>
        <w:tc>
          <w:tcPr>
            <w:tcW w:w="3511" w:type="dxa"/>
          </w:tcPr>
          <w:p>
            <w:pPr>
              <w:pStyle w:val="34"/>
            </w:pPr>
            <w:r>
              <w:rPr>
                <w:rFonts w:hint="eastAsia"/>
              </w:rPr>
              <w:t>模拟量数据流</w:t>
            </w:r>
          </w:p>
        </w:tc>
        <w:tc>
          <w:tcPr>
            <w:tcW w:w="2126" w:type="dxa"/>
          </w:tcPr>
          <w:p>
            <w:pPr>
              <w:pStyle w:val="34"/>
            </w:pPr>
            <w:r>
              <w:rPr>
                <w:rFonts w:hint="eastAsia"/>
              </w:rPr>
              <w:t>2us周期帧，帧序号+累加和校验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pStyle w:val="34"/>
            </w:pPr>
            <w:r>
              <w:rPr>
                <w:rFonts w:hint="eastAsia"/>
              </w:rPr>
              <w:t>应用AURORA通道</w:t>
            </w:r>
          </w:p>
        </w:tc>
        <w:tc>
          <w:tcPr>
            <w:tcW w:w="1454" w:type="dxa"/>
          </w:tcPr>
          <w:p>
            <w:pPr>
              <w:pStyle w:val="34"/>
            </w:pPr>
            <w:r>
              <w:rPr>
                <w:rFonts w:hint="eastAsia"/>
              </w:rPr>
              <w:t>光纤AURORA（主频10G）</w:t>
            </w:r>
          </w:p>
        </w:tc>
        <w:tc>
          <w:tcPr>
            <w:tcW w:w="3511" w:type="dxa"/>
          </w:tcPr>
          <w:p>
            <w:pPr>
              <w:pStyle w:val="34"/>
            </w:pPr>
            <w:r>
              <w:rPr>
                <w:rFonts w:hint="eastAsia"/>
              </w:rPr>
              <w:t>应用数据流（主处理板→辅助板）；路径二启用时反向承载辅助板→主处理板的应用逻辑启停状态转发</w:t>
            </w:r>
          </w:p>
        </w:tc>
        <w:tc>
          <w:tcPr>
            <w:tcW w:w="2126" w:type="dxa"/>
          </w:tcPr>
          <w:p>
            <w:pPr>
              <w:pStyle w:val="34"/>
            </w:pPr>
            <w:r>
              <w:rPr>
                <w:rFonts w:hint="eastAsia"/>
              </w:rPr>
              <w:t>双向链路，收发方向独立；50us周期帧，帧序号+累加和校验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pStyle w:val="34"/>
            </w:pPr>
            <w:r>
              <w:rPr>
                <w:rFonts w:hint="eastAsia"/>
              </w:rPr>
              <w:t>DDR数据块</w:t>
            </w:r>
          </w:p>
        </w:tc>
        <w:tc>
          <w:tcPr>
            <w:tcW w:w="1454" w:type="dxa"/>
          </w:tcPr>
          <w:p>
            <w:pPr>
              <w:pStyle w:val="34"/>
            </w:pPr>
            <w:r>
              <w:rPr>
                <w:rFonts w:hint="eastAsia"/>
              </w:rPr>
              <w:t>板内存储</w:t>
            </w:r>
          </w:p>
        </w:tc>
        <w:tc>
          <w:tcPr>
            <w:tcW w:w="3511" w:type="dxa"/>
          </w:tcPr>
          <w:p>
            <w:pPr>
              <w:pStyle w:val="34"/>
            </w:pPr>
            <w:r>
              <w:rPr>
                <w:rFonts w:hint="eastAsia"/>
              </w:rPr>
              <w:t>应用数据缓存与交换</w:t>
            </w:r>
          </w:p>
        </w:tc>
        <w:tc>
          <w:tcPr>
            <w:tcW w:w="2126" w:type="dxa"/>
          </w:tcPr>
          <w:p>
            <w:pPr>
              <w:pStyle w:val="34"/>
            </w:pPr>
            <w:r>
              <w:rPr>
                <w:rFonts w:hint="eastAsia"/>
              </w:rPr>
              <w:t>辅助板乒乓数据块A/B两块、乒乓轮转；主处理板为当前值缓存区，按50us应用周期覆盖刷新</w:t>
            </w:r>
          </w:p>
        </w:tc>
      </w:tr>
    </w:tbl>
    <w:p>
      <w:pPr>
        <w:pStyle w:val="6"/>
        <w:ind w:firstLine="480"/>
      </w:pPr>
    </w:p>
    <w:p>
      <w:pPr>
        <w:pStyle w:val="4"/>
      </w:pPr>
      <w:bookmarkStart w:id="21" w:name="_Toc13851"/>
      <w:r>
        <w:rPr>
          <w:rFonts w:hint="eastAsia"/>
        </w:rPr>
        <w:t>模块划分与工作规划</w:t>
      </w:r>
      <w:bookmarkEnd w:id="21"/>
    </w:p>
    <w:p>
      <w:pPr>
        <w:pStyle w:val="6"/>
        <w:ind w:firstLine="480"/>
      </w:pPr>
      <w:r>
        <w:rPr>
          <w:rFonts w:hint="eastAsia"/>
        </w:rPr>
        <w:t>装置的模块划分与工作规划见表8。</w:t>
      </w:r>
    </w:p>
    <w:p>
      <w:pPr>
        <w:pStyle w:val="50"/>
      </w:pPr>
      <w:r>
        <w:rPr>
          <w:rFonts w:hint="eastAsia"/>
        </w:rPr>
        <w:t>表8 模块划分与工作规划</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2"/>
            </w:pPr>
            <w:r>
              <w:rPr>
                <w:rFonts w:hint="eastAsia"/>
              </w:rPr>
              <w:t>序号</w:t>
            </w:r>
          </w:p>
        </w:tc>
        <w:tc>
          <w:tcPr>
            <w:tcW w:w="1701" w:type="dxa"/>
          </w:tcPr>
          <w:p>
            <w:pPr>
              <w:pStyle w:val="32"/>
            </w:pPr>
            <w:r>
              <w:rPr>
                <w:rFonts w:hint="eastAsia"/>
              </w:rPr>
              <w:t>模块</w:t>
            </w:r>
          </w:p>
        </w:tc>
        <w:tc>
          <w:tcPr>
            <w:tcW w:w="1701" w:type="dxa"/>
          </w:tcPr>
          <w:p>
            <w:pPr>
              <w:pStyle w:val="32"/>
            </w:pPr>
            <w:r>
              <w:rPr>
                <w:rFonts w:hint="eastAsia"/>
              </w:rPr>
              <w:t>主要工作内容</w:t>
            </w:r>
          </w:p>
        </w:tc>
        <w:tc>
          <w:tcPr>
            <w:tcW w:w="1701" w:type="dxa"/>
          </w:tcPr>
          <w:p>
            <w:pPr>
              <w:pStyle w:val="32"/>
            </w:pPr>
            <w:r>
              <w:rPr>
                <w:rFonts w:hint="eastAsia"/>
              </w:rPr>
              <w:t>前置依赖</w:t>
            </w:r>
          </w:p>
        </w:tc>
        <w:tc>
          <w:tcPr>
            <w:tcW w:w="1701" w:type="dxa"/>
          </w:tcPr>
          <w:p>
            <w:pPr>
              <w:pStyle w:val="32"/>
            </w:pPr>
            <w:r>
              <w:rPr>
                <w:rFonts w:hint="eastAsia"/>
              </w:rPr>
              <w:t>工作量（人日）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t>1</w:t>
            </w:r>
          </w:p>
        </w:tc>
        <w:tc>
          <w:tcPr>
            <w:tcW w:w="1701" w:type="dxa"/>
          </w:tcPr>
          <w:p>
            <w:pPr>
              <w:pStyle w:val="34"/>
            </w:pPr>
            <w:r>
              <w:rPr>
                <w:rFonts w:hint="eastAsia"/>
              </w:rPr>
              <w:t>管理板通讯控制模块</w:t>
            </w:r>
          </w:p>
        </w:tc>
        <w:tc>
          <w:tcPr>
            <w:tcW w:w="1701" w:type="dxa"/>
          </w:tcPr>
          <w:p>
            <w:pPr>
              <w:pStyle w:val="34"/>
            </w:pPr>
            <w:r>
              <w:rPr>
                <w:rFonts w:hint="eastAsia"/>
              </w:rPr>
              <w:t>以太网TCP通信（服务端8006）、连接与心跳管理、控制/心跳报文（表5）与数据应答报文（表6）的收发与解析、数据缓存区扫描与分包上送、经操作系统PCIE设备接口完成主处理板与辅助板管控、状态汇总与异常上报</w:t>
            </w:r>
          </w:p>
        </w:tc>
        <w:tc>
          <w:tcPr>
            <w:tcW w:w="1701" w:type="dxa"/>
          </w:tcPr>
          <w:p>
            <w:pPr>
              <w:pStyle w:val="34"/>
            </w:pPr>
            <w:r>
              <w:rPr>
                <w:rFonts w:hint="eastAsia"/>
              </w:rPr>
              <w:t>RK3588系统与PCIE驱动就绪</w:t>
            </w:r>
          </w:p>
        </w:tc>
        <w:tc>
          <w:tcPr>
            <w:tcW w:w="1701" w:type="dxa"/>
          </w:tcPr>
          <w:p>
            <w:pPr>
              <w:pStyle w:val="34"/>
            </w:pPr>
            <w: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rPr>
                <w:rFonts w:hint="eastAsia"/>
              </w:rPr>
              <w:t>2</w:t>
            </w:r>
          </w:p>
        </w:tc>
        <w:tc>
          <w:tcPr>
            <w:tcW w:w="1701" w:type="dxa"/>
          </w:tcPr>
          <w:p>
            <w:pPr>
              <w:pStyle w:val="34"/>
            </w:pPr>
            <w:r>
              <w:rPr>
                <w:rFonts w:hint="eastAsia"/>
              </w:rPr>
              <w:t>管理板操作系统与驱动</w:t>
            </w:r>
          </w:p>
        </w:tc>
        <w:tc>
          <w:tcPr>
            <w:tcW w:w="1701" w:type="dxa"/>
          </w:tcPr>
          <w:p>
            <w:pPr>
              <w:pStyle w:val="34"/>
            </w:pPr>
            <w:r>
              <w:rPr>
                <w:rFonts w:hint="eastAsia"/>
              </w:rPr>
              <w:t>嵌入式Linux操作系统移植与裁剪、以太网与PCIE驱动实现，为主控PCIE与辅助控制PCIE提供统一的设备访问接口</w:t>
            </w:r>
          </w:p>
        </w:tc>
        <w:tc>
          <w:tcPr>
            <w:tcW w:w="1701" w:type="dxa"/>
          </w:tcPr>
          <w:p>
            <w:pPr>
              <w:pStyle w:val="34"/>
            </w:pPr>
            <w:r>
              <w:rPr>
                <w:rFonts w:hint="eastAsia"/>
              </w:rPr>
              <w:t>硬件</w:t>
            </w:r>
          </w:p>
        </w:tc>
        <w:tc>
          <w:tcPr>
            <w:tcW w:w="1701" w:type="dxa"/>
          </w:tcPr>
          <w:p>
            <w:pPr>
              <w:pStyle w:val="34"/>
            </w:pPr>
            <w:r>
              <w:rPr>
                <w:rFonts w:hint="eastAsia"/>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t>3</w:t>
            </w:r>
          </w:p>
        </w:tc>
        <w:tc>
          <w:tcPr>
            <w:tcW w:w="1701" w:type="dxa"/>
          </w:tcPr>
          <w:p>
            <w:pPr>
              <w:pStyle w:val="34"/>
            </w:pPr>
            <w:r>
              <w:rPr>
                <w:rFonts w:hint="eastAsia"/>
              </w:rPr>
              <w:t>主处理板PCIE控制模块</w:t>
            </w:r>
          </w:p>
        </w:tc>
        <w:tc>
          <w:tcPr>
            <w:tcW w:w="1701" w:type="dxa"/>
          </w:tcPr>
          <w:p>
            <w:pPr>
              <w:pStyle w:val="34"/>
            </w:pPr>
            <w:r>
              <w:rPr>
                <w:rFonts w:hint="eastAsia"/>
              </w:rPr>
              <w:t>寄存器/数据窗口、链路训练监视</w:t>
            </w:r>
          </w:p>
        </w:tc>
        <w:tc>
          <w:tcPr>
            <w:tcW w:w="1701" w:type="dxa"/>
          </w:tcPr>
          <w:p>
            <w:pPr>
              <w:pStyle w:val="34"/>
            </w:pPr>
            <w:r>
              <w:rPr>
                <w:rFonts w:hint="eastAsia"/>
              </w:rPr>
              <w:t>PCIE IP核</w:t>
            </w:r>
          </w:p>
        </w:tc>
        <w:tc>
          <w:tcPr>
            <w:tcW w:w="1701" w:type="dxa"/>
          </w:tcPr>
          <w:p>
            <w:pPr>
              <w:pStyle w:val="34"/>
            </w:pPr>
            <w: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t>4</w:t>
            </w:r>
          </w:p>
        </w:tc>
        <w:tc>
          <w:tcPr>
            <w:tcW w:w="1701" w:type="dxa"/>
          </w:tcPr>
          <w:p>
            <w:pPr>
              <w:pStyle w:val="34"/>
            </w:pPr>
            <w:r>
              <w:rPr>
                <w:rFonts w:hint="eastAsia"/>
              </w:rPr>
              <w:t>主处理板模拟数据接收模块</w:t>
            </w:r>
          </w:p>
        </w:tc>
        <w:tc>
          <w:tcPr>
            <w:tcW w:w="1701" w:type="dxa"/>
          </w:tcPr>
          <w:p>
            <w:pPr>
              <w:pStyle w:val="34"/>
            </w:pPr>
            <w:r>
              <w:rPr>
                <w:rFonts w:hint="eastAsia"/>
              </w:rPr>
              <w:t>光纤接收、帧解析校验、2us周期缓存</w:t>
            </w:r>
          </w:p>
        </w:tc>
        <w:tc>
          <w:tcPr>
            <w:tcW w:w="1701" w:type="dxa"/>
          </w:tcPr>
          <w:p>
            <w:pPr>
              <w:pStyle w:val="34"/>
            </w:pPr>
            <w:r>
              <w:rPr>
                <w:rFonts w:hint="eastAsia"/>
              </w:rPr>
              <w:t>AURORA IP核</w:t>
            </w:r>
          </w:p>
        </w:tc>
        <w:tc>
          <w:tcPr>
            <w:tcW w:w="1701" w:type="dxa"/>
          </w:tcPr>
          <w:p>
            <w:pPr>
              <w:pStyle w:val="34"/>
            </w:pPr>
            <w: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t>5</w:t>
            </w:r>
          </w:p>
        </w:tc>
        <w:tc>
          <w:tcPr>
            <w:tcW w:w="1701" w:type="dxa"/>
          </w:tcPr>
          <w:p>
            <w:pPr>
              <w:pStyle w:val="34"/>
            </w:pPr>
            <w:r>
              <w:rPr>
                <w:rFonts w:hint="eastAsia"/>
              </w:rPr>
              <w:t>主处理板应用逻辑</w:t>
            </w:r>
          </w:p>
        </w:tc>
        <w:tc>
          <w:tcPr>
            <w:tcW w:w="1701" w:type="dxa"/>
          </w:tcPr>
          <w:p>
            <w:pPr>
              <w:pStyle w:val="34"/>
            </w:pPr>
            <w:r>
              <w:rPr>
                <w:rFonts w:hint="eastAsia"/>
              </w:rPr>
              <w:t>实时仿真计算、2us/50us节拍调度</w:t>
            </w:r>
          </w:p>
        </w:tc>
        <w:tc>
          <w:tcPr>
            <w:tcW w:w="1701" w:type="dxa"/>
          </w:tcPr>
          <w:p>
            <w:pPr>
              <w:pStyle w:val="34"/>
            </w:pPr>
            <w:r>
              <w:rPr>
                <w:rFonts w:hint="eastAsia"/>
              </w:rPr>
              <w:t>模拟量数据缓存、应用数据发送缓存</w:t>
            </w:r>
          </w:p>
        </w:tc>
        <w:tc>
          <w:tcPr>
            <w:tcW w:w="1701" w:type="dxa"/>
          </w:tcPr>
          <w:p>
            <w:pPr>
              <w:pStyle w:val="34"/>
            </w:pPr>
            <w: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t>6</w:t>
            </w:r>
          </w:p>
        </w:tc>
        <w:tc>
          <w:tcPr>
            <w:tcW w:w="1701" w:type="dxa"/>
          </w:tcPr>
          <w:p>
            <w:pPr>
              <w:pStyle w:val="34"/>
            </w:pPr>
            <w:r>
              <w:rPr>
                <w:rFonts w:hint="eastAsia"/>
              </w:rPr>
              <w:t>主处理板应用数据发送控制模块</w:t>
            </w:r>
          </w:p>
        </w:tc>
        <w:tc>
          <w:tcPr>
            <w:tcW w:w="1701" w:type="dxa"/>
          </w:tcPr>
          <w:p>
            <w:pPr>
              <w:pStyle w:val="34"/>
            </w:pPr>
            <w:r>
              <w:rPr>
                <w:rFonts w:hint="eastAsia"/>
              </w:rPr>
              <w:t>50us周期组帧发送、帧序号与校验</w:t>
            </w:r>
          </w:p>
        </w:tc>
        <w:tc>
          <w:tcPr>
            <w:tcW w:w="1701" w:type="dxa"/>
          </w:tcPr>
          <w:p>
            <w:pPr>
              <w:pStyle w:val="34"/>
            </w:pPr>
            <w:r>
              <w:rPr>
                <w:rFonts w:hint="eastAsia"/>
              </w:rPr>
              <w:t>AURORA IP核</w:t>
            </w:r>
          </w:p>
        </w:tc>
        <w:tc>
          <w:tcPr>
            <w:tcW w:w="1701" w:type="dxa"/>
          </w:tcPr>
          <w:p>
            <w:pPr>
              <w:pStyle w:val="34"/>
            </w:pPr>
            <w: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t>7</w:t>
            </w:r>
          </w:p>
        </w:tc>
        <w:tc>
          <w:tcPr>
            <w:tcW w:w="1701" w:type="dxa"/>
          </w:tcPr>
          <w:p>
            <w:pPr>
              <w:pStyle w:val="34"/>
            </w:pPr>
            <w:r>
              <w:rPr>
                <w:rFonts w:hint="eastAsia"/>
              </w:rPr>
              <w:t>主处理板本地缓存模块</w:t>
            </w:r>
          </w:p>
        </w:tc>
        <w:tc>
          <w:tcPr>
            <w:tcW w:w="1701" w:type="dxa"/>
          </w:tcPr>
          <w:p>
            <w:pPr>
              <w:pStyle w:val="34"/>
            </w:pPr>
            <w:r>
              <w:rPr>
                <w:rFonts w:hint="eastAsia"/>
              </w:rPr>
              <w:t>应用数据DDR当前值缓存、按周期覆盖刷新、写入完成经PCIE触发中断、状态上报与PCIE回读</w:t>
            </w:r>
          </w:p>
        </w:tc>
        <w:tc>
          <w:tcPr>
            <w:tcW w:w="1701" w:type="dxa"/>
          </w:tcPr>
          <w:p>
            <w:pPr>
              <w:pStyle w:val="34"/>
            </w:pPr>
            <w:r>
              <w:rPr>
                <w:rFonts w:hint="eastAsia"/>
              </w:rPr>
              <w:t>DDR控制器</w:t>
            </w:r>
          </w:p>
        </w:tc>
        <w:tc>
          <w:tcPr>
            <w:tcW w:w="1701" w:type="dxa"/>
          </w:tcPr>
          <w:p>
            <w:pPr>
              <w:pStyle w:val="34"/>
            </w:pPr>
            <w: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t>8</w:t>
            </w:r>
          </w:p>
        </w:tc>
        <w:tc>
          <w:tcPr>
            <w:tcW w:w="1701" w:type="dxa"/>
          </w:tcPr>
          <w:p>
            <w:pPr>
              <w:pStyle w:val="34"/>
            </w:pPr>
            <w:r>
              <w:rPr>
                <w:rFonts w:hint="eastAsia"/>
              </w:rPr>
              <w:t>辅助板PCIE控制模块</w:t>
            </w:r>
          </w:p>
        </w:tc>
        <w:tc>
          <w:tcPr>
            <w:tcW w:w="1701" w:type="dxa"/>
          </w:tcPr>
          <w:p>
            <w:pPr>
              <w:pStyle w:val="34"/>
            </w:pPr>
            <w:r>
              <w:rPr>
                <w:rFonts w:hint="eastAsia"/>
              </w:rPr>
              <w:t>采集配置、状态寄存器、链路监视</w:t>
            </w:r>
          </w:p>
        </w:tc>
        <w:tc>
          <w:tcPr>
            <w:tcW w:w="1701" w:type="dxa"/>
          </w:tcPr>
          <w:p>
            <w:pPr>
              <w:pStyle w:val="34"/>
            </w:pPr>
            <w:r>
              <w:rPr>
                <w:rFonts w:hint="eastAsia"/>
              </w:rPr>
              <w:t>PCIE IP核</w:t>
            </w:r>
          </w:p>
        </w:tc>
        <w:tc>
          <w:tcPr>
            <w:tcW w:w="1701" w:type="dxa"/>
          </w:tcPr>
          <w:p>
            <w:pPr>
              <w:pStyle w:val="34"/>
            </w:pPr>
            <w: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t>9</w:t>
            </w:r>
          </w:p>
        </w:tc>
        <w:tc>
          <w:tcPr>
            <w:tcW w:w="1701" w:type="dxa"/>
          </w:tcPr>
          <w:p>
            <w:pPr>
              <w:pStyle w:val="34"/>
            </w:pPr>
            <w:r>
              <w:rPr>
                <w:rFonts w:hint="eastAsia"/>
              </w:rPr>
              <w:t>辅助板模拟数据控制模块</w:t>
            </w:r>
          </w:p>
        </w:tc>
        <w:tc>
          <w:tcPr>
            <w:tcW w:w="1701" w:type="dxa"/>
          </w:tcPr>
          <w:p>
            <w:pPr>
              <w:pStyle w:val="34"/>
            </w:pPr>
            <w:r>
              <w:rPr>
                <w:rFonts w:hint="eastAsia"/>
              </w:rPr>
              <w:t>数据模式选择、2us周期采集组帧发送</w:t>
            </w:r>
          </w:p>
        </w:tc>
        <w:tc>
          <w:tcPr>
            <w:tcW w:w="1701" w:type="dxa"/>
          </w:tcPr>
          <w:p>
            <w:pPr>
              <w:pStyle w:val="34"/>
            </w:pPr>
            <w:r>
              <w:rPr>
                <w:rFonts w:hint="eastAsia"/>
              </w:rPr>
              <w:t>AURORA IP核</w:t>
            </w:r>
          </w:p>
        </w:tc>
        <w:tc>
          <w:tcPr>
            <w:tcW w:w="1701" w:type="dxa"/>
          </w:tcPr>
          <w:p>
            <w:pPr>
              <w:pStyle w:val="34"/>
            </w:pPr>
            <w: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t>10</w:t>
            </w:r>
          </w:p>
        </w:tc>
        <w:tc>
          <w:tcPr>
            <w:tcW w:w="1701" w:type="dxa"/>
          </w:tcPr>
          <w:p>
            <w:pPr>
              <w:pStyle w:val="34"/>
            </w:pPr>
            <w:r>
              <w:rPr>
                <w:rFonts w:hint="eastAsia"/>
              </w:rPr>
              <w:t>辅助板应用数据接收模块</w:t>
            </w:r>
          </w:p>
        </w:tc>
        <w:tc>
          <w:tcPr>
            <w:tcW w:w="1701" w:type="dxa"/>
          </w:tcPr>
          <w:p>
            <w:pPr>
              <w:pStyle w:val="34"/>
            </w:pPr>
            <w:r>
              <w:rPr>
                <w:rFonts w:hint="eastAsia"/>
              </w:rPr>
              <w:t>接收解析、DDR写入、丢帧统计</w:t>
            </w:r>
          </w:p>
        </w:tc>
        <w:tc>
          <w:tcPr>
            <w:tcW w:w="1701" w:type="dxa"/>
          </w:tcPr>
          <w:p>
            <w:pPr>
              <w:pStyle w:val="34"/>
            </w:pPr>
            <w:r>
              <w:rPr>
                <w:rFonts w:hint="eastAsia"/>
              </w:rPr>
              <w:t>AURORA IP核、DDR控制器</w:t>
            </w:r>
          </w:p>
        </w:tc>
        <w:tc>
          <w:tcPr>
            <w:tcW w:w="1701" w:type="dxa"/>
          </w:tcPr>
          <w:p>
            <w:pPr>
              <w:pStyle w:val="34"/>
            </w:pPr>
            <w: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t>11</w:t>
            </w:r>
          </w:p>
        </w:tc>
        <w:tc>
          <w:tcPr>
            <w:tcW w:w="1701" w:type="dxa"/>
          </w:tcPr>
          <w:p>
            <w:pPr>
              <w:pStyle w:val="34"/>
            </w:pPr>
            <w:r>
              <w:rPr>
                <w:rFonts w:hint="eastAsia"/>
              </w:rPr>
              <w:t>辅助板应用数据缓存模块</w:t>
            </w:r>
          </w:p>
        </w:tc>
        <w:tc>
          <w:tcPr>
            <w:tcW w:w="1701" w:type="dxa"/>
          </w:tcPr>
          <w:p>
            <w:pPr>
              <w:pStyle w:val="34"/>
            </w:pPr>
            <w:r>
              <w:rPr>
                <w:rFonts w:hint="eastAsia"/>
              </w:rPr>
              <w:t>乒乓数据块A/B管理与输出调度、应用数据PCIE回读</w:t>
            </w:r>
          </w:p>
        </w:tc>
        <w:tc>
          <w:tcPr>
            <w:tcW w:w="1701" w:type="dxa"/>
          </w:tcPr>
          <w:p>
            <w:pPr>
              <w:pStyle w:val="34"/>
            </w:pPr>
            <w:r>
              <w:rPr>
                <w:rFonts w:hint="eastAsia"/>
              </w:rPr>
              <w:t>DDR控制器</w:t>
            </w:r>
          </w:p>
        </w:tc>
        <w:tc>
          <w:tcPr>
            <w:tcW w:w="1701" w:type="dxa"/>
          </w:tcPr>
          <w:p>
            <w:pPr>
              <w:pStyle w:val="34"/>
            </w:pPr>
            <w: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t>12</w:t>
            </w:r>
          </w:p>
        </w:tc>
        <w:tc>
          <w:tcPr>
            <w:tcW w:w="1701" w:type="dxa"/>
          </w:tcPr>
          <w:p>
            <w:pPr>
              <w:pStyle w:val="34"/>
            </w:pPr>
            <w:r>
              <w:rPr>
                <w:rFonts w:hint="eastAsia"/>
              </w:rPr>
              <w:t>后台机数据显示软件</w:t>
            </w:r>
          </w:p>
        </w:tc>
        <w:tc>
          <w:tcPr>
            <w:tcW w:w="1701" w:type="dxa"/>
          </w:tcPr>
          <w:p>
            <w:pPr>
              <w:pStyle w:val="34"/>
            </w:pPr>
            <w:r>
              <w:rPr>
                <w:rFonts w:hint="eastAsia"/>
              </w:rPr>
              <w:t>数据展示、状态监视、配置控制、数据记录</w:t>
            </w:r>
          </w:p>
        </w:tc>
        <w:tc>
          <w:tcPr>
            <w:tcW w:w="1701" w:type="dxa"/>
          </w:tcPr>
          <w:p>
            <w:pPr>
              <w:pStyle w:val="34"/>
            </w:pPr>
            <w:r>
              <w:rPr>
                <w:rFonts w:hint="eastAsia"/>
              </w:rPr>
              <w:t>管理板通信协议</w:t>
            </w:r>
          </w:p>
        </w:tc>
        <w:tc>
          <w:tcPr>
            <w:tcW w:w="1701" w:type="dxa"/>
          </w:tcPr>
          <w:p>
            <w:pPr>
              <w:pStyle w:val="34"/>
            </w:pPr>
            <w: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t>13</w:t>
            </w:r>
          </w:p>
        </w:tc>
        <w:tc>
          <w:tcPr>
            <w:tcW w:w="1701" w:type="dxa"/>
          </w:tcPr>
          <w:p>
            <w:pPr>
              <w:pStyle w:val="34"/>
            </w:pPr>
            <w:r>
              <w:rPr>
                <w:rFonts w:hint="eastAsia"/>
              </w:rPr>
              <w:t>集成与联调</w:t>
            </w:r>
          </w:p>
        </w:tc>
        <w:tc>
          <w:tcPr>
            <w:tcW w:w="1701" w:type="dxa"/>
          </w:tcPr>
          <w:p>
            <w:pPr>
              <w:pStyle w:val="34"/>
            </w:pPr>
            <w:r>
              <w:rPr>
                <w:rFonts w:hint="eastAsia"/>
              </w:rPr>
              <w:t>链路联调、闭环时延测试、系统测试</w:t>
            </w:r>
          </w:p>
        </w:tc>
        <w:tc>
          <w:tcPr>
            <w:tcW w:w="1701" w:type="dxa"/>
          </w:tcPr>
          <w:p>
            <w:pPr>
              <w:pStyle w:val="34"/>
            </w:pPr>
            <w:r>
              <w:rPr>
                <w:rFonts w:hint="eastAsia"/>
              </w:rPr>
              <w:t>上述全部模块</w:t>
            </w:r>
          </w:p>
        </w:tc>
        <w:tc>
          <w:tcPr>
            <w:tcW w:w="1701" w:type="dxa"/>
          </w:tcPr>
          <w:p>
            <w:pPr>
              <w:pStyle w:val="34"/>
            </w:pPr>
            <w: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rPr>
                <w:rFonts w:hint="eastAsia"/>
              </w:rPr>
              <w:t>合计</w:t>
            </w:r>
          </w:p>
        </w:tc>
        <w:tc>
          <w:tcPr>
            <w:tcW w:w="1701" w:type="dxa"/>
          </w:tcPr>
          <w:p>
            <w:pPr>
              <w:pStyle w:val="34"/>
            </w:pPr>
          </w:p>
        </w:tc>
        <w:tc>
          <w:tcPr>
            <w:tcW w:w="1701" w:type="dxa"/>
          </w:tcPr>
          <w:p>
            <w:pPr>
              <w:pStyle w:val="34"/>
            </w:pPr>
          </w:p>
        </w:tc>
        <w:tc>
          <w:tcPr>
            <w:tcW w:w="1701" w:type="dxa"/>
          </w:tcPr>
          <w:p>
            <w:pPr>
              <w:pStyle w:val="34"/>
            </w:pPr>
          </w:p>
        </w:tc>
        <w:tc>
          <w:tcPr>
            <w:tcW w:w="1701" w:type="dxa"/>
          </w:tcPr>
          <w:p>
            <w:pPr>
              <w:pStyle w:val="34"/>
            </w:pPr>
            <w:r>
              <w:t>139</w:t>
            </w:r>
          </w:p>
        </w:tc>
      </w:tr>
    </w:tbl>
    <w:p>
      <w:pPr>
        <w:pStyle w:val="6"/>
        <w:ind w:firstLine="480"/>
      </w:pPr>
    </w:p>
    <w:p>
      <w:pPr>
        <w:pStyle w:val="6"/>
        <w:ind w:firstLine="480"/>
      </w:pPr>
      <w:r>
        <w:rPr>
          <w:rFonts w:hint="eastAsia"/>
        </w:rPr>
        <w:t>说明：以上工作量为软件与FPGA逻辑的编码及自测估算，不含需求评审、详细设计评审与现场试点，合计约139人日；AURORA与PCIE的IP核验证优先安排，以支撑后续模块联调。</w:t>
      </w:r>
    </w:p>
    <w:sectPr>
      <w:headerReference r:id="rId9" w:type="default"/>
      <w:footerReference r:id="rId11" w:type="default"/>
      <w:headerReference r:id="rId10" w:type="even"/>
      <w:footerReference r:id="rId12" w:type="even"/>
      <w:pgSz w:w="11906" w:h="16838"/>
      <w:pgMar w:top="1134" w:right="1701" w:bottom="1134" w:left="1701"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W w:w="8755" w:type="dxa"/>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6"/>
      <w:gridCol w:w="2488"/>
      <w:gridCol w:w="3891"/>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trPr>
      <w:tc>
        <w:tcPr>
          <w:tcW w:w="2376" w:type="dxa"/>
          <w:vAlign w:val="center"/>
        </w:tcPr>
        <w:p>
          <w:pPr>
            <w:pStyle w:val="16"/>
            <w:rPr>
              <w:sz w:val="15"/>
              <w:szCs w:val="15"/>
            </w:rPr>
          </w:pPr>
          <w:r>
            <w:rPr>
              <w:rFonts w:hint="eastAsia"/>
              <w:sz w:val="15"/>
              <w:szCs w:val="15"/>
            </w:rPr>
            <w:t>知识产权所有，未经正式许可，严禁擅自复制或向第三方公开。</w:t>
          </w:r>
        </w:p>
      </w:tc>
      <w:tc>
        <w:tcPr>
          <w:tcW w:w="2488" w:type="dxa"/>
          <w:vAlign w:val="center"/>
        </w:tcPr>
        <w:p>
          <w:pPr>
            <w:pStyle w:val="16"/>
            <w:jc w:val="center"/>
          </w:pPr>
          <w:r>
            <w:rPr>
              <w:rFonts w:hint="eastAsia"/>
              <w:kern w:val="0"/>
              <w:szCs w:val="21"/>
            </w:rPr>
            <w:t xml:space="preserve">                 - </w:t>
          </w:r>
          <w:r>
            <w:rPr>
              <w:kern w:val="0"/>
              <w:szCs w:val="21"/>
            </w:rPr>
            <w:fldChar w:fldCharType="begin"/>
          </w:r>
          <w:r>
            <w:rPr>
              <w:kern w:val="0"/>
              <w:szCs w:val="21"/>
            </w:rPr>
            <w:instrText xml:space="preserve"> PAGE </w:instrText>
          </w:r>
          <w:r>
            <w:rPr>
              <w:kern w:val="0"/>
              <w:szCs w:val="21"/>
            </w:rPr>
            <w:fldChar w:fldCharType="separate"/>
          </w:r>
          <w:r>
            <w:rPr>
              <w:kern w:val="0"/>
              <w:szCs w:val="21"/>
            </w:rPr>
            <w:t>I</w:t>
          </w:r>
          <w:r>
            <w:rPr>
              <w:kern w:val="0"/>
              <w:szCs w:val="21"/>
            </w:rPr>
            <w:fldChar w:fldCharType="end"/>
          </w:r>
          <w:r>
            <w:rPr>
              <w:rFonts w:hint="eastAsia"/>
              <w:kern w:val="0"/>
              <w:szCs w:val="21"/>
            </w:rPr>
            <w:t xml:space="preserve"> -</w:t>
          </w:r>
        </w:p>
      </w:tc>
      <w:tc>
        <w:tcPr>
          <w:tcW w:w="3891" w:type="dxa"/>
          <w:vAlign w:val="center"/>
        </w:tcPr>
        <w:p>
          <w:pPr>
            <w:pStyle w:val="16"/>
            <w:tabs>
              <w:tab w:val="clear" w:pos="4153"/>
            </w:tabs>
            <w:jc w:val="right"/>
          </w:pPr>
        </w:p>
      </w:tc>
    </w:tr>
  </w:tbl>
  <w:p>
    <w:pPr>
      <w:pStyle w:val="16"/>
      <w:tabs>
        <w:tab w:val="clear" w:pos="8306"/>
      </w:tabs>
      <w:ind w:right="-1133" w:rightChars="-47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W w:w="8755" w:type="dxa"/>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6"/>
      <w:gridCol w:w="2488"/>
      <w:gridCol w:w="3891"/>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trPr>
      <w:tc>
        <w:tcPr>
          <w:tcW w:w="2376" w:type="dxa"/>
          <w:vAlign w:val="center"/>
        </w:tcPr>
        <w:p>
          <w:pPr>
            <w:pStyle w:val="16"/>
            <w:rPr>
              <w:sz w:val="15"/>
              <w:szCs w:val="15"/>
            </w:rPr>
          </w:pPr>
          <w:r>
            <w:rPr>
              <w:rFonts w:hint="eastAsia"/>
              <w:sz w:val="15"/>
              <w:szCs w:val="15"/>
            </w:rPr>
            <w:t>知识产权所有，未经正式许可，严禁擅自复制或向第三方公开。</w:t>
          </w:r>
        </w:p>
      </w:tc>
      <w:tc>
        <w:tcPr>
          <w:tcW w:w="2488" w:type="dxa"/>
          <w:vAlign w:val="center"/>
        </w:tcPr>
        <w:p>
          <w:pPr>
            <w:pStyle w:val="16"/>
            <w:jc w:val="center"/>
          </w:pPr>
          <w:r>
            <w:rPr>
              <w:rFonts w:hint="eastAsia"/>
              <w:kern w:val="0"/>
              <w:szCs w:val="21"/>
            </w:rPr>
            <w:t xml:space="preserve">                 - </w:t>
          </w:r>
          <w:r>
            <w:rPr>
              <w:kern w:val="0"/>
              <w:szCs w:val="21"/>
            </w:rPr>
            <w:fldChar w:fldCharType="begin"/>
          </w:r>
          <w:r>
            <w:rPr>
              <w:kern w:val="0"/>
              <w:szCs w:val="21"/>
            </w:rPr>
            <w:instrText xml:space="preserve"> PAGE </w:instrText>
          </w:r>
          <w:r>
            <w:rPr>
              <w:kern w:val="0"/>
              <w:szCs w:val="21"/>
            </w:rPr>
            <w:fldChar w:fldCharType="separate"/>
          </w:r>
          <w:r>
            <w:rPr>
              <w:kern w:val="0"/>
              <w:szCs w:val="21"/>
            </w:rPr>
            <w:t>V</w:t>
          </w:r>
          <w:r>
            <w:rPr>
              <w:kern w:val="0"/>
              <w:szCs w:val="21"/>
            </w:rPr>
            <w:fldChar w:fldCharType="end"/>
          </w:r>
          <w:r>
            <w:rPr>
              <w:rFonts w:hint="eastAsia"/>
              <w:kern w:val="0"/>
              <w:szCs w:val="21"/>
            </w:rPr>
            <w:t xml:space="preserve"> -</w:t>
          </w:r>
        </w:p>
      </w:tc>
      <w:tc>
        <w:tcPr>
          <w:tcW w:w="3891" w:type="dxa"/>
          <w:vAlign w:val="center"/>
        </w:tcPr>
        <w:p>
          <w:pPr>
            <w:pStyle w:val="16"/>
            <w:tabs>
              <w:tab w:val="clear" w:pos="4153"/>
            </w:tabs>
            <w:jc w:val="right"/>
          </w:pPr>
        </w:p>
      </w:tc>
    </w:tr>
  </w:tbl>
  <w:p>
    <w:pPr>
      <w:pStyle w:val="16"/>
      <w:tabs>
        <w:tab w:val="clear" w:pos="8306"/>
      </w:tabs>
      <w:ind w:right="-1133" w:rightChars="-47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W w:w="8722" w:type="dxa"/>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6"/>
      <w:gridCol w:w="2694"/>
      <w:gridCol w:w="3652"/>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trPr>
      <w:tc>
        <w:tcPr>
          <w:tcW w:w="2376" w:type="dxa"/>
          <w:vAlign w:val="center"/>
        </w:tcPr>
        <w:p>
          <w:pPr>
            <w:pStyle w:val="16"/>
            <w:rPr>
              <w:sz w:val="15"/>
              <w:szCs w:val="15"/>
            </w:rPr>
          </w:pPr>
          <w:r>
            <w:rPr>
              <w:rFonts w:hint="eastAsia"/>
              <w:sz w:val="15"/>
              <w:szCs w:val="15"/>
            </w:rPr>
            <w:t>知识产权所有，未经正式许可，严禁擅自复制或向第三方公开。</w:t>
          </w:r>
        </w:p>
      </w:tc>
      <w:tc>
        <w:tcPr>
          <w:tcW w:w="2694" w:type="dxa"/>
          <w:vAlign w:val="center"/>
        </w:tcPr>
        <w:p>
          <w:pPr>
            <w:pStyle w:val="16"/>
            <w:jc w:val="right"/>
          </w:pP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5</w:t>
          </w:r>
          <w:r>
            <w:rPr>
              <w:kern w:val="0"/>
              <w:szCs w:val="21"/>
            </w:rPr>
            <w:fldChar w:fldCharType="end"/>
          </w:r>
          <w:r>
            <w:rPr>
              <w:rFonts w:hint="eastAsia"/>
              <w:kern w:val="0"/>
              <w:szCs w:val="21"/>
            </w:rPr>
            <w:t xml:space="preserve"> -</w:t>
          </w:r>
        </w:p>
      </w:tc>
      <w:tc>
        <w:tcPr>
          <w:tcW w:w="3652" w:type="dxa"/>
          <w:vAlign w:val="center"/>
        </w:tcPr>
        <w:p>
          <w:pPr>
            <w:pStyle w:val="16"/>
            <w:jc w:val="right"/>
          </w:pPr>
        </w:p>
      </w:tc>
    </w:tr>
  </w:tbl>
  <w:p>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W w:w="8720" w:type="dxa"/>
      <w:tblInd w:w="0"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5778"/>
      <w:gridCol w:w="2942"/>
    </w:tblGrid>
    <w:tr>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5" w:hRule="atLeast"/>
      </w:trPr>
      <w:tc>
        <w:tcPr>
          <w:tcW w:w="5778" w:type="dxa"/>
          <w:vAlign w:val="center"/>
        </w:tcPr>
        <w:p>
          <w:pPr>
            <w:spacing w:line="240" w:lineRule="auto"/>
            <w:rPr>
              <w:sz w:val="21"/>
              <w:szCs w:val="21"/>
            </w:rPr>
          </w:pPr>
          <w:r>
            <w:fldChar w:fldCharType="begin"/>
          </w:r>
          <w:r>
            <w:rPr>
              <w:rFonts w:hint="eastAsia"/>
            </w:rPr>
            <w:instrText xml:space="preserve"> DOCPROPERTY  文档名称  \* MERGEFORMAT </w:instrText>
          </w:r>
          <w:r>
            <w:fldChar w:fldCharType="separate"/>
          </w:r>
          <w:r>
            <w:rPr>
              <w:rFonts w:hint="eastAsia"/>
              <w:sz w:val="21"/>
              <w:szCs w:val="21"/>
            </w:rPr>
            <w:t>详细设计说明书</w:t>
          </w:r>
          <w:r>
            <w:fldChar w:fldCharType="end"/>
          </w:r>
          <w:r>
            <w:rPr>
              <w:rFonts w:hint="eastAsia"/>
              <w:sz w:val="21"/>
              <w:szCs w:val="21"/>
            </w:rPr>
            <w:t xml:space="preserve"> </w:t>
          </w:r>
        </w:p>
      </w:tc>
      <w:tc>
        <w:tcPr>
          <w:tcW w:w="2942" w:type="dxa"/>
          <w:vAlign w:val="center"/>
        </w:tcPr>
        <w:p>
          <w:pPr>
            <w:pStyle w:val="17"/>
            <w:wordWrap w:val="0"/>
            <w:spacing w:line="240" w:lineRule="auto"/>
            <w:ind w:left="0" w:leftChars="-216" w:hanging="518" w:hangingChars="247"/>
            <w:jc w:val="right"/>
            <w:rPr>
              <w:sz w:val="21"/>
              <w:szCs w:val="21"/>
            </w:rPr>
          </w:pPr>
          <w:r>
            <w:rPr>
              <w:rFonts w:hint="eastAsia"/>
              <w:sz w:val="21"/>
              <w:szCs w:val="21"/>
            </w:rPr>
            <w:t>文档编号：RD</w:t>
          </w:r>
          <w:r>
            <w:rPr>
              <w:sz w:val="21"/>
              <w:szCs w:val="21"/>
            </w:rPr>
            <w:t>-DEV</w:t>
          </w:r>
          <w:r>
            <w:rPr>
              <w:rFonts w:hint="eastAsia"/>
              <w:sz w:val="21"/>
              <w:szCs w:val="21"/>
            </w:rPr>
            <w:t>-</w:t>
          </w:r>
          <w:r>
            <w:rPr>
              <w:sz w:val="21"/>
              <w:szCs w:val="21"/>
            </w:rPr>
            <w:t>01.0</w:t>
          </w:r>
          <w:r>
            <w:rPr>
              <w:rFonts w:hint="eastAsia"/>
              <w:sz w:val="21"/>
              <w:szCs w:val="21"/>
            </w:rPr>
            <w:t>4</w:t>
          </w:r>
        </w:p>
      </w:tc>
    </w:tr>
  </w:tbl>
  <w:p>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W w:w="8720" w:type="dxa"/>
      <w:tblInd w:w="0"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5778"/>
      <w:gridCol w:w="2942"/>
    </w:tblGrid>
    <w:tr>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5" w:hRule="atLeast"/>
      </w:trPr>
      <w:tc>
        <w:tcPr>
          <w:tcW w:w="5778" w:type="dxa"/>
          <w:vAlign w:val="center"/>
        </w:tcPr>
        <w:p>
          <w:pPr>
            <w:spacing w:line="240" w:lineRule="auto"/>
            <w:rPr>
              <w:sz w:val="21"/>
              <w:szCs w:val="21"/>
            </w:rPr>
          </w:pPr>
          <w:r>
            <w:fldChar w:fldCharType="begin"/>
          </w:r>
          <w:r>
            <w:rPr>
              <w:rFonts w:hint="eastAsia"/>
            </w:rPr>
            <w:instrText xml:space="preserve"> DOCPROPERTY  文档名称  \* MERGEFORMAT </w:instrText>
          </w:r>
          <w:r>
            <w:fldChar w:fldCharType="separate"/>
          </w:r>
          <w:r>
            <w:rPr>
              <w:rFonts w:hint="eastAsia"/>
              <w:sz w:val="21"/>
              <w:szCs w:val="21"/>
            </w:rPr>
            <w:t>详细设计说明书</w:t>
          </w:r>
          <w:r>
            <w:fldChar w:fldCharType="end"/>
          </w:r>
          <w:r>
            <w:rPr>
              <w:rFonts w:hint="eastAsia"/>
              <w:sz w:val="21"/>
              <w:szCs w:val="21"/>
            </w:rPr>
            <w:t xml:space="preserve"> </w:t>
          </w:r>
        </w:p>
      </w:tc>
      <w:tc>
        <w:tcPr>
          <w:tcW w:w="2942" w:type="dxa"/>
          <w:vAlign w:val="center"/>
        </w:tcPr>
        <w:p>
          <w:pPr>
            <w:pStyle w:val="17"/>
            <w:wordWrap w:val="0"/>
            <w:spacing w:line="240" w:lineRule="auto"/>
            <w:ind w:left="0" w:leftChars="-216" w:hanging="518" w:hangingChars="247"/>
            <w:jc w:val="right"/>
            <w:rPr>
              <w:sz w:val="21"/>
              <w:szCs w:val="21"/>
            </w:rPr>
          </w:pPr>
          <w:r>
            <w:rPr>
              <w:rFonts w:hint="eastAsia"/>
              <w:sz w:val="21"/>
              <w:szCs w:val="21"/>
            </w:rPr>
            <w:t>文档编号：RD</w:t>
          </w:r>
          <w:r>
            <w:rPr>
              <w:sz w:val="21"/>
              <w:szCs w:val="21"/>
            </w:rPr>
            <w:t>-DEV</w:t>
          </w:r>
          <w:r>
            <w:rPr>
              <w:rFonts w:hint="eastAsia"/>
              <w:sz w:val="21"/>
              <w:szCs w:val="21"/>
            </w:rPr>
            <w:t>-</w:t>
          </w:r>
          <w:r>
            <w:rPr>
              <w:sz w:val="21"/>
              <w:szCs w:val="21"/>
            </w:rPr>
            <w:t>01.0</w:t>
          </w:r>
          <w:r>
            <w:rPr>
              <w:rFonts w:hint="eastAsia"/>
              <w:sz w:val="21"/>
              <w:szCs w:val="21"/>
            </w:rPr>
            <w:t>4</w:t>
          </w:r>
        </w:p>
      </w:tc>
    </w:tr>
  </w:tbl>
  <w:p>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535F90"/>
    <w:multiLevelType w:val="multilevel"/>
    <w:tmpl w:val="35535F90"/>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773E5B90"/>
    <w:multiLevelType w:val="multilevel"/>
    <w:tmpl w:val="773E5B90"/>
    <w:lvl w:ilvl="0" w:tentative="0">
      <w:start w:val="1"/>
      <w:numFmt w:val="decimal"/>
      <w:pStyle w:val="2"/>
      <w:suff w:val="space"/>
      <w:lvlText w:val="%1."/>
      <w:lvlJc w:val="left"/>
      <w:pPr>
        <w:ind w:left="420" w:hanging="420"/>
      </w:pPr>
      <w:rPr>
        <w:rFonts w:hint="eastAsia"/>
      </w:rPr>
    </w:lvl>
    <w:lvl w:ilvl="1" w:tentative="0">
      <w:start w:val="1"/>
      <w:numFmt w:val="decimal"/>
      <w:pStyle w:val="4"/>
      <w:isLgl/>
      <w:suff w:val="space"/>
      <w:lvlText w:val="%1.%2"/>
      <w:lvlJc w:val="left"/>
      <w:pPr>
        <w:ind w:left="490" w:hanging="490"/>
      </w:pPr>
      <w:rPr>
        <w:rFonts w:hint="default"/>
      </w:rPr>
    </w:lvl>
    <w:lvl w:ilvl="2" w:tentative="0">
      <w:start w:val="1"/>
      <w:numFmt w:val="decimal"/>
      <w:pStyle w:val="5"/>
      <w:isLgl/>
      <w:suff w:val="space"/>
      <w:lvlText w:val="%1.%2.%3"/>
      <w:lvlJc w:val="left"/>
      <w:pPr>
        <w:ind w:left="1713" w:hanging="720"/>
      </w:pPr>
      <w:rPr>
        <w:rFonts w:hint="default"/>
      </w:rPr>
    </w:lvl>
    <w:lvl w:ilvl="3" w:tentative="0">
      <w:start w:val="1"/>
      <w:numFmt w:val="decimal"/>
      <w:pStyle w:val="7"/>
      <w:isLgl/>
      <w:suff w:val="space"/>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0"/>
  <w:drawingGridHorizontalSpacing w:val="120"/>
  <w:drawingGridVerticalSpacing w:val="163"/>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yY2MyOTAzNDllMmJjNTNhNDQzNTY0NWE3OGYxMTIifQ=="/>
  </w:docVars>
  <w:rsids>
    <w:rsidRoot w:val="00BE43F2"/>
    <w:rsid w:val="00014348"/>
    <w:rsid w:val="0002033E"/>
    <w:rsid w:val="00022611"/>
    <w:rsid w:val="0003707E"/>
    <w:rsid w:val="00042243"/>
    <w:rsid w:val="000436E6"/>
    <w:rsid w:val="00044CAE"/>
    <w:rsid w:val="00045ABC"/>
    <w:rsid w:val="00047B48"/>
    <w:rsid w:val="00050DD6"/>
    <w:rsid w:val="00057366"/>
    <w:rsid w:val="0006137A"/>
    <w:rsid w:val="0006387E"/>
    <w:rsid w:val="000656AA"/>
    <w:rsid w:val="00065CF6"/>
    <w:rsid w:val="00075D8D"/>
    <w:rsid w:val="00081565"/>
    <w:rsid w:val="000A5DDA"/>
    <w:rsid w:val="000B0D9D"/>
    <w:rsid w:val="000B25B7"/>
    <w:rsid w:val="000C2370"/>
    <w:rsid w:val="000C71DC"/>
    <w:rsid w:val="000D1503"/>
    <w:rsid w:val="000D6026"/>
    <w:rsid w:val="000D70B3"/>
    <w:rsid w:val="000E06C7"/>
    <w:rsid w:val="000E4DF2"/>
    <w:rsid w:val="000F36E1"/>
    <w:rsid w:val="000F4721"/>
    <w:rsid w:val="00100E6F"/>
    <w:rsid w:val="00110B8D"/>
    <w:rsid w:val="00112936"/>
    <w:rsid w:val="00112ECC"/>
    <w:rsid w:val="00116F97"/>
    <w:rsid w:val="0013425A"/>
    <w:rsid w:val="001356FE"/>
    <w:rsid w:val="00146F0A"/>
    <w:rsid w:val="0015121B"/>
    <w:rsid w:val="00154EB5"/>
    <w:rsid w:val="00161C56"/>
    <w:rsid w:val="00163D8F"/>
    <w:rsid w:val="00164368"/>
    <w:rsid w:val="001725DC"/>
    <w:rsid w:val="00187BFC"/>
    <w:rsid w:val="0019618C"/>
    <w:rsid w:val="001A3887"/>
    <w:rsid w:val="001A3933"/>
    <w:rsid w:val="001B26BE"/>
    <w:rsid w:val="001D19E6"/>
    <w:rsid w:val="001D4998"/>
    <w:rsid w:val="001D4E27"/>
    <w:rsid w:val="001D5EBF"/>
    <w:rsid w:val="001E0218"/>
    <w:rsid w:val="00205E1F"/>
    <w:rsid w:val="00206830"/>
    <w:rsid w:val="00214D4C"/>
    <w:rsid w:val="00215345"/>
    <w:rsid w:val="00216F18"/>
    <w:rsid w:val="00225133"/>
    <w:rsid w:val="002574BE"/>
    <w:rsid w:val="0026171E"/>
    <w:rsid w:val="00261826"/>
    <w:rsid w:val="00267492"/>
    <w:rsid w:val="00271D61"/>
    <w:rsid w:val="002758DD"/>
    <w:rsid w:val="0028075D"/>
    <w:rsid w:val="002833A1"/>
    <w:rsid w:val="00283DAB"/>
    <w:rsid w:val="002923DF"/>
    <w:rsid w:val="00296EF5"/>
    <w:rsid w:val="002A23D5"/>
    <w:rsid w:val="002A3F39"/>
    <w:rsid w:val="002A4A86"/>
    <w:rsid w:val="002B2702"/>
    <w:rsid w:val="002B7DFC"/>
    <w:rsid w:val="002C202A"/>
    <w:rsid w:val="002D12B9"/>
    <w:rsid w:val="002E4233"/>
    <w:rsid w:val="002E52D7"/>
    <w:rsid w:val="002F2FC6"/>
    <w:rsid w:val="002F525B"/>
    <w:rsid w:val="00305F4C"/>
    <w:rsid w:val="003116E6"/>
    <w:rsid w:val="00314A39"/>
    <w:rsid w:val="00315D81"/>
    <w:rsid w:val="00325FA0"/>
    <w:rsid w:val="00327F87"/>
    <w:rsid w:val="00341701"/>
    <w:rsid w:val="00346B3D"/>
    <w:rsid w:val="00347ADB"/>
    <w:rsid w:val="00357EA1"/>
    <w:rsid w:val="00363BDA"/>
    <w:rsid w:val="003746B0"/>
    <w:rsid w:val="00375C2B"/>
    <w:rsid w:val="00382472"/>
    <w:rsid w:val="0038266F"/>
    <w:rsid w:val="003841C2"/>
    <w:rsid w:val="003857C2"/>
    <w:rsid w:val="003A143F"/>
    <w:rsid w:val="003A4D86"/>
    <w:rsid w:val="003A633E"/>
    <w:rsid w:val="003A6C8A"/>
    <w:rsid w:val="003B1E3E"/>
    <w:rsid w:val="003B732F"/>
    <w:rsid w:val="003B7BD7"/>
    <w:rsid w:val="003C0570"/>
    <w:rsid w:val="003C4ECE"/>
    <w:rsid w:val="003D72C7"/>
    <w:rsid w:val="003E0333"/>
    <w:rsid w:val="003F06E1"/>
    <w:rsid w:val="003F0857"/>
    <w:rsid w:val="003F32C8"/>
    <w:rsid w:val="003F4739"/>
    <w:rsid w:val="003F5C95"/>
    <w:rsid w:val="0040165D"/>
    <w:rsid w:val="004034B2"/>
    <w:rsid w:val="00404846"/>
    <w:rsid w:val="00415F7C"/>
    <w:rsid w:val="00426B84"/>
    <w:rsid w:val="004319AE"/>
    <w:rsid w:val="00432D43"/>
    <w:rsid w:val="00435AC5"/>
    <w:rsid w:val="0044134B"/>
    <w:rsid w:val="0045434A"/>
    <w:rsid w:val="00456E1C"/>
    <w:rsid w:val="00466DF3"/>
    <w:rsid w:val="004725AD"/>
    <w:rsid w:val="0048589E"/>
    <w:rsid w:val="0049435A"/>
    <w:rsid w:val="004A5905"/>
    <w:rsid w:val="004A6641"/>
    <w:rsid w:val="004A79AB"/>
    <w:rsid w:val="004A7E1D"/>
    <w:rsid w:val="004B08EA"/>
    <w:rsid w:val="004B0B71"/>
    <w:rsid w:val="004B165F"/>
    <w:rsid w:val="004B249E"/>
    <w:rsid w:val="004B719D"/>
    <w:rsid w:val="004C02CB"/>
    <w:rsid w:val="004C19B3"/>
    <w:rsid w:val="004D1B60"/>
    <w:rsid w:val="004D22C4"/>
    <w:rsid w:val="004D3980"/>
    <w:rsid w:val="004D5B7C"/>
    <w:rsid w:val="004D62ED"/>
    <w:rsid w:val="004E3D30"/>
    <w:rsid w:val="004E5EA9"/>
    <w:rsid w:val="004E6F42"/>
    <w:rsid w:val="00504032"/>
    <w:rsid w:val="0051318E"/>
    <w:rsid w:val="00516478"/>
    <w:rsid w:val="00535474"/>
    <w:rsid w:val="00552860"/>
    <w:rsid w:val="00553794"/>
    <w:rsid w:val="00562356"/>
    <w:rsid w:val="00565F24"/>
    <w:rsid w:val="00571328"/>
    <w:rsid w:val="0057211E"/>
    <w:rsid w:val="00577CA7"/>
    <w:rsid w:val="00582632"/>
    <w:rsid w:val="00590551"/>
    <w:rsid w:val="005948BB"/>
    <w:rsid w:val="005A2F7F"/>
    <w:rsid w:val="005A4412"/>
    <w:rsid w:val="005A56B6"/>
    <w:rsid w:val="005B0D6D"/>
    <w:rsid w:val="005C5A84"/>
    <w:rsid w:val="005C71BB"/>
    <w:rsid w:val="005D21D1"/>
    <w:rsid w:val="005D6855"/>
    <w:rsid w:val="005E2F04"/>
    <w:rsid w:val="005E784C"/>
    <w:rsid w:val="005F1F94"/>
    <w:rsid w:val="005F3036"/>
    <w:rsid w:val="005F4E1E"/>
    <w:rsid w:val="005F57C0"/>
    <w:rsid w:val="006031D2"/>
    <w:rsid w:val="00605E8D"/>
    <w:rsid w:val="0060665F"/>
    <w:rsid w:val="00617BAE"/>
    <w:rsid w:val="006229C8"/>
    <w:rsid w:val="006237AA"/>
    <w:rsid w:val="00626E63"/>
    <w:rsid w:val="006310DA"/>
    <w:rsid w:val="00640901"/>
    <w:rsid w:val="00643C04"/>
    <w:rsid w:val="00643E89"/>
    <w:rsid w:val="00655882"/>
    <w:rsid w:val="00665073"/>
    <w:rsid w:val="006665DF"/>
    <w:rsid w:val="00670530"/>
    <w:rsid w:val="0068154C"/>
    <w:rsid w:val="00681995"/>
    <w:rsid w:val="00687D3E"/>
    <w:rsid w:val="006961BF"/>
    <w:rsid w:val="006B21E2"/>
    <w:rsid w:val="006B25CA"/>
    <w:rsid w:val="006C393D"/>
    <w:rsid w:val="006C5982"/>
    <w:rsid w:val="006D17DB"/>
    <w:rsid w:val="006D36E8"/>
    <w:rsid w:val="006E07BB"/>
    <w:rsid w:val="00701951"/>
    <w:rsid w:val="00702E47"/>
    <w:rsid w:val="00710A66"/>
    <w:rsid w:val="00717090"/>
    <w:rsid w:val="007255FB"/>
    <w:rsid w:val="0073034C"/>
    <w:rsid w:val="00732A9E"/>
    <w:rsid w:val="00741649"/>
    <w:rsid w:val="00751904"/>
    <w:rsid w:val="00753E0F"/>
    <w:rsid w:val="00762A04"/>
    <w:rsid w:val="00763E74"/>
    <w:rsid w:val="0077668F"/>
    <w:rsid w:val="00780B47"/>
    <w:rsid w:val="00783B8D"/>
    <w:rsid w:val="007865BE"/>
    <w:rsid w:val="007975D9"/>
    <w:rsid w:val="007A10A3"/>
    <w:rsid w:val="007A1BFF"/>
    <w:rsid w:val="007A244C"/>
    <w:rsid w:val="007A2761"/>
    <w:rsid w:val="007A7A35"/>
    <w:rsid w:val="007A7AFD"/>
    <w:rsid w:val="007B7006"/>
    <w:rsid w:val="007C0417"/>
    <w:rsid w:val="007D26D9"/>
    <w:rsid w:val="007D49D2"/>
    <w:rsid w:val="007D4DCC"/>
    <w:rsid w:val="007D6A24"/>
    <w:rsid w:val="007E3C47"/>
    <w:rsid w:val="0080503D"/>
    <w:rsid w:val="008173D3"/>
    <w:rsid w:val="00822162"/>
    <w:rsid w:val="00825DB2"/>
    <w:rsid w:val="0082612F"/>
    <w:rsid w:val="008453D6"/>
    <w:rsid w:val="00853157"/>
    <w:rsid w:val="00853FC6"/>
    <w:rsid w:val="008567BE"/>
    <w:rsid w:val="00860DFC"/>
    <w:rsid w:val="00873CCE"/>
    <w:rsid w:val="008779FC"/>
    <w:rsid w:val="00883D9B"/>
    <w:rsid w:val="00891250"/>
    <w:rsid w:val="00891FCB"/>
    <w:rsid w:val="008926BC"/>
    <w:rsid w:val="008A3E35"/>
    <w:rsid w:val="008A7187"/>
    <w:rsid w:val="008B6255"/>
    <w:rsid w:val="008C0482"/>
    <w:rsid w:val="008C4A13"/>
    <w:rsid w:val="008C69E1"/>
    <w:rsid w:val="008D4538"/>
    <w:rsid w:val="008E218B"/>
    <w:rsid w:val="008E711D"/>
    <w:rsid w:val="008E7DD7"/>
    <w:rsid w:val="00901409"/>
    <w:rsid w:val="00905509"/>
    <w:rsid w:val="009177BE"/>
    <w:rsid w:val="00922257"/>
    <w:rsid w:val="00927D1B"/>
    <w:rsid w:val="00933E05"/>
    <w:rsid w:val="009350B4"/>
    <w:rsid w:val="00943EE0"/>
    <w:rsid w:val="009441ED"/>
    <w:rsid w:val="00947D08"/>
    <w:rsid w:val="00953619"/>
    <w:rsid w:val="009670E7"/>
    <w:rsid w:val="00977BB5"/>
    <w:rsid w:val="009962CD"/>
    <w:rsid w:val="009A0080"/>
    <w:rsid w:val="009A1EF1"/>
    <w:rsid w:val="009B4C4B"/>
    <w:rsid w:val="009B5F50"/>
    <w:rsid w:val="009C329F"/>
    <w:rsid w:val="009C3D5A"/>
    <w:rsid w:val="009C76F0"/>
    <w:rsid w:val="009D0C4A"/>
    <w:rsid w:val="009D63A1"/>
    <w:rsid w:val="009D64ED"/>
    <w:rsid w:val="009D745D"/>
    <w:rsid w:val="009E35CD"/>
    <w:rsid w:val="009F00E7"/>
    <w:rsid w:val="009F41E3"/>
    <w:rsid w:val="009F7644"/>
    <w:rsid w:val="00A05860"/>
    <w:rsid w:val="00A058EC"/>
    <w:rsid w:val="00A12379"/>
    <w:rsid w:val="00A22A02"/>
    <w:rsid w:val="00A26B47"/>
    <w:rsid w:val="00A35E66"/>
    <w:rsid w:val="00A37708"/>
    <w:rsid w:val="00A42694"/>
    <w:rsid w:val="00A4613A"/>
    <w:rsid w:val="00A47B9E"/>
    <w:rsid w:val="00A47E23"/>
    <w:rsid w:val="00A546B8"/>
    <w:rsid w:val="00A66D05"/>
    <w:rsid w:val="00A8015C"/>
    <w:rsid w:val="00A81B1D"/>
    <w:rsid w:val="00A92A18"/>
    <w:rsid w:val="00A9498A"/>
    <w:rsid w:val="00AA10EC"/>
    <w:rsid w:val="00AB28AE"/>
    <w:rsid w:val="00AB3DCE"/>
    <w:rsid w:val="00AB4066"/>
    <w:rsid w:val="00AC077F"/>
    <w:rsid w:val="00AC6519"/>
    <w:rsid w:val="00AC67C3"/>
    <w:rsid w:val="00AC6FEB"/>
    <w:rsid w:val="00AC74E2"/>
    <w:rsid w:val="00AD38D3"/>
    <w:rsid w:val="00AD64E7"/>
    <w:rsid w:val="00AE246B"/>
    <w:rsid w:val="00AE6F38"/>
    <w:rsid w:val="00B06D10"/>
    <w:rsid w:val="00B1484D"/>
    <w:rsid w:val="00B23D0E"/>
    <w:rsid w:val="00B356D2"/>
    <w:rsid w:val="00B47108"/>
    <w:rsid w:val="00B52E40"/>
    <w:rsid w:val="00B570AE"/>
    <w:rsid w:val="00B6256E"/>
    <w:rsid w:val="00B675A7"/>
    <w:rsid w:val="00B71D31"/>
    <w:rsid w:val="00B7746A"/>
    <w:rsid w:val="00B774D2"/>
    <w:rsid w:val="00B9420B"/>
    <w:rsid w:val="00BA3466"/>
    <w:rsid w:val="00BC0F56"/>
    <w:rsid w:val="00BC1E59"/>
    <w:rsid w:val="00BC2104"/>
    <w:rsid w:val="00BC4746"/>
    <w:rsid w:val="00BD0F22"/>
    <w:rsid w:val="00BE43F2"/>
    <w:rsid w:val="00BF64BF"/>
    <w:rsid w:val="00BF70C6"/>
    <w:rsid w:val="00C04372"/>
    <w:rsid w:val="00C07BF0"/>
    <w:rsid w:val="00C15296"/>
    <w:rsid w:val="00C15678"/>
    <w:rsid w:val="00C30EB8"/>
    <w:rsid w:val="00C46450"/>
    <w:rsid w:val="00C472B8"/>
    <w:rsid w:val="00C478B1"/>
    <w:rsid w:val="00C51EA8"/>
    <w:rsid w:val="00C54072"/>
    <w:rsid w:val="00C55E3E"/>
    <w:rsid w:val="00C610BA"/>
    <w:rsid w:val="00C61263"/>
    <w:rsid w:val="00C664E1"/>
    <w:rsid w:val="00C67C6B"/>
    <w:rsid w:val="00C71C9E"/>
    <w:rsid w:val="00C73E8C"/>
    <w:rsid w:val="00C82143"/>
    <w:rsid w:val="00C84FB2"/>
    <w:rsid w:val="00C8687E"/>
    <w:rsid w:val="00C870B7"/>
    <w:rsid w:val="00C913BB"/>
    <w:rsid w:val="00C94081"/>
    <w:rsid w:val="00C948B9"/>
    <w:rsid w:val="00CA0618"/>
    <w:rsid w:val="00CA136E"/>
    <w:rsid w:val="00CA21D2"/>
    <w:rsid w:val="00CC1BE9"/>
    <w:rsid w:val="00CC4462"/>
    <w:rsid w:val="00CC769A"/>
    <w:rsid w:val="00CD2A28"/>
    <w:rsid w:val="00CE0189"/>
    <w:rsid w:val="00CE7DA9"/>
    <w:rsid w:val="00CF2589"/>
    <w:rsid w:val="00CF375D"/>
    <w:rsid w:val="00CF3F02"/>
    <w:rsid w:val="00D0069C"/>
    <w:rsid w:val="00D01CAA"/>
    <w:rsid w:val="00D15F49"/>
    <w:rsid w:val="00D261A9"/>
    <w:rsid w:val="00D341EA"/>
    <w:rsid w:val="00D43E6B"/>
    <w:rsid w:val="00D47867"/>
    <w:rsid w:val="00D50491"/>
    <w:rsid w:val="00D54398"/>
    <w:rsid w:val="00D5490A"/>
    <w:rsid w:val="00D56CDA"/>
    <w:rsid w:val="00D56E6D"/>
    <w:rsid w:val="00D573FA"/>
    <w:rsid w:val="00D64F01"/>
    <w:rsid w:val="00D65ACE"/>
    <w:rsid w:val="00D65B9B"/>
    <w:rsid w:val="00D74DB2"/>
    <w:rsid w:val="00D77350"/>
    <w:rsid w:val="00D85A4C"/>
    <w:rsid w:val="00D9513F"/>
    <w:rsid w:val="00D9589B"/>
    <w:rsid w:val="00D97009"/>
    <w:rsid w:val="00DA405F"/>
    <w:rsid w:val="00DB06C4"/>
    <w:rsid w:val="00DB09EC"/>
    <w:rsid w:val="00DB1187"/>
    <w:rsid w:val="00DB3083"/>
    <w:rsid w:val="00DB47AC"/>
    <w:rsid w:val="00DC19C2"/>
    <w:rsid w:val="00DC7659"/>
    <w:rsid w:val="00DD0F14"/>
    <w:rsid w:val="00DE2A05"/>
    <w:rsid w:val="00DE4D05"/>
    <w:rsid w:val="00DF19CF"/>
    <w:rsid w:val="00DF60D1"/>
    <w:rsid w:val="00DF74AA"/>
    <w:rsid w:val="00E06DB5"/>
    <w:rsid w:val="00E06E71"/>
    <w:rsid w:val="00E1600D"/>
    <w:rsid w:val="00E21060"/>
    <w:rsid w:val="00E3032B"/>
    <w:rsid w:val="00E31A4C"/>
    <w:rsid w:val="00E33E07"/>
    <w:rsid w:val="00E41C8A"/>
    <w:rsid w:val="00E47A9B"/>
    <w:rsid w:val="00E5251C"/>
    <w:rsid w:val="00E57A70"/>
    <w:rsid w:val="00E6354B"/>
    <w:rsid w:val="00E66771"/>
    <w:rsid w:val="00E74989"/>
    <w:rsid w:val="00E77EAB"/>
    <w:rsid w:val="00E843C5"/>
    <w:rsid w:val="00E8479C"/>
    <w:rsid w:val="00E91323"/>
    <w:rsid w:val="00EA240A"/>
    <w:rsid w:val="00EA5EA3"/>
    <w:rsid w:val="00EA5FB6"/>
    <w:rsid w:val="00EA7245"/>
    <w:rsid w:val="00EA7B4F"/>
    <w:rsid w:val="00EC27C1"/>
    <w:rsid w:val="00EC7680"/>
    <w:rsid w:val="00ED3C01"/>
    <w:rsid w:val="00EE19C3"/>
    <w:rsid w:val="00EE3173"/>
    <w:rsid w:val="00EF72F9"/>
    <w:rsid w:val="00F04AAB"/>
    <w:rsid w:val="00F10C64"/>
    <w:rsid w:val="00F163C1"/>
    <w:rsid w:val="00F16964"/>
    <w:rsid w:val="00F16C93"/>
    <w:rsid w:val="00F34BEA"/>
    <w:rsid w:val="00F371DA"/>
    <w:rsid w:val="00F37E75"/>
    <w:rsid w:val="00F605EC"/>
    <w:rsid w:val="00F70D7D"/>
    <w:rsid w:val="00F728DF"/>
    <w:rsid w:val="00F8447C"/>
    <w:rsid w:val="00F865C9"/>
    <w:rsid w:val="00F86D59"/>
    <w:rsid w:val="00F91456"/>
    <w:rsid w:val="00F94772"/>
    <w:rsid w:val="00F958C0"/>
    <w:rsid w:val="00FA0278"/>
    <w:rsid w:val="00FB2152"/>
    <w:rsid w:val="00FC0AF7"/>
    <w:rsid w:val="00FC1E51"/>
    <w:rsid w:val="00FC342C"/>
    <w:rsid w:val="00FC42A4"/>
    <w:rsid w:val="00FD133F"/>
    <w:rsid w:val="00FD6BF3"/>
    <w:rsid w:val="00FE357A"/>
    <w:rsid w:val="00FE44EC"/>
    <w:rsid w:val="00FE6510"/>
    <w:rsid w:val="00FF3027"/>
    <w:rsid w:val="06AD0181"/>
    <w:rsid w:val="07594547"/>
    <w:rsid w:val="075D10C3"/>
    <w:rsid w:val="08C64660"/>
    <w:rsid w:val="09B605C6"/>
    <w:rsid w:val="0DD27F39"/>
    <w:rsid w:val="0E0662D9"/>
    <w:rsid w:val="0E493FFB"/>
    <w:rsid w:val="12BD78D1"/>
    <w:rsid w:val="12CD73C6"/>
    <w:rsid w:val="138F2A49"/>
    <w:rsid w:val="13DF1C92"/>
    <w:rsid w:val="14B041DF"/>
    <w:rsid w:val="15FD4E90"/>
    <w:rsid w:val="1B4D7399"/>
    <w:rsid w:val="1D61210D"/>
    <w:rsid w:val="1E71779F"/>
    <w:rsid w:val="2020495E"/>
    <w:rsid w:val="234F5E66"/>
    <w:rsid w:val="246F0B8E"/>
    <w:rsid w:val="24751499"/>
    <w:rsid w:val="252217F3"/>
    <w:rsid w:val="263C33C0"/>
    <w:rsid w:val="27E47736"/>
    <w:rsid w:val="298A013A"/>
    <w:rsid w:val="2D012636"/>
    <w:rsid w:val="2DFE1BDC"/>
    <w:rsid w:val="2E723367"/>
    <w:rsid w:val="2E981441"/>
    <w:rsid w:val="32784C92"/>
    <w:rsid w:val="32906D4F"/>
    <w:rsid w:val="34D9771A"/>
    <w:rsid w:val="36066149"/>
    <w:rsid w:val="3B0F6035"/>
    <w:rsid w:val="3B28531E"/>
    <w:rsid w:val="3D55290D"/>
    <w:rsid w:val="3DE64D39"/>
    <w:rsid w:val="3DFC6188"/>
    <w:rsid w:val="3F471F24"/>
    <w:rsid w:val="4044525B"/>
    <w:rsid w:val="409C406F"/>
    <w:rsid w:val="40FA1F77"/>
    <w:rsid w:val="45D652B1"/>
    <w:rsid w:val="45D96079"/>
    <w:rsid w:val="46092CFD"/>
    <w:rsid w:val="4A91321D"/>
    <w:rsid w:val="4C7174F3"/>
    <w:rsid w:val="4CCA2448"/>
    <w:rsid w:val="4CE52988"/>
    <w:rsid w:val="4E196F13"/>
    <w:rsid w:val="51437D45"/>
    <w:rsid w:val="5509794D"/>
    <w:rsid w:val="58427F29"/>
    <w:rsid w:val="5997157B"/>
    <w:rsid w:val="5F223BC2"/>
    <w:rsid w:val="5F2471FB"/>
    <w:rsid w:val="61EB2991"/>
    <w:rsid w:val="677E37BC"/>
    <w:rsid w:val="67A55AE3"/>
    <w:rsid w:val="6A1B2561"/>
    <w:rsid w:val="6F526BC2"/>
    <w:rsid w:val="6F91786A"/>
    <w:rsid w:val="6FEC7A01"/>
    <w:rsid w:val="752B5127"/>
    <w:rsid w:val="76323EB9"/>
    <w:rsid w:val="79DC0AE6"/>
    <w:rsid w:val="7E5305D6"/>
    <w:rsid w:val="7FFF13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仿宋_GB2312" w:hAnsi="Times New Roman" w:eastAsia="仿宋_GB2312" w:cs="Times New Roman"/>
      <w:kern w:val="2"/>
      <w:sz w:val="24"/>
      <w:lang w:val="en-US" w:eastAsia="zh-CN" w:bidi="ar-SA"/>
    </w:rPr>
  </w:style>
  <w:style w:type="paragraph" w:styleId="2">
    <w:name w:val="heading 1"/>
    <w:basedOn w:val="1"/>
    <w:next w:val="3"/>
    <w:qFormat/>
    <w:uiPriority w:val="0"/>
    <w:pPr>
      <w:keepNext/>
      <w:keepLines/>
      <w:numPr>
        <w:ilvl w:val="0"/>
        <w:numId w:val="1"/>
      </w:numPr>
      <w:outlineLvl w:val="0"/>
    </w:pPr>
    <w:rPr>
      <w:rFonts w:ascii="黑体" w:hAnsi="黑体" w:eastAsia="黑体" w:cs="黑体"/>
      <w:b/>
      <w:bCs/>
      <w:kern w:val="44"/>
      <w:sz w:val="28"/>
      <w:szCs w:val="28"/>
    </w:rPr>
  </w:style>
  <w:style w:type="paragraph" w:styleId="4">
    <w:name w:val="heading 2"/>
    <w:basedOn w:val="1"/>
    <w:next w:val="1"/>
    <w:qFormat/>
    <w:uiPriority w:val="0"/>
    <w:pPr>
      <w:keepNext/>
      <w:keepLines/>
      <w:numPr>
        <w:ilvl w:val="1"/>
        <w:numId w:val="1"/>
      </w:numPr>
      <w:outlineLvl w:val="1"/>
    </w:pPr>
    <w:rPr>
      <w:rFonts w:ascii="宋体" w:hAnsi="宋体" w:eastAsia="宋体" w:cs="宋体"/>
      <w:b/>
      <w:bCs/>
      <w:sz w:val="28"/>
      <w:szCs w:val="28"/>
    </w:rPr>
  </w:style>
  <w:style w:type="paragraph" w:styleId="5">
    <w:name w:val="heading 3"/>
    <w:basedOn w:val="1"/>
    <w:next w:val="6"/>
    <w:link w:val="31"/>
    <w:qFormat/>
    <w:uiPriority w:val="0"/>
    <w:pPr>
      <w:keepNext/>
      <w:keepLines/>
      <w:numPr>
        <w:ilvl w:val="2"/>
        <w:numId w:val="1"/>
      </w:numPr>
      <w:ind w:left="0" w:firstLine="0"/>
      <w:outlineLvl w:val="2"/>
    </w:pPr>
    <w:rPr>
      <w:rFonts w:ascii="楷体_GB2312" w:hAnsi="楷体_GB2312" w:eastAsia="楷体_GB2312" w:cs="楷体_GB2312"/>
      <w:b/>
      <w:bCs/>
      <w:sz w:val="28"/>
      <w:szCs w:val="28"/>
    </w:rPr>
  </w:style>
  <w:style w:type="paragraph" w:styleId="7">
    <w:name w:val="heading 4"/>
    <w:basedOn w:val="1"/>
    <w:next w:val="6"/>
    <w:qFormat/>
    <w:uiPriority w:val="0"/>
    <w:pPr>
      <w:keepNext/>
      <w:keepLines/>
      <w:numPr>
        <w:ilvl w:val="3"/>
        <w:numId w:val="1"/>
      </w:numPr>
      <w:outlineLvl w:val="3"/>
    </w:pPr>
    <w:rPr>
      <w:rFonts w:ascii="楷体_GB2312" w:eastAsia="楷体_GB2312"/>
      <w:bCs/>
      <w:sz w:val="28"/>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3">
    <w:name w:val="Body Text First Indent 2"/>
    <w:basedOn w:val="1"/>
    <w:link w:val="35"/>
    <w:qFormat/>
    <w:uiPriority w:val="0"/>
    <w:pPr>
      <w:ind w:firstLine="480" w:firstLineChars="200"/>
    </w:pPr>
  </w:style>
  <w:style w:type="paragraph" w:customStyle="1" w:styleId="6">
    <w:name w:val="文档正文"/>
    <w:basedOn w:val="1"/>
    <w:qFormat/>
    <w:uiPriority w:val="0"/>
    <w:pPr>
      <w:ind w:firstLine="200" w:firstLineChars="200"/>
    </w:pPr>
    <w:rPr>
      <w:szCs w:val="24"/>
    </w:rPr>
  </w:style>
  <w:style w:type="paragraph" w:styleId="8">
    <w:name w:val="toc 7"/>
    <w:basedOn w:val="1"/>
    <w:next w:val="1"/>
    <w:semiHidden/>
    <w:qFormat/>
    <w:uiPriority w:val="0"/>
    <w:pPr>
      <w:ind w:left="1260"/>
      <w:jc w:val="left"/>
    </w:pPr>
    <w:rPr>
      <w:sz w:val="18"/>
      <w:szCs w:val="18"/>
    </w:rPr>
  </w:style>
  <w:style w:type="paragraph" w:styleId="9">
    <w:name w:val="Document Map"/>
    <w:basedOn w:val="1"/>
    <w:link w:val="52"/>
    <w:qFormat/>
    <w:uiPriority w:val="0"/>
    <w:rPr>
      <w:rFonts w:ascii="宋体" w:eastAsia="宋体"/>
      <w:sz w:val="18"/>
      <w:szCs w:val="18"/>
    </w:rPr>
  </w:style>
  <w:style w:type="paragraph" w:styleId="10">
    <w:name w:val="Body Text"/>
    <w:basedOn w:val="1"/>
    <w:link w:val="42"/>
    <w:qFormat/>
    <w:uiPriority w:val="0"/>
    <w:pPr>
      <w:spacing w:after="120"/>
    </w:pPr>
  </w:style>
  <w:style w:type="paragraph" w:styleId="11">
    <w:name w:val="Body Text Indent"/>
    <w:basedOn w:val="1"/>
    <w:link w:val="36"/>
    <w:qFormat/>
    <w:uiPriority w:val="0"/>
    <w:pPr>
      <w:spacing w:after="120"/>
      <w:ind w:left="420" w:leftChars="200"/>
    </w:pPr>
  </w:style>
  <w:style w:type="paragraph" w:styleId="12">
    <w:name w:val="toc 5"/>
    <w:basedOn w:val="1"/>
    <w:next w:val="1"/>
    <w:semiHidden/>
    <w:qFormat/>
    <w:uiPriority w:val="0"/>
    <w:pPr>
      <w:ind w:left="840"/>
      <w:jc w:val="left"/>
    </w:pPr>
    <w:rPr>
      <w:sz w:val="18"/>
      <w:szCs w:val="18"/>
    </w:rPr>
  </w:style>
  <w:style w:type="paragraph" w:styleId="13">
    <w:name w:val="toc 3"/>
    <w:basedOn w:val="1"/>
    <w:next w:val="1"/>
    <w:qFormat/>
    <w:uiPriority w:val="39"/>
    <w:pPr>
      <w:jc w:val="left"/>
    </w:pPr>
    <w:rPr>
      <w:rFonts w:ascii="楷体_GB2312" w:eastAsia="楷体_GB2312"/>
      <w:b/>
      <w:iCs/>
      <w:sz w:val="28"/>
    </w:rPr>
  </w:style>
  <w:style w:type="paragraph" w:styleId="14">
    <w:name w:val="toc 8"/>
    <w:basedOn w:val="1"/>
    <w:next w:val="1"/>
    <w:semiHidden/>
    <w:qFormat/>
    <w:uiPriority w:val="0"/>
    <w:pPr>
      <w:ind w:left="1470"/>
      <w:jc w:val="left"/>
    </w:pPr>
    <w:rPr>
      <w:sz w:val="18"/>
      <w:szCs w:val="18"/>
    </w:rPr>
  </w:style>
  <w:style w:type="paragraph" w:styleId="15">
    <w:name w:val="Balloon Text"/>
    <w:basedOn w:val="1"/>
    <w:semiHidden/>
    <w:qFormat/>
    <w:uiPriority w:val="0"/>
    <w:rPr>
      <w:sz w:val="18"/>
      <w:szCs w:val="18"/>
    </w:rPr>
  </w:style>
  <w:style w:type="paragraph" w:styleId="16">
    <w:name w:val="footer"/>
    <w:basedOn w:val="1"/>
    <w:link w:val="44"/>
    <w:qFormat/>
    <w:uiPriority w:val="0"/>
    <w:pPr>
      <w:tabs>
        <w:tab w:val="center" w:pos="4153"/>
        <w:tab w:val="right" w:pos="8306"/>
      </w:tabs>
      <w:snapToGrid w:val="0"/>
      <w:spacing w:line="240" w:lineRule="auto"/>
      <w:jc w:val="left"/>
    </w:pPr>
    <w:rPr>
      <w:sz w:val="18"/>
      <w:szCs w:val="18"/>
    </w:rPr>
  </w:style>
  <w:style w:type="paragraph" w:styleId="17">
    <w:name w:val="header"/>
    <w:basedOn w:val="1"/>
    <w:link w:val="48"/>
    <w:qFormat/>
    <w:uiPriority w:val="0"/>
    <w:pPr>
      <w:tabs>
        <w:tab w:val="center" w:pos="4153"/>
        <w:tab w:val="right" w:pos="8306"/>
      </w:tabs>
      <w:snapToGrid w:val="0"/>
    </w:pPr>
    <w:rPr>
      <w:szCs w:val="18"/>
    </w:rPr>
  </w:style>
  <w:style w:type="paragraph" w:styleId="18">
    <w:name w:val="toc 1"/>
    <w:basedOn w:val="1"/>
    <w:next w:val="1"/>
    <w:qFormat/>
    <w:uiPriority w:val="39"/>
    <w:pPr>
      <w:tabs>
        <w:tab w:val="left" w:pos="426"/>
        <w:tab w:val="right" w:leader="dot" w:pos="8494"/>
      </w:tabs>
      <w:spacing w:before="120" w:after="120"/>
      <w:jc w:val="left"/>
    </w:pPr>
    <w:rPr>
      <w:rFonts w:ascii="黑体" w:eastAsia="黑体"/>
      <w:b/>
      <w:bCs/>
      <w:caps/>
      <w:sz w:val="28"/>
    </w:rPr>
  </w:style>
  <w:style w:type="paragraph" w:styleId="19">
    <w:name w:val="toc 4"/>
    <w:basedOn w:val="1"/>
    <w:next w:val="1"/>
    <w:qFormat/>
    <w:uiPriority w:val="39"/>
    <w:pPr>
      <w:jc w:val="left"/>
    </w:pPr>
    <w:rPr>
      <w:sz w:val="28"/>
      <w:szCs w:val="18"/>
    </w:rPr>
  </w:style>
  <w:style w:type="paragraph" w:styleId="20">
    <w:name w:val="toc 6"/>
    <w:basedOn w:val="1"/>
    <w:next w:val="1"/>
    <w:semiHidden/>
    <w:qFormat/>
    <w:uiPriority w:val="0"/>
    <w:pPr>
      <w:ind w:left="1050"/>
      <w:jc w:val="left"/>
    </w:pPr>
    <w:rPr>
      <w:sz w:val="18"/>
      <w:szCs w:val="18"/>
    </w:rPr>
  </w:style>
  <w:style w:type="paragraph" w:styleId="21">
    <w:name w:val="toc 2"/>
    <w:basedOn w:val="1"/>
    <w:next w:val="1"/>
    <w:qFormat/>
    <w:uiPriority w:val="39"/>
    <w:pPr>
      <w:tabs>
        <w:tab w:val="left" w:pos="720"/>
        <w:tab w:val="right" w:leader="dot" w:pos="8494"/>
      </w:tabs>
      <w:jc w:val="left"/>
    </w:pPr>
    <w:rPr>
      <w:rFonts w:ascii="宋体" w:eastAsia="宋体"/>
      <w:b/>
      <w:sz w:val="28"/>
    </w:rPr>
  </w:style>
  <w:style w:type="paragraph" w:styleId="22">
    <w:name w:val="toc 9"/>
    <w:basedOn w:val="1"/>
    <w:next w:val="1"/>
    <w:semiHidden/>
    <w:qFormat/>
    <w:uiPriority w:val="0"/>
    <w:pPr>
      <w:ind w:left="1680"/>
      <w:jc w:val="left"/>
    </w:pPr>
    <w:rPr>
      <w:sz w:val="18"/>
      <w:szCs w:val="18"/>
    </w:rPr>
  </w:style>
  <w:style w:type="paragraph" w:styleId="23">
    <w:name w:val="Title"/>
    <w:basedOn w:val="1"/>
    <w:next w:val="3"/>
    <w:link w:val="59"/>
    <w:qFormat/>
    <w:uiPriority w:val="0"/>
    <w:pPr>
      <w:spacing w:line="580" w:lineRule="exact"/>
      <w:jc w:val="center"/>
    </w:pPr>
    <w:rPr>
      <w:rFonts w:ascii="宋体" w:hAnsi="Calibri Light" w:eastAsia="宋体"/>
      <w:b/>
      <w:bCs/>
      <w:sz w:val="44"/>
      <w:szCs w:val="32"/>
    </w:rPr>
  </w:style>
  <w:style w:type="paragraph" w:styleId="24">
    <w:name w:val="Body Text First Indent"/>
    <w:basedOn w:val="10"/>
    <w:link w:val="64"/>
    <w:qFormat/>
    <w:uiPriority w:val="0"/>
    <w:pPr>
      <w:ind w:firstLine="420" w:firstLineChars="100"/>
    </w:p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qFormat/>
    <w:uiPriority w:val="0"/>
  </w:style>
  <w:style w:type="character" w:styleId="29">
    <w:name w:val="Hyperlink"/>
    <w:qFormat/>
    <w:uiPriority w:val="99"/>
    <w:rPr>
      <w:color w:val="0000FF"/>
      <w:u w:val="single"/>
    </w:rPr>
  </w:style>
  <w:style w:type="paragraph" w:customStyle="1" w:styleId="30">
    <w:name w:val="摘要标题"/>
    <w:basedOn w:val="1"/>
    <w:qFormat/>
    <w:uiPriority w:val="0"/>
    <w:rPr>
      <w:rFonts w:eastAsia="黑体"/>
      <w:b/>
      <w:sz w:val="28"/>
      <w:szCs w:val="28"/>
    </w:rPr>
  </w:style>
  <w:style w:type="character" w:customStyle="1" w:styleId="31">
    <w:name w:val="标题 3 Char"/>
    <w:link w:val="5"/>
    <w:qFormat/>
    <w:uiPriority w:val="0"/>
    <w:rPr>
      <w:rFonts w:ascii="楷体_GB2312" w:hAnsi="楷体_GB2312" w:eastAsia="楷体_GB2312" w:cs="楷体_GB2312"/>
      <w:b/>
      <w:bCs/>
      <w:kern w:val="2"/>
      <w:sz w:val="28"/>
      <w:szCs w:val="28"/>
    </w:rPr>
  </w:style>
  <w:style w:type="paragraph" w:customStyle="1" w:styleId="32">
    <w:name w:val="表头样式"/>
    <w:basedOn w:val="1"/>
    <w:qFormat/>
    <w:uiPriority w:val="0"/>
    <w:pPr>
      <w:jc w:val="center"/>
    </w:pPr>
    <w:rPr>
      <w:rFonts w:eastAsia="黑体"/>
      <w:sz w:val="21"/>
    </w:rPr>
  </w:style>
  <w:style w:type="paragraph" w:customStyle="1" w:styleId="33">
    <w:name w:val="标题4"/>
    <w:basedOn w:val="1"/>
    <w:qFormat/>
    <w:uiPriority w:val="0"/>
    <w:rPr>
      <w:b/>
      <w:sz w:val="28"/>
    </w:rPr>
  </w:style>
  <w:style w:type="paragraph" w:customStyle="1" w:styleId="34">
    <w:name w:val="表内容样式"/>
    <w:basedOn w:val="1"/>
    <w:link w:val="61"/>
    <w:qFormat/>
    <w:uiPriority w:val="0"/>
    <w:pPr>
      <w:jc w:val="center"/>
    </w:pPr>
    <w:rPr>
      <w:sz w:val="21"/>
    </w:rPr>
  </w:style>
  <w:style w:type="character" w:customStyle="1" w:styleId="35">
    <w:name w:val="正文首行缩进 2 Char"/>
    <w:basedOn w:val="36"/>
    <w:link w:val="3"/>
    <w:qFormat/>
    <w:uiPriority w:val="0"/>
    <w:rPr>
      <w:rFonts w:eastAsia="仿宋_GB2312"/>
      <w:kern w:val="2"/>
      <w:sz w:val="24"/>
    </w:rPr>
  </w:style>
  <w:style w:type="character" w:customStyle="1" w:styleId="36">
    <w:name w:val="正文文本缩进 Char"/>
    <w:link w:val="11"/>
    <w:qFormat/>
    <w:uiPriority w:val="0"/>
    <w:rPr>
      <w:rFonts w:eastAsia="仿宋_GB2312"/>
      <w:kern w:val="2"/>
      <w:sz w:val="24"/>
    </w:rPr>
  </w:style>
  <w:style w:type="paragraph" w:customStyle="1" w:styleId="37">
    <w:name w:val="摘要内容"/>
    <w:basedOn w:val="1"/>
    <w:qFormat/>
    <w:uiPriority w:val="0"/>
    <w:pPr>
      <w:ind w:firstLine="480" w:firstLineChars="200"/>
    </w:pPr>
  </w:style>
  <w:style w:type="character" w:customStyle="1" w:styleId="38">
    <w:name w:val="图名称样式 Char"/>
    <w:link w:val="39"/>
    <w:qFormat/>
    <w:uiPriority w:val="0"/>
    <w:rPr>
      <w:rFonts w:eastAsia="仿宋_GB2312"/>
      <w:kern w:val="2"/>
      <w:sz w:val="21"/>
      <w:lang w:val="en-US" w:eastAsia="zh-CN" w:bidi="ar-SA"/>
    </w:rPr>
  </w:style>
  <w:style w:type="paragraph" w:customStyle="1" w:styleId="39">
    <w:name w:val="图名称样式"/>
    <w:basedOn w:val="1"/>
    <w:link w:val="38"/>
    <w:qFormat/>
    <w:uiPriority w:val="0"/>
    <w:pPr>
      <w:jc w:val="center"/>
    </w:pPr>
    <w:rPr>
      <w:sz w:val="21"/>
    </w:rPr>
  </w:style>
  <w:style w:type="paragraph" w:customStyle="1" w:styleId="40">
    <w:name w:val="图表注"/>
    <w:basedOn w:val="39"/>
    <w:qFormat/>
    <w:uiPriority w:val="0"/>
    <w:rPr>
      <w:b/>
    </w:rPr>
  </w:style>
  <w:style w:type="character" w:customStyle="1" w:styleId="41">
    <w:name w:val="font31"/>
    <w:qFormat/>
    <w:uiPriority w:val="0"/>
    <w:rPr>
      <w:rFonts w:ascii="仿宋" w:hAnsi="仿宋" w:eastAsia="仿宋" w:cs="仿宋"/>
      <w:b/>
      <w:color w:val="000000"/>
      <w:sz w:val="20"/>
      <w:szCs w:val="20"/>
      <w:u w:val="none"/>
    </w:rPr>
  </w:style>
  <w:style w:type="character" w:customStyle="1" w:styleId="42">
    <w:name w:val="正文文本 Char"/>
    <w:link w:val="10"/>
    <w:qFormat/>
    <w:uiPriority w:val="0"/>
    <w:rPr>
      <w:rFonts w:ascii="仿宋_GB2312" w:eastAsia="仿宋_GB2312"/>
      <w:kern w:val="2"/>
      <w:sz w:val="24"/>
    </w:rPr>
  </w:style>
  <w:style w:type="paragraph" w:customStyle="1" w:styleId="43">
    <w:name w:val="版本及修订说明表格内容"/>
    <w:basedOn w:val="1"/>
    <w:qFormat/>
    <w:uiPriority w:val="0"/>
    <w:pPr>
      <w:framePr w:hSpace="180" w:wrap="around" w:vAnchor="text" w:hAnchor="margin" w:y="183"/>
      <w:jc w:val="center"/>
    </w:pPr>
  </w:style>
  <w:style w:type="character" w:customStyle="1" w:styleId="44">
    <w:name w:val="页脚 Char"/>
    <w:link w:val="16"/>
    <w:qFormat/>
    <w:uiPriority w:val="99"/>
    <w:rPr>
      <w:rFonts w:ascii="仿宋_GB2312" w:eastAsia="仿宋_GB2312"/>
      <w:kern w:val="2"/>
      <w:sz w:val="18"/>
      <w:szCs w:val="18"/>
    </w:rPr>
  </w:style>
  <w:style w:type="paragraph" w:customStyle="1" w:styleId="45">
    <w:name w:val="摘要页眉"/>
    <w:basedOn w:val="17"/>
    <w:qFormat/>
    <w:uiPriority w:val="0"/>
    <w:pPr>
      <w:spacing w:line="240" w:lineRule="auto"/>
      <w:ind w:firstLine="246" w:firstLineChars="246"/>
    </w:pPr>
    <w:rPr>
      <w:rFonts w:eastAsia="黑体"/>
      <w:sz w:val="28"/>
      <w:szCs w:val="28"/>
    </w:rPr>
  </w:style>
  <w:style w:type="paragraph" w:customStyle="1" w:styleId="46">
    <w:name w:val="文档标题"/>
    <w:basedOn w:val="1"/>
    <w:qFormat/>
    <w:uiPriority w:val="0"/>
    <w:pPr>
      <w:jc w:val="center"/>
    </w:pPr>
    <w:rPr>
      <w:rFonts w:eastAsia="黑体"/>
      <w:b/>
      <w:sz w:val="44"/>
      <w:szCs w:val="44"/>
    </w:rPr>
  </w:style>
  <w:style w:type="paragraph" w:customStyle="1" w:styleId="47">
    <w:name w:val="摘要页眉表格名称"/>
    <w:basedOn w:val="1"/>
    <w:qFormat/>
    <w:uiPriority w:val="0"/>
    <w:pPr>
      <w:spacing w:line="240" w:lineRule="auto"/>
    </w:pPr>
    <w:rPr>
      <w:bCs/>
      <w:szCs w:val="24"/>
    </w:rPr>
  </w:style>
  <w:style w:type="character" w:customStyle="1" w:styleId="48">
    <w:name w:val="页眉 Char"/>
    <w:link w:val="17"/>
    <w:qFormat/>
    <w:uiPriority w:val="99"/>
    <w:rPr>
      <w:rFonts w:ascii="仿宋_GB2312" w:eastAsia="仿宋_GB2312"/>
      <w:kern w:val="2"/>
      <w:sz w:val="24"/>
      <w:szCs w:val="18"/>
    </w:rPr>
  </w:style>
  <w:style w:type="paragraph" w:customStyle="1" w:styleId="49">
    <w:name w:val="技术报告正文"/>
    <w:basedOn w:val="1"/>
    <w:qFormat/>
    <w:uiPriority w:val="0"/>
    <w:pPr>
      <w:widowControl/>
      <w:ind w:left="113" w:firstLine="721" w:firstLineChars="200"/>
    </w:pPr>
    <w:rPr>
      <w:rFonts w:ascii="Times" w:hAnsi="Times" w:eastAsia="宋体" w:cs="宋体"/>
      <w:spacing w:val="6"/>
      <w:kern w:val="0"/>
      <w:sz w:val="21"/>
      <w:szCs w:val="24"/>
    </w:rPr>
  </w:style>
  <w:style w:type="paragraph" w:customStyle="1" w:styleId="50">
    <w:name w:val="表名称样式"/>
    <w:basedOn w:val="1"/>
    <w:qFormat/>
    <w:uiPriority w:val="0"/>
    <w:pPr>
      <w:jc w:val="center"/>
    </w:pPr>
    <w:rPr>
      <w:sz w:val="21"/>
    </w:rPr>
  </w:style>
  <w:style w:type="paragraph" w:customStyle="1" w:styleId="51">
    <w:name w:val="流程正文"/>
    <w:basedOn w:val="1"/>
    <w:qFormat/>
    <w:uiPriority w:val="0"/>
    <w:pPr>
      <w:autoSpaceDE w:val="0"/>
      <w:autoSpaceDN w:val="0"/>
      <w:adjustRightInd w:val="0"/>
      <w:ind w:firstLine="262" w:firstLineChars="262"/>
    </w:pPr>
    <w:rPr>
      <w:rFonts w:ascii="Times New Roman" w:hAnsi="Calibri" w:eastAsia="宋体"/>
      <w:kern w:val="0"/>
      <w:szCs w:val="24"/>
    </w:rPr>
  </w:style>
  <w:style w:type="character" w:customStyle="1" w:styleId="52">
    <w:name w:val="文档结构图 Char"/>
    <w:link w:val="9"/>
    <w:qFormat/>
    <w:uiPriority w:val="0"/>
    <w:rPr>
      <w:rFonts w:ascii="宋体"/>
      <w:kern w:val="2"/>
      <w:sz w:val="18"/>
      <w:szCs w:val="18"/>
    </w:rPr>
  </w:style>
  <w:style w:type="paragraph" w:customStyle="1" w:styleId="53">
    <w:name w:val="摘要页眉表格内容"/>
    <w:basedOn w:val="1"/>
    <w:qFormat/>
    <w:uiPriority w:val="0"/>
    <w:pPr>
      <w:spacing w:line="240" w:lineRule="auto"/>
    </w:pPr>
    <w:rPr>
      <w:rFonts w:eastAsia="黑体"/>
      <w:b/>
      <w:bCs/>
      <w:sz w:val="28"/>
      <w:szCs w:val="28"/>
    </w:rPr>
  </w:style>
  <w:style w:type="paragraph" w:customStyle="1" w:styleId="54">
    <w:name w:val="版本及修订说明表格头"/>
    <w:basedOn w:val="1"/>
    <w:qFormat/>
    <w:uiPriority w:val="0"/>
    <w:pPr>
      <w:framePr w:hSpace="180" w:wrap="around" w:vAnchor="text" w:hAnchor="margin" w:y="183"/>
      <w:jc w:val="center"/>
    </w:pPr>
    <w:rPr>
      <w:rFonts w:ascii="黑体" w:eastAsia="黑体"/>
    </w:rPr>
  </w:style>
  <w:style w:type="paragraph" w:customStyle="1" w:styleId="55">
    <w:name w:val="Char Char Char1 Char"/>
    <w:basedOn w:val="1"/>
    <w:qFormat/>
    <w:uiPriority w:val="0"/>
    <w:pPr>
      <w:spacing w:line="240" w:lineRule="auto"/>
    </w:pPr>
    <w:rPr>
      <w:rFonts w:eastAsia="宋体"/>
      <w:sz w:val="21"/>
      <w:szCs w:val="24"/>
    </w:rPr>
  </w:style>
  <w:style w:type="paragraph" w:styleId="56">
    <w:name w:val="List Paragraph"/>
    <w:basedOn w:val="1"/>
    <w:qFormat/>
    <w:uiPriority w:val="34"/>
    <w:pPr>
      <w:ind w:firstLine="420" w:firstLineChars="200"/>
    </w:pPr>
  </w:style>
  <w:style w:type="paragraph" w:customStyle="1" w:styleId="57">
    <w:name w:val="版本及修订说明标题"/>
    <w:basedOn w:val="1"/>
    <w:qFormat/>
    <w:uiPriority w:val="0"/>
    <w:rPr>
      <w:rFonts w:ascii="黑体" w:hAnsi="宋体" w:eastAsia="黑体"/>
      <w:b/>
      <w:bCs/>
      <w:sz w:val="28"/>
      <w:szCs w:val="28"/>
    </w:rPr>
  </w:style>
  <w:style w:type="paragraph" w:customStyle="1" w:styleId="58">
    <w:name w:val="目录标题"/>
    <w:basedOn w:val="1"/>
    <w:qFormat/>
    <w:uiPriority w:val="0"/>
    <w:pPr>
      <w:jc w:val="center"/>
    </w:pPr>
    <w:rPr>
      <w:b/>
      <w:sz w:val="36"/>
    </w:rPr>
  </w:style>
  <w:style w:type="character" w:customStyle="1" w:styleId="59">
    <w:name w:val="标题 Char"/>
    <w:link w:val="23"/>
    <w:qFormat/>
    <w:uiPriority w:val="0"/>
    <w:rPr>
      <w:rFonts w:ascii="宋体" w:hAnsi="Calibri Light"/>
      <w:b/>
      <w:bCs/>
      <w:kern w:val="2"/>
      <w:sz w:val="44"/>
      <w:szCs w:val="32"/>
    </w:rPr>
  </w:style>
  <w:style w:type="character" w:customStyle="1" w:styleId="60">
    <w:name w:val="样式1 字符"/>
    <w:basedOn w:val="61"/>
    <w:link w:val="62"/>
    <w:qFormat/>
    <w:uiPriority w:val="0"/>
    <w:rPr>
      <w:rFonts w:ascii="仿宋_GB2312" w:eastAsia="仿宋_GB2312"/>
      <w:kern w:val="2"/>
      <w:sz w:val="21"/>
    </w:rPr>
  </w:style>
  <w:style w:type="character" w:customStyle="1" w:styleId="61">
    <w:name w:val="表内容样式 字符"/>
    <w:link w:val="34"/>
    <w:qFormat/>
    <w:uiPriority w:val="0"/>
    <w:rPr>
      <w:rFonts w:ascii="仿宋_GB2312" w:eastAsia="仿宋_GB2312"/>
      <w:kern w:val="2"/>
      <w:sz w:val="21"/>
    </w:rPr>
  </w:style>
  <w:style w:type="paragraph" w:customStyle="1" w:styleId="62">
    <w:name w:val="样式1"/>
    <w:basedOn w:val="34"/>
    <w:link w:val="60"/>
    <w:qFormat/>
    <w:uiPriority w:val="0"/>
  </w:style>
  <w:style w:type="paragraph" w:customStyle="1" w:styleId="63">
    <w:name w:val="列出段落1"/>
    <w:basedOn w:val="1"/>
    <w:qFormat/>
    <w:uiPriority w:val="34"/>
    <w:pPr>
      <w:ind w:firstLine="420" w:firstLineChars="200"/>
    </w:pPr>
    <w:rPr>
      <w:rFonts w:ascii="Calibri" w:hAnsi="Calibri" w:cs="仿宋_GB2312"/>
      <w:szCs w:val="24"/>
    </w:rPr>
  </w:style>
  <w:style w:type="character" w:customStyle="1" w:styleId="64">
    <w:name w:val="正文首行缩进 Char"/>
    <w:basedOn w:val="42"/>
    <w:link w:val="24"/>
    <w:qFormat/>
    <w:uiPriority w:val="0"/>
    <w:rPr>
      <w:rFonts w:ascii="仿宋_GB2312" w:eastAsia="仿宋_GB2312"/>
      <w:kern w:val="2"/>
      <w:sz w:val="24"/>
    </w:rPr>
  </w:style>
  <w:style w:type="paragraph" w:customStyle="1" w:styleId="65">
    <w:name w:val="Char Char Char Char Char1 Char Char Char Char Char Char Char"/>
    <w:basedOn w:val="1"/>
    <w:qFormat/>
    <w:uiPriority w:val="0"/>
    <w:pPr>
      <w:spacing w:line="240" w:lineRule="auto"/>
    </w:pPr>
    <w:rPr>
      <w:rFonts w:eastAsia="宋体"/>
      <w:sz w:val="21"/>
      <w:szCs w:val="24"/>
    </w:rPr>
  </w:style>
  <w:style w:type="character" w:customStyle="1" w:styleId="66">
    <w:name w:val="font21"/>
    <w:qFormat/>
    <w:uiPriority w:val="0"/>
    <w:rPr>
      <w:rFonts w:hint="default" w:ascii="Arial" w:hAnsi="Arial" w:cs="Arial"/>
      <w:color w:val="00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2076</Words>
  <Characters>11838</Characters>
  <Lines>98</Lines>
  <Paragraphs>27</Paragraphs>
  <TotalTime>1</TotalTime>
  <ScaleCrop>false</ScaleCrop>
  <LinksUpToDate>false</LinksUpToDate>
  <CharactersWithSpaces>13887</CharactersWithSpaces>
  <Application>WPS Office_11.8.2.12309_F1E327BC-269C-435d-A152-05C5408002CA</Application>
  <DocSecurity>1</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2026-09-20T16:51:00Z</dcterms:created>
  <dc:creator>Lenovo</dc:creator>
  <cp:lastModifiedBy>Lenovo</cp:lastModifiedBy>
  <dcterms:modified xsi:type="dcterms:W3CDTF">2026-09-28T07:19:16Z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848C1C21F8C047E4BE7ACB07266F9115</vt:lpwstr>
  </property>
</Properties>
</file>