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widowControl w:val="0"/>
        <w:spacing w:after="0" w:line="360" w:lineRule="auto"/>
        <w:jc w:val="both"/>
        <w:rPr>
          <w:rFonts w:ascii="Times New Roman" w:hAnsi="Times New Roman" w:eastAsia="Arial Unicode MS"/>
          <w:b/>
          <w:bCs/>
          <w:kern w:val="44"/>
          <w:sz w:val="20"/>
          <w:szCs w:val="20"/>
          <w:lang w:eastAsia="zh-CN" w:bidi="ar-SA"/>
        </w:rPr>
      </w:pPr>
    </w:p>
    <w:tbl>
      <w:tblPr>
        <w:tblStyle w:val="11"/>
        <w:tblW w:w="4914" w:type="pct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520"/>
        <w:gridCol w:w="4746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9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/>
              </w:rPr>
              <w:t>产品名称</w:t>
            </w:r>
            <w:r>
              <w:t>Product name</w:t>
            </w:r>
          </w:p>
        </w:tc>
        <w:tc>
          <w:tcPr>
            <w:tcW w:w="2561" w:type="pct"/>
          </w:tcPr>
          <w:p>
            <w:pPr>
              <w:pStyle w:val="17"/>
            </w:pPr>
            <w:r>
              <w:rPr>
                <w:rFonts w:hint="eastAsia"/>
              </w:rPr>
              <w:t>密级</w:t>
            </w:r>
            <w:r>
              <w:t>Confidentiality level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/>
              </w:rPr>
              <w:t>[项目/模块名称]</w:t>
            </w:r>
          </w:p>
        </w:tc>
        <w:tc>
          <w:tcPr>
            <w:tcW w:w="2561" w:type="pct"/>
          </w:tcPr>
          <w:p>
            <w:pPr>
              <w:pStyle w:val="17"/>
            </w:pPr>
            <w:r>
              <w:t>[密级]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83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/>
              </w:rPr>
              <w:t>产品版本</w:t>
            </w:r>
            <w:r>
              <w:t>Product version</w:t>
            </w:r>
          </w:p>
        </w:tc>
        <w:tc>
          <w:tcPr>
            <w:tcW w:w="2561" w:type="pct"/>
            <w:vMerge w:val="restart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 xml:space="preserve">Total [页数] pages 共 [页数] 页</w:t>
            </w:r>
            <w:r>
              <w:rPr>
                <w:rFonts w:hint="eastAsia" w:ascii="Arial" w:hAnsi="Arial" w:cs="Arial"/>
                <w:lang w:eastAsia="zh-CN"/>
              </w:rPr>
              <w:t/>
            </w:r>
            <w:r>
              <w:rPr>
                <w:rFonts w:ascii="Arial" w:hAnsi="Arial" w:cs="Arial"/>
              </w:rPr>
              <w:t xml:space="preserve"/>
            </w:r>
            <w:r>
              <w:t xml:space="preserve"/>
            </w:r>
            <w:r>
              <w:rPr>
                <w:rFonts w:hint="eastAsia"/>
                <w:lang w:eastAsia="zh-CN"/>
              </w:rPr>
              <w:t/>
            </w:r>
            <w:r>
              <w:t xml:space="preserve"/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[产品版本]</w:t>
            </w:r>
          </w:p>
        </w:tc>
        <w:tc>
          <w:tcPr>
            <w:tcW w:w="2561" w:type="pct"/>
            <w:vMerge w:val="continue"/>
          </w:tcPr>
          <w:p>
            <w:pPr>
              <w:pStyle w:val="17"/>
            </w:pPr>
          </w:p>
        </w:tc>
      </w:tr>
    </w:tbl>
    <w:p>
      <w:pPr>
        <w:pStyle w:val="18"/>
        <w:jc w:val="both"/>
      </w:pPr>
    </w:p>
    <w:p>
      <w:pPr>
        <w:pStyle w:val="18"/>
        <w:jc w:val="both"/>
      </w:pPr>
    </w:p>
    <w:p>
      <w:pPr>
        <w:pStyle w:val="18"/>
        <w:ind w:firstLine="883" w:firstLineChars="200"/>
      </w:pPr>
      <w:r>
        <w:rPr>
          <w:rFonts w:hint="eastAsia" w:ascii="Times New Roman" w:hAnsi="Times New Roman"/>
          <w:b/>
        </w:rPr>
        <w:t>[项目/模块名称]仿真回归报告</w:t>
      </w:r>
    </w:p>
    <w:p>
      <w:pPr>
        <w:pStyle w:val="17"/>
      </w:pPr>
    </w:p>
    <w:p>
      <w:pPr>
        <w:pStyle w:val="17"/>
        <w:jc w:val="both"/>
      </w:pPr>
    </w:p>
    <w:p>
      <w:pPr>
        <w:pStyle w:val="17"/>
      </w:pPr>
    </w:p>
    <w:p>
      <w:pPr>
        <w:pStyle w:val="17"/>
        <w:jc w:val="both"/>
      </w:pPr>
    </w:p>
    <w:p>
      <w:pPr>
        <w:pStyle w:val="17"/>
      </w:pP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638"/>
        <w:gridCol w:w="1076"/>
        <w:gridCol w:w="22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t xml:space="preserve">Prepared by </w:t>
            </w:r>
          </w:p>
          <w:p>
            <w:pPr>
              <w:pStyle w:val="17"/>
            </w:pPr>
            <w:r>
              <w:rPr>
                <w:rFonts w:hint="eastAsia"/>
              </w:rPr>
              <w:t>拟制</w:t>
            </w:r>
          </w:p>
        </w:tc>
        <w:tc>
          <w:tcPr>
            <w:tcW w:w="2638" w:type="dxa"/>
            <w:tcBorders>
              <w:bottom w:val="single" w:color="auto" w:sz="6" w:space="0"/>
            </w:tcBorders>
          </w:tcPr>
          <w:p>
            <w:pPr>
              <w:pStyle w:val="17"/>
            </w:pPr>
            <w:r>
              <w:t>[姓名]</w:t>
            </w:r>
          </w:p>
          <w:p>
            <w:pPr>
              <w:pStyle w:val="17"/>
            </w:pPr>
            <w:bookmarkStart w:id="30" w:name="_GoBack"/>
            <w:bookmarkEnd w:id="30"/>
          </w:p>
        </w:tc>
        <w:tc>
          <w:tcPr>
            <w:tcW w:w="1076" w:type="dxa"/>
          </w:tcPr>
          <w:p>
            <w:pPr>
              <w:pStyle w:val="17"/>
            </w:pPr>
            <w:r>
              <w:t>Date</w:t>
            </w:r>
          </w:p>
          <w:p>
            <w:pPr>
              <w:pStyle w:val="17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bottom w:val="single" w:color="auto" w:sz="6" w:space="0"/>
            </w:tcBorders>
          </w:tcPr>
          <w:p>
            <w:pPr>
              <w:rPr>
                <w:rFonts w:ascii="Arial" w:hAnsi="Arial" w:cs="Arial"/>
              </w:rPr>
            </w:pPr>
            <w:r>
              <w:br w:type="textWrapping"/>
            </w:r>
            <w:r>
              <w:rPr>
                <w:rFonts w:ascii="Arial" w:hAnsi="Arial" w:cs="Arial"/>
              </w:rPr>
              <w:t xml:space="preserve">[日期]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t xml:space="preserve">Reviewed by </w:t>
            </w:r>
          </w:p>
          <w:p>
            <w:pPr>
              <w:pStyle w:val="17"/>
            </w:pPr>
            <w:r>
              <w:rPr>
                <w:rFonts w:hint="eastAsia"/>
              </w:rPr>
              <w:t>评审人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[姓名]</w:t>
            </w:r>
          </w:p>
          <w:p>
            <w:pPr>
              <w:pStyle w:val="17"/>
            </w:pPr>
          </w:p>
        </w:tc>
        <w:tc>
          <w:tcPr>
            <w:tcW w:w="1076" w:type="dxa"/>
          </w:tcPr>
          <w:p>
            <w:pPr>
              <w:pStyle w:val="17"/>
            </w:pPr>
            <w:r>
              <w:t>Date</w:t>
            </w:r>
          </w:p>
          <w:p>
            <w:pPr>
              <w:pStyle w:val="17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[日期]</w:t>
            </w:r>
          </w:p>
          <w:p>
            <w:pPr>
              <w:pStyle w:val="17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t>Approved by</w:t>
            </w:r>
          </w:p>
          <w:p>
            <w:pPr>
              <w:pStyle w:val="17"/>
            </w:pPr>
            <w:r>
              <w:rPr>
                <w:rFonts w:hint="eastAsia"/>
              </w:rPr>
              <w:t>批准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[姓名]</w:t>
            </w:r>
          </w:p>
          <w:p>
            <w:pPr>
              <w:pStyle w:val="17"/>
            </w:pPr>
          </w:p>
        </w:tc>
        <w:tc>
          <w:tcPr>
            <w:tcW w:w="1076" w:type="dxa"/>
          </w:tcPr>
          <w:p>
            <w:pPr>
              <w:pStyle w:val="17"/>
            </w:pPr>
            <w:r>
              <w:t>Date</w:t>
            </w:r>
          </w:p>
          <w:p>
            <w:pPr>
              <w:pStyle w:val="17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[日期]</w:t>
            </w:r>
          </w:p>
          <w:p>
            <w:pPr>
              <w:pStyle w:val="17"/>
            </w:pPr>
          </w:p>
        </w:tc>
      </w:tr>
    </w:tbl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  <w:ind w:firstLine="640" w:firstLineChars="200"/>
        <w:outlineLvl w:val="0"/>
      </w:pPr>
      <w:bookmarkStart w:id="0" w:name="_Toc233738509"/>
      <w:bookmarkStart w:id="1" w:name="_Toc233746914"/>
      <w:r>
        <w:t xml:space="preserve">Revision Record </w:t>
      </w:r>
      <w:r>
        <w:rPr>
          <w:rFonts w:hint="eastAsia"/>
        </w:rPr>
        <w:t>修订记录</w:t>
      </w:r>
      <w:bookmarkEnd w:id="0"/>
      <w:bookmarkEnd w:id="1"/>
    </w:p>
    <w:tbl>
      <w:tblPr>
        <w:tblStyle w:val="11"/>
        <w:tblW w:w="802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8"/>
        <w:gridCol w:w="3201"/>
        <w:gridCol w:w="1379"/>
        <w:gridCol w:w="141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t>Revision Version</w:t>
            </w:r>
          </w:p>
          <w:p>
            <w:pPr>
              <w:pStyle w:val="20"/>
            </w:pPr>
            <w:r>
              <w:rPr>
                <w:rFonts w:hint="eastAsia"/>
              </w:rPr>
              <w:t>修订版本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rPr>
                <w:rFonts w:hint="eastAsia"/>
              </w:rPr>
              <w:t>Change Description</w:t>
            </w:r>
          </w:p>
          <w:p>
            <w:pPr>
              <w:pStyle w:val="20"/>
            </w:pPr>
            <w:r>
              <w:rPr>
                <w:rFonts w:hint="eastAsia"/>
              </w:rPr>
              <w:t>修改描述</w:t>
            </w:r>
          </w:p>
          <w:p>
            <w:pPr>
              <w:pStyle w:val="20"/>
            </w:pP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t>Author</w:t>
            </w:r>
          </w:p>
          <w:p>
            <w:pPr>
              <w:pStyle w:val="20"/>
            </w:pPr>
            <w:r>
              <w:rPr>
                <w:rFonts w:hint="eastAsia"/>
              </w:rPr>
              <w:t>作者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t>Date</w:t>
            </w:r>
          </w:p>
          <w:p>
            <w:pPr>
              <w:pStyle w:val="20"/>
            </w:pPr>
            <w:r>
              <w:rPr>
                <w:rFonts w:hint="eastAsia"/>
              </w:rPr>
              <w:t>日期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r>
              <w:rPr>
                <w:rFonts w:ascii="Times New Roman" w:hAnsi="Times New Roman"/>
                <w:sz w:val="18"/>
              </w:rPr>
              <w:t>V1.0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[项目填写修订内容]</w:t>
            </w: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lang w:eastAsia="zh-CN"/>
              </w:rPr>
            </w:pPr>
            <w:r>
              <w:t>[确认人]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r>
              <w:rPr>
                <w:rFonts w:ascii="Times New Roman" w:hAnsi="Times New Roman"/>
                <w:sz w:val="18"/>
              </w:rPr>
              <w:t>[日期]</w:t>
            </w:r>
          </w:p>
        </w:tc>
      </w:tr>
    </w:tbl>
    <w:p>
      <w:pPr>
        <w:pStyle w:val="22"/>
        <w:rPr>
          <w:rFonts w:ascii="Times New Roman" w:hAnsi="Times New Roman" w:eastAsia="Arial Unicode MS"/>
          <w:b/>
          <w:bCs/>
          <w:kern w:val="44"/>
          <w:sz w:val="40"/>
          <w:szCs w:val="40"/>
        </w:rPr>
      </w:pPr>
      <w:r>
        <w:t xml:space="preserve"> </w:t>
      </w:r>
    </w:p>
    <w:p>
      <w:pPr>
        <w:keepNext/>
        <w:keepLines/>
        <w:widowControl w:val="0"/>
        <w:spacing w:after="0" w:line="360" w:lineRule="auto"/>
        <w:jc w:val="both"/>
        <w:rPr>
          <w:rFonts w:ascii="Times New Roman" w:hAnsi="Times New Roman" w:eastAsia="Arial Unicode MS"/>
          <w:b/>
          <w:bCs/>
          <w:kern w:val="44"/>
          <w:sz w:val="40"/>
          <w:szCs w:val="4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pStyle w:val="23"/>
        <w:widowControl/>
        <w:spacing w:line="360" w:lineRule="auto"/>
        <w:ind w:firstLine="300" w:firstLineChars="200"/>
        <w:jc w:val="center"/>
        <w:outlineLvl w:val="0"/>
        <w:rPr>
          <w:rFonts w:eastAsia="宋体"/>
          <w:b/>
          <w:bCs/>
          <w:lang w:eastAsia="zh-CN"/>
        </w:rPr>
      </w:pPr>
      <w:r>
        <w:rPr>
          <w:rFonts w:hint="eastAsia" w:eastAsia="仿宋_GB2312"/>
          <w:kern w:val="2"/>
          <w:sz w:val="15"/>
          <w:szCs w:val="10"/>
          <w:lang w:eastAsia="zh-CN"/>
        </w:rPr>
        <w:t xml:space="preserve"> </w:t>
      </w:r>
      <w:bookmarkStart w:id="2" w:name="_Toc233738510"/>
      <w:bookmarkStart w:id="3" w:name="_Toc233746915"/>
      <w:r>
        <w:rPr>
          <w:rFonts w:hint="eastAsia" w:eastAsia="宋体"/>
          <w:b/>
          <w:bCs/>
          <w:lang w:eastAsia="zh-CN"/>
        </w:rPr>
        <w:t>目录</w:t>
      </w:r>
      <w:bookmarkEnd w:id="2"/>
      <w:bookmarkEnd w:id="3"/>
    </w:p>
    <w:p>
      <w:pPr>
        <w:pStyle w:val="8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[在Word中更新目录]</w:t>
      </w:r>
      <w:r>
        <w:fldChar w:fldCharType="end"/>
      </w:r>
    </w:p>
    <w:p>
      <w:pPr>
        <w:pStyle w:val="2"/>
      </w:pPr>
      <w:r>
        <w:t>测试版本</w:t>
      </w:r>
    </w:p>
    <w:p>
      <w:pPr>
        <w:pStyle w:val="3"/>
      </w:pPr>
      <w:r>
        <w:t>对象、范围与有效配置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rPr>
          <w:cantSplit/>
          <w:tblHeader/>
        </w:trPr>
        <w:tc>
          <w:tcPr>
            <w:tcW w:type="dxa" w:w="2515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记录项</w:t>
            </w:r>
          </w:p>
        </w:tc>
        <w:tc>
          <w:tcPr>
            <w:tcW w:type="dxa" w:w="6799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实际填写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模块与规格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［模块、范围、规格版本和已确认变更］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RTL 与 TB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［实际文件标识、顶层、文件表、宏与参数］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工具、库与模型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［仿真器版本、器件/IP、库及模型边界］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实际配置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［mode、seed、检查开关、随机约束及默认值解析结果］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结果保存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［运行编号、工作与结果位置、日志及必要产物索引］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待确认与限制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［具体缺口和影响；不存在时写无］</w:t>
            </w:r>
          </w:p>
        </w:tc>
      </w:tr>
    </w:tbl>
    <w:p>
      <w:pPr>
        <w:spacing w:after="0"/>
      </w:pPr>
    </w:p>
    <w:p>
      <w:pPr>
        <w:pStyle w:val="3"/>
      </w:pPr>
      <w:r>
        <w:t>运行入口</w:t>
      </w:r>
    </w:p>
    <w:p>
      <w:pPr>
        <w:spacing w:after="0"/>
      </w:pPr>
      <w:r>
        <w:rPr>
          <w:rFonts w:ascii="Consolas" w:hAnsi="Consolas"/>
          <w:sz w:val="20"/>
        </w:rPr>
        <w:t>make run tc=&lt;用例名&gt; [seed=&lt;种子&gt;] [mode=&lt;模式&gt;] [wave=fsdb]</w:t>
      </w:r>
    </w:p>
    <w:p>
      <w:pPr>
        <w:spacing w:after="0"/>
      </w:pPr>
      <w:r>
        <w:rPr>
          <w:rFonts w:ascii="Consolas" w:hAnsi="Consolas"/>
          <w:sz w:val="20"/>
        </w:rPr>
        <w:t>h_regress -cur</w:t>
      </w:r>
    </w:p>
    <w:p>
      <w:pPr>
        <w:spacing w:after="0"/>
      </w:pPr>
      <w:r>
        <w:rPr>
          <w:rFonts w:ascii="Consolas" w:hAnsi="Consolas"/>
          <w:sz w:val="20"/>
        </w:rPr>
        <w:t>h_regress -rerun</w:t>
      </w:r>
    </w:p>
    <w:p>
      <w:r>
        <w:t>填写实际命令，</w:t>
      </w:r>
      <w:r>
        <w:rPr>
          <w:rFonts w:ascii="Consolas" w:hAnsi="Consolas"/>
          <w:sz w:val="20"/>
        </w:rPr>
        <w:t>tc</w:t>
      </w:r>
      <w:r>
        <w:t xml:space="preserve"> 必填，其他参数可选但实际值必须记录。FSDB 需要后端支持，不是 XSim 原生能力。不支持请求时记录异常。本包仅约定接口，不包含脚本；模板未运行。</w:t>
      </w:r>
    </w:p>
    <w:p>
      <w:pPr>
        <w:pStyle w:val="2"/>
      </w:pPr>
      <w:r>
        <w:t>仿真与回归结果概览</w:t>
      </w:r>
    </w:p>
    <w:p>
      <w:pPr>
        <w:pStyle w:val="3"/>
      </w:pPr>
      <w:r>
        <w:t>计划列表和实际执行</w:t>
      </w:r>
    </w:p>
    <w:p>
      <w:r>
        <w:t>［填写当前列表、实际有效用例、必要配置与随机次数；区分用例数、运行数和测试点数；未启动或中断说明原因。］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cantSplit/>
          <w:tblHeader/>
        </w:trPr>
        <w:tc>
          <w:tcPr>
            <w:tcW w:type="dxa" w:w="1490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状态</w:t>
            </w:r>
          </w:p>
        </w:tc>
        <w:tc>
          <w:tcPr>
            <w:tcW w:type="dxa" w:w="4005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数量</w:t>
            </w:r>
          </w:p>
        </w:tc>
        <w:tc>
          <w:tcPr>
            <w:tcW w:type="dxa" w:w="3819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含义与对应记录</w:t>
            </w:r>
          </w:p>
        </w:tc>
      </w:tr>
      <w:tr>
        <w:trPr>
          <w:cantSplit/>
        </w:trPr>
        <w:tc>
          <w:tcPr>
            <w:tcW w:type="dxa" w:w="1490"/>
            <w:vAlign w:val="top"/>
          </w:tcPr>
          <w:p>
            <w:pPr>
              <w:spacing w:after="60"/>
            </w:pPr>
            <w:r>
              <w:t>通过</w:t>
            </w:r>
          </w:p>
        </w:tc>
        <w:tc>
          <w:tcPr>
            <w:tcW w:type="dxa" w:w="4005"/>
            <w:vAlign w:val="top"/>
          </w:tcPr>
          <w:p>
            <w:pPr>
              <w:spacing w:after="60"/>
            </w:pPr>
            <w:r>
              <w:t>［填实际数量］</w:t>
            </w:r>
          </w:p>
        </w:tc>
        <w:tc>
          <w:tcPr>
            <w:tcW w:type="dxa" w:w="3819"/>
            <w:vAlign w:val="top"/>
          </w:tcPr>
          <w:p>
            <w:pPr>
              <w:spacing w:after="60"/>
            </w:pPr>
            <w:r>
              <w:t>检查、结束和要求产物全部满足</w:t>
            </w:r>
          </w:p>
        </w:tc>
      </w:tr>
      <w:tr>
        <w:trPr>
          <w:cantSplit/>
        </w:trPr>
        <w:tc>
          <w:tcPr>
            <w:tcW w:type="dxa" w:w="1490"/>
            <w:vAlign w:val="top"/>
          </w:tcPr>
          <w:p>
            <w:pPr>
              <w:spacing w:after="60"/>
            </w:pPr>
            <w:r>
              <w:t>失败</w:t>
            </w:r>
          </w:p>
        </w:tc>
        <w:tc>
          <w:tcPr>
            <w:tcW w:type="dxa" w:w="4005"/>
            <w:vAlign w:val="top"/>
          </w:tcPr>
          <w:p>
            <w:pPr>
              <w:spacing w:after="60"/>
            </w:pPr>
            <w:r>
              <w:t>［填实际数量］</w:t>
            </w:r>
          </w:p>
        </w:tc>
        <w:tc>
          <w:tcPr>
            <w:tcW w:type="dxa" w:w="3819"/>
            <w:vAlign w:val="top"/>
          </w:tcPr>
          <w:p>
            <w:pPr>
              <w:spacing w:after="60"/>
            </w:pPr>
            <w:r>
              <w:t>数据、协议、断言或业务超时等检查失败</w:t>
            </w:r>
          </w:p>
        </w:tc>
      </w:tr>
      <w:tr>
        <w:trPr>
          <w:cantSplit/>
        </w:trPr>
        <w:tc>
          <w:tcPr>
            <w:tcW w:type="dxa" w:w="1490"/>
            <w:vAlign w:val="top"/>
          </w:tcPr>
          <w:p>
            <w:pPr>
              <w:spacing w:after="60"/>
            </w:pPr>
            <w:r>
              <w:t>异常</w:t>
            </w:r>
          </w:p>
        </w:tc>
        <w:tc>
          <w:tcPr>
            <w:tcW w:type="dxa" w:w="4005"/>
            <w:vAlign w:val="top"/>
          </w:tcPr>
          <w:p>
            <w:pPr>
              <w:spacing w:after="60"/>
            </w:pPr>
            <w:r>
              <w:t>［填实际数量］</w:t>
            </w:r>
          </w:p>
        </w:tc>
        <w:tc>
          <w:tcPr>
            <w:tcW w:type="dxa" w:w="3819"/>
            <w:vAlign w:val="top"/>
          </w:tcPr>
          <w:p>
            <w:pPr>
              <w:spacing w:after="60"/>
            </w:pPr>
            <w:r>
              <w:t>工具、模型、检查或必要证据不完整</w:t>
            </w:r>
          </w:p>
        </w:tc>
      </w:tr>
      <w:tr>
        <w:trPr>
          <w:cantSplit/>
        </w:trPr>
        <w:tc>
          <w:tcPr>
            <w:tcW w:type="dxa" w:w="1490"/>
            <w:vAlign w:val="top"/>
          </w:tcPr>
          <w:p>
            <w:pPr>
              <w:spacing w:after="60"/>
            </w:pPr>
            <w:r>
              <w:t>未执行</w:t>
            </w:r>
          </w:p>
        </w:tc>
        <w:tc>
          <w:tcPr>
            <w:tcW w:type="dxa" w:w="4005"/>
            <w:vAlign w:val="top"/>
          </w:tcPr>
          <w:p>
            <w:pPr>
              <w:spacing w:after="60"/>
            </w:pPr>
            <w:r>
              <w:t>［填实际数量］</w:t>
            </w:r>
          </w:p>
        </w:tc>
        <w:tc>
          <w:tcPr>
            <w:tcW w:type="dxa" w:w="3819"/>
            <w:vAlign w:val="top"/>
          </w:tcPr>
          <w:p>
            <w:pPr>
              <w:spacing w:after="60"/>
            </w:pPr>
            <w:r>
              <w:t>无有效启动或受共享环境影响未运行</w:t>
            </w:r>
          </w:p>
        </w:tc>
      </w:tr>
      <w:tr>
        <w:trPr>
          <w:cantSplit/>
        </w:trPr>
        <w:tc>
          <w:tcPr>
            <w:tcW w:type="dxa" w:w="1490"/>
            <w:vAlign w:val="top"/>
          </w:tcPr>
          <w:p>
            <w:pPr>
              <w:spacing w:after="60"/>
            </w:pPr>
            <w:r>
              <w:t>合计</w:t>
            </w:r>
          </w:p>
        </w:tc>
        <w:tc>
          <w:tcPr>
            <w:tcW w:type="dxa" w:w="4005"/>
            <w:vAlign w:val="top"/>
          </w:tcPr>
          <w:p>
            <w:pPr>
              <w:spacing w:after="60"/>
            </w:pPr>
            <w:r>
              <w:t>［填实际总数］</w:t>
            </w:r>
          </w:p>
        </w:tc>
        <w:tc>
          <w:tcPr>
            <w:tcW w:type="dxa" w:w="3819"/>
            <w:vAlign w:val="top"/>
          </w:tcPr>
          <w:p>
            <w:pPr>
              <w:spacing w:after="60"/>
            </w:pPr>
            <w:r>
              <w:t>四类互斥数量之和，应与逐例重算一致</w:t>
            </w:r>
          </w:p>
        </w:tc>
      </w:tr>
    </w:tbl>
    <w:p>
      <w:pPr>
        <w:spacing w:after="0"/>
      </w:pPr>
    </w:p>
    <w:p>
      <w:pPr>
        <w:pStyle w:val="3"/>
      </w:pPr>
      <w:r>
        <w:t>首次异常和失败重跑</w:t>
      </w:r>
    </w:p>
    <w:p>
      <w:r>
        <w:t>［填写原用例、种子、配置、首错和证据；重跑保留原条件，在新目录用新运行编号保存并关联原记录。不可覆盖首次失败，不通过换种子掩盖。］</w:t>
      </w:r>
    </w:p>
    <w:p>
      <w:pPr>
        <w:pStyle w:val="3"/>
      </w:pPr>
      <w:r>
        <w:t>证据索引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2328"/>
        <w:gridCol w:w="2328"/>
        <w:gridCol w:w="2328"/>
        <w:gridCol w:w="2328"/>
      </w:tblGrid>
      <w:tr>
        <w:trPr>
          <w:cantSplit/>
          <w:tblHeader/>
        </w:trPr>
        <w:tc>
          <w:tcPr>
            <w:tcW w:type="dxa" w:w="838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运行编号</w:t>
            </w:r>
          </w:p>
        </w:tc>
        <w:tc>
          <w:tcPr>
            <w:tcW w:type="dxa" w:w="2328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用例与条件</w:t>
            </w:r>
          </w:p>
        </w:tc>
        <w:tc>
          <w:tcPr>
            <w:tcW w:type="dxa" w:w="3353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最终状态</w:t>
            </w:r>
          </w:p>
        </w:tc>
        <w:tc>
          <w:tcPr>
            <w:tcW w:type="dxa" w:w="2794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日志／波形／报告位置</w:t>
            </w:r>
          </w:p>
        </w:tc>
      </w:tr>
      <w:tr>
        <w:trPr>
          <w:cantSplit/>
        </w:trPr>
        <w:tc>
          <w:tcPr>
            <w:tcW w:type="dxa" w:w="838"/>
            <w:vAlign w:val="top"/>
          </w:tcPr>
          <w:p>
            <w:pPr>
              <w:spacing w:after="60"/>
            </w:pPr>
            <w:r>
              <w:t>［项目填写］</w:t>
            </w:r>
          </w:p>
        </w:tc>
        <w:tc>
          <w:tcPr>
            <w:tcW w:type="dxa" w:w="2328"/>
            <w:vAlign w:val="top"/>
          </w:tcPr>
          <w:p>
            <w:pPr>
              <w:spacing w:after="60"/>
            </w:pPr>
            <w:r>
              <w:t>［名称、实际 seed、mode 及配置］</w:t>
            </w:r>
          </w:p>
        </w:tc>
        <w:tc>
          <w:tcPr>
            <w:tcW w:type="dxa" w:w="3353"/>
            <w:vAlign w:val="top"/>
          </w:tcPr>
          <w:p>
            <w:pPr>
              <w:spacing w:after="60"/>
            </w:pPr>
            <w:r>
              <w:t>未执行</w:t>
            </w:r>
          </w:p>
        </w:tc>
        <w:tc>
          <w:tcPr>
            <w:tcW w:type="dxa" w:w="2794"/>
            <w:vAlign w:val="top"/>
          </w:tcPr>
          <w:p>
            <w:pPr>
              <w:spacing w:after="60"/>
            </w:pPr>
            <w:r>
              <w:t>［实际相对位置，未生成如实写明］</w:t>
            </w:r>
          </w:p>
        </w:tc>
      </w:tr>
    </w:tbl>
    <w:p>
      <w:pPr>
        <w:spacing w:after="0"/>
      </w:pPr>
    </w:p>
    <w:p>
      <w:pPr>
        <w:pStyle w:val="2"/>
      </w:pPr>
      <w:r>
        <w:t>功能与用例测试结果</w:t>
      </w:r>
    </w:p>
    <w:p>
      <w:pPr>
        <w:pStyle w:val="3"/>
      </w:pPr>
      <w:r>
        <w:t>单条用例记录</w:t>
      </w:r>
    </w:p>
    <w:p>
      <w:r>
        <w:t>按有效用例和必要配置复制本节，不把示例当已执行结果。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rPr>
          <w:cantSplit/>
          <w:tblHeader/>
        </w:trPr>
        <w:tc>
          <w:tcPr>
            <w:tcW w:type="dxa" w:w="2515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项目</w:t>
            </w:r>
          </w:p>
        </w:tc>
        <w:tc>
          <w:tcPr>
            <w:tcW w:type="dxa" w:w="6799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实际记录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规格和测试点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［编号及本例检查行为］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用例与运行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［名称、运行编号、版本、实际条件］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输入和目标事件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［真实接受、等待、边界或复位的事实］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独立预期和比较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［来源、有效数据、顺序/ID 和差异］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结束与关键计数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［实际结束情况，必要的计数或异常信息］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现象与证据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［具体日志位置和必要波形时间窗］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最终结果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未执行；项目依据实际情况选择通过、失败、异常或未执行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确认人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［对象、结论、限制和确认人］</w:t>
            </w:r>
          </w:p>
        </w:tc>
      </w:tr>
    </w:tbl>
    <w:p>
      <w:pPr>
        <w:spacing w:after="0"/>
      </w:pPr>
    </w:p>
    <w:p>
      <w:pPr>
        <w:pStyle w:val="3"/>
      </w:pPr>
      <w:r>
        <w:t>结果解释要求</w:t>
      </w:r>
    </w:p>
    <w:p>
      <w:r>
        <w:t>无真实刺激或关键检查未启动不能通过。功能比较正常但要求波形缺失，保留比较事实，最终记录异常；存在功能失败时保留失败及附加异常。根因类别另记，不根据一条最终状态直接归责。预期错误用例按明确响应判断，不简单搜索文字决定失败。</w:t>
      </w:r>
    </w:p>
    <w:p>
      <w:pPr>
        <w:pStyle w:val="2"/>
      </w:pPr>
      <w:r>
        <w:t>验证结论</w:t>
      </w:r>
    </w:p>
    <w:p>
      <w:pPr>
        <w:pStyle w:val="3"/>
      </w:pPr>
      <w:r>
        <w:t>问题与复测记录</w:t>
      </w:r>
    </w:p>
    <w:p>
      <w:r>
        <w:t>对每个问题复制以下记录，严重度只用严重、一般，原因用 DUT、TB/用例、规格/判据、工具/模型或待定位。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rPr>
          <w:cantSplit/>
          <w:tblHeader/>
        </w:trPr>
        <w:tc>
          <w:tcPr>
            <w:tcW w:type="dxa" w:w="2515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项目</w:t>
            </w:r>
          </w:p>
        </w:tc>
        <w:tc>
          <w:tcPr>
            <w:tcW w:type="dxa" w:w="6799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实际记录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问题编号、现象与严重度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［首次异常、影响功能及严重/一般］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原条件和证据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［原用例、种子、有效配置、版本与运行］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根因及依据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［区分事实和假设，说明首次偏离］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修改与影响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［修改对象、规格依据、相关功能和配置］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原条件复测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［修复版本、原种子配置、运行与结果］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关联检查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［正常、边界、异常及必要随机运行和依据］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状态与确认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［待定位/待修复/待复测/已关闭/已接受遗留；确认人］</w:t>
            </w:r>
          </w:p>
        </w:tc>
      </w:tr>
    </w:tbl>
    <w:p>
      <w:pPr>
        <w:spacing w:after="0"/>
      </w:pPr>
    </w:p>
    <w:p>
      <w:pPr>
        <w:pStyle w:val="3"/>
      </w:pPr>
      <w:r>
        <w:t>覆盖率检查与完善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2328"/>
        <w:gridCol w:w="2328"/>
        <w:gridCol w:w="2328"/>
        <w:gridCol w:w="2328"/>
      </w:tblGrid>
      <w:tr>
        <w:trPr>
          <w:cantSplit/>
          <w:tblHeader/>
        </w:trPr>
        <w:tc>
          <w:tcPr>
            <w:tcW w:type="dxa" w:w="838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指标</w:t>
            </w:r>
          </w:p>
        </w:tc>
        <w:tc>
          <w:tcPr>
            <w:tcW w:type="dxa" w:w="2328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支持与采集状态</w:t>
            </w:r>
          </w:p>
        </w:tc>
        <w:tc>
          <w:tcPr>
            <w:tcW w:type="dxa" w:w="3353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工具原始结果</w:t>
            </w:r>
          </w:p>
        </w:tc>
        <w:tc>
          <w:tcPr>
            <w:tcW w:type="dxa" w:w="2794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范围与参与运行</w:t>
            </w:r>
          </w:p>
        </w:tc>
      </w:tr>
      <w:tr>
        <w:trPr>
          <w:cantSplit/>
        </w:trPr>
        <w:tc>
          <w:tcPr>
            <w:tcW w:type="dxa" w:w="838"/>
            <w:vAlign w:val="top"/>
          </w:tcPr>
          <w:p>
            <w:pPr>
              <w:spacing w:after="60"/>
            </w:pPr>
            <w:r>
              <w:t>行</w:t>
            </w:r>
          </w:p>
        </w:tc>
        <w:tc>
          <w:tcPr>
            <w:tcW w:type="dxa" w:w="2328"/>
            <w:vAlign w:val="top"/>
          </w:tcPr>
          <w:p>
            <w:pPr>
              <w:spacing w:after="60"/>
            </w:pPr>
            <w:r>
              <w:t>［已采集/不支持/未启用/无有效数据］</w:t>
            </w:r>
          </w:p>
        </w:tc>
        <w:tc>
          <w:tcPr>
            <w:tcW w:type="dxa" w:w="3353"/>
            <w:vAlign w:val="top"/>
          </w:tcPr>
          <w:p>
            <w:pPr>
              <w:spacing w:after="60"/>
            </w:pPr>
            <w:r>
              <w:t>［仅填写实际工具结果］</w:t>
            </w:r>
          </w:p>
        </w:tc>
        <w:tc>
          <w:tcPr>
            <w:tcW w:type="dxa" w:w="2794"/>
            <w:vAlign w:val="top"/>
          </w:tcPr>
          <w:p>
            <w:pPr>
              <w:spacing w:after="60"/>
            </w:pPr>
            <w:r>
              <w:t>［版本、实例、配置和运行］</w:t>
            </w:r>
          </w:p>
        </w:tc>
      </w:tr>
      <w:tr>
        <w:trPr>
          <w:cantSplit/>
        </w:trPr>
        <w:tc>
          <w:tcPr>
            <w:tcW w:type="dxa" w:w="838"/>
            <w:vAlign w:val="top"/>
          </w:tcPr>
          <w:p>
            <w:pPr>
              <w:spacing w:after="60"/>
            </w:pPr>
            <w:r>
              <w:t>条件</w:t>
            </w:r>
          </w:p>
        </w:tc>
        <w:tc>
          <w:tcPr>
            <w:tcW w:type="dxa" w:w="2328"/>
            <w:vAlign w:val="top"/>
          </w:tcPr>
          <w:p>
            <w:pPr>
              <w:spacing w:after="60"/>
            </w:pPr>
            <w:r>
              <w:t>［按实际能力填写］</w:t>
            </w:r>
          </w:p>
        </w:tc>
        <w:tc>
          <w:tcPr>
            <w:tcW w:type="dxa" w:w="3353"/>
            <w:vAlign w:val="top"/>
          </w:tcPr>
          <w:p>
            <w:pPr>
              <w:spacing w:after="60"/>
            </w:pPr>
            <w:r>
              <w:t>［原始结果，不人为换算］</w:t>
            </w:r>
          </w:p>
        </w:tc>
        <w:tc>
          <w:tcPr>
            <w:tcW w:type="dxa" w:w="2794"/>
            <w:vAlign w:val="top"/>
          </w:tcPr>
          <w:p>
            <w:pPr>
              <w:spacing w:after="60"/>
            </w:pPr>
            <w:r>
              <w:t>［统计口径和运行］</w:t>
            </w:r>
          </w:p>
        </w:tc>
      </w:tr>
      <w:tr>
        <w:trPr>
          <w:cantSplit/>
        </w:trPr>
        <w:tc>
          <w:tcPr>
            <w:tcW w:type="dxa" w:w="838"/>
            <w:vAlign w:val="top"/>
          </w:tcPr>
          <w:p>
            <w:pPr>
              <w:spacing w:after="60"/>
            </w:pPr>
            <w:r>
              <w:t>状态机</w:t>
            </w:r>
          </w:p>
        </w:tc>
        <w:tc>
          <w:tcPr>
            <w:tcW w:type="dxa" w:w="2328"/>
            <w:vAlign w:val="top"/>
          </w:tcPr>
          <w:p>
            <w:pPr>
              <w:spacing w:after="60"/>
            </w:pPr>
            <w:r>
              <w:t>［先确认识别能力］</w:t>
            </w:r>
          </w:p>
        </w:tc>
        <w:tc>
          <w:tcPr>
            <w:tcW w:type="dxa" w:w="3353"/>
            <w:vAlign w:val="top"/>
          </w:tcPr>
          <w:p>
            <w:pPr>
              <w:spacing w:after="60"/>
            </w:pPr>
            <w:r>
              <w:t>［无原生结果如实说明］</w:t>
            </w:r>
          </w:p>
        </w:tc>
        <w:tc>
          <w:tcPr>
            <w:tcW w:type="dxa" w:w="2794"/>
            <w:vAlign w:val="top"/>
          </w:tcPr>
          <w:p>
            <w:pPr>
              <w:spacing w:after="60"/>
            </w:pPr>
            <w:r>
              <w:t>［功能证据另行引用］</w:t>
            </w:r>
          </w:p>
        </w:tc>
      </w:tr>
    </w:tbl>
    <w:p>
      <w:pPr>
        <w:spacing w:after="0"/>
      </w:pPr>
    </w:p>
    <w:p>
      <w:r>
        <w:t>未覆盖内容直接在本章记录，不另建独立工作表。没有统一百分比硬门槛。查明原因应区分未触发、参数关闭、不可达、工具和模型限制。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2328"/>
        <w:gridCol w:w="2328"/>
        <w:gridCol w:w="2328"/>
        <w:gridCol w:w="2328"/>
      </w:tblGrid>
      <w:tr>
        <w:trPr>
          <w:cantSplit/>
          <w:tblHeader/>
        </w:trPr>
        <w:tc>
          <w:tcPr>
            <w:tcW w:type="dxa" w:w="838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位置与行为</w:t>
            </w:r>
          </w:p>
        </w:tc>
        <w:tc>
          <w:tcPr>
            <w:tcW w:type="dxa" w:w="2328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原因和依据</w:t>
            </w:r>
          </w:p>
        </w:tc>
        <w:tc>
          <w:tcPr>
            <w:tcW w:type="dxa" w:w="3353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补测或保留处理</w:t>
            </w:r>
          </w:p>
        </w:tc>
        <w:tc>
          <w:tcPr>
            <w:tcW w:type="dxa" w:w="2794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结果、剩余影响与确认人</w:t>
            </w:r>
          </w:p>
        </w:tc>
      </w:tr>
      <w:tr>
        <w:trPr>
          <w:cantSplit/>
        </w:trPr>
        <w:tc>
          <w:tcPr>
            <w:tcW w:type="dxa" w:w="838"/>
            <w:vAlign w:val="top"/>
          </w:tcPr>
          <w:p>
            <w:pPr>
              <w:spacing w:after="60"/>
            </w:pPr>
            <w:r>
              <w:t>［项目填写］</w:t>
            </w:r>
          </w:p>
        </w:tc>
        <w:tc>
          <w:tcPr>
            <w:tcW w:type="dxa" w:w="2328"/>
            <w:vAlign w:val="top"/>
          </w:tcPr>
          <w:p>
            <w:pPr>
              <w:spacing w:after="60"/>
            </w:pPr>
            <w:r>
              <w:t>［实际条件与证据，不只写标签］</w:t>
            </w:r>
          </w:p>
        </w:tc>
        <w:tc>
          <w:tcPr>
            <w:tcW w:type="dxa" w:w="3353"/>
            <w:vAlign w:val="top"/>
          </w:tcPr>
          <w:p>
            <w:pPr>
              <w:spacing w:after="60"/>
            </w:pPr>
            <w:r>
              <w:t>［用例、配置及运行，或具体限制］</w:t>
            </w:r>
          </w:p>
        </w:tc>
        <w:tc>
          <w:tcPr>
            <w:tcW w:type="dxa" w:w="2794"/>
            <w:vAlign w:val="top"/>
          </w:tcPr>
          <w:p>
            <w:pPr>
              <w:spacing w:after="60"/>
            </w:pPr>
            <w:r>
              <w:t>［补测效果和确认］</w:t>
            </w:r>
          </w:p>
        </w:tc>
      </w:tr>
    </w:tbl>
    <w:p>
      <w:pPr>
        <w:spacing w:after="0"/>
      </w:pPr>
    </w:p>
    <w:p>
      <w:pPr>
        <w:pStyle w:val="3"/>
      </w:pPr>
      <w:r>
        <w:t>一般遗留与范围限制</w:t>
      </w:r>
    </w:p>
    <w:p>
      <w:r>
        <w:t>［填写每项影响、配置、出现条件、使用限制、责任人、后续措施和接受人。接受遗留不等于修复，严重未解决问题阻断出口。模型限制不得写成约定关键功能已验证。］</w:t>
      </w:r>
    </w:p>
    <w:p>
      <w:pPr>
        <w:pStyle w:val="3"/>
      </w:pPr>
      <w:r>
        <w:t>验证出口检查</w:t>
      </w:r>
    </w:p>
    <w:p>
      <w:r>
        <w:t>逐项填写下列标准，结果为完成、未完成、不适用，并写必要说明或材料位置。不适用说明原因，未检查保持待检查。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rPr>
          <w:cantSplit/>
          <w:tblHeader/>
        </w:trPr>
        <w:tc>
          <w:tcPr>
            <w:tcW w:type="dxa" w:w="1863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检查内容</w:t>
            </w:r>
          </w:p>
        </w:tc>
        <w:tc>
          <w:tcPr>
            <w:tcW w:type="dxa" w:w="1863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完成要求</w:t>
            </w:r>
          </w:p>
        </w:tc>
        <w:tc>
          <w:tcPr>
            <w:tcW w:type="dxa" w:w="1863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证据或说明</w:t>
            </w:r>
          </w:p>
        </w:tc>
        <w:tc>
          <w:tcPr>
            <w:tcW w:type="dxa" w:w="1863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结果</w:t>
            </w:r>
          </w:p>
        </w:tc>
        <w:tc>
          <w:tcPr>
            <w:tcW w:type="dxa" w:w="1863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确认人</w:t>
            </w:r>
          </w:p>
        </w:tc>
      </w:tr>
      <w:tr>
        <w:trPr>
          <w:cantSplit/>
        </w:trPr>
        <w:tc>
          <w:tcPr>
            <w:tcW w:type="dxa" w:w="1863"/>
            <w:vAlign w:val="top"/>
          </w:tcPr>
          <w:p>
            <w:pPr>
              <w:spacing w:after="60"/>
            </w:pPr>
            <w:r>
              <w:t>测试点分解表单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设计规格、测试点和测试用例已填写，执行结果有交代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待检查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</w:tr>
      <w:tr>
        <w:trPr>
          <w:cantSplit/>
        </w:trPr>
        <w:tc>
          <w:tcPr>
            <w:tcW w:type="dxa" w:w="1863"/>
            <w:vAlign w:val="top"/>
          </w:tcPr>
          <w:p>
            <w:pPr>
              <w:spacing w:after="60"/>
            </w:pPr>
            <w:r>
              <w:t>验证方案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验证范围、方法、环境和芯片/IP 支持点已说明，并反映实际采用方式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待检查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</w:tr>
      <w:tr>
        <w:trPr>
          <w:cantSplit/>
        </w:trPr>
        <w:tc>
          <w:tcPr>
            <w:tcW w:type="dxa" w:w="1863"/>
            <w:vAlign w:val="top"/>
          </w:tcPr>
          <w:p>
            <w:pPr>
              <w:spacing w:after="60"/>
            </w:pPr>
            <w:r>
              <w:t>仿真回归报告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已写明实际结果、问题处理、覆盖率结论和剩余限制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待检查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</w:tr>
      <w:tr>
        <w:trPr>
          <w:cantSplit/>
        </w:trPr>
        <w:tc>
          <w:tcPr>
            <w:tcW w:type="dxa" w:w="1863"/>
            <w:vAlign w:val="top"/>
          </w:tcPr>
          <w:p>
            <w:pPr>
              <w:spacing w:after="60"/>
            </w:pPr>
            <w:r>
              <w:t>规格与测试点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约定的功能没有明显遗漏，规格澄清和变更已更新到表单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待检查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</w:tr>
      <w:tr>
        <w:trPr>
          <w:cantSplit/>
        </w:trPr>
        <w:tc>
          <w:tcPr>
            <w:tcW w:type="dxa" w:w="1863"/>
            <w:vAlign w:val="top"/>
          </w:tcPr>
          <w:p>
            <w:pPr>
              <w:spacing w:after="60"/>
            </w:pPr>
            <w:r>
              <w:t>测试点与用例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每个有效测试点都有对应检查，用例名称和范围能对上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待检查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</w:tr>
      <w:tr>
        <w:trPr>
          <w:cantSplit/>
        </w:trPr>
        <w:tc>
          <w:tcPr>
            <w:tcW w:type="dxa" w:w="1863"/>
            <w:vAlign w:val="top"/>
          </w:tcPr>
          <w:p>
            <w:pPr>
              <w:spacing w:after="60"/>
            </w:pPr>
            <w:r>
              <w:t>方案与实现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环境、用例和检查方法与已确认方案一致，实施中的调整已说明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待检查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</w:tr>
      <w:tr>
        <w:trPr>
          <w:cantSplit/>
        </w:trPr>
        <w:tc>
          <w:tcPr>
            <w:tcW w:type="dxa" w:w="1863"/>
            <w:vAlign w:val="top"/>
          </w:tcPr>
          <w:p>
            <w:pPr>
              <w:spacing w:after="60"/>
            </w:pPr>
            <w:r>
              <w:t>实现与报告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报告对应实际使用的代码、配置和模型，没有沿用不适用的旧结果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待检查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</w:tr>
      <w:tr>
        <w:trPr>
          <w:cantSplit/>
        </w:trPr>
        <w:tc>
          <w:tcPr>
            <w:tcW w:type="dxa" w:w="1863"/>
            <w:vAlign w:val="top"/>
          </w:tcPr>
          <w:p>
            <w:pPr>
              <w:spacing w:after="60"/>
            </w:pPr>
            <w:r>
              <w:t>用例执行结果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计划内用例和必要配置都有明确状态，未执行或异常项有处理结果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待检查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</w:tr>
      <w:tr>
        <w:trPr>
          <w:cantSplit/>
        </w:trPr>
        <w:tc>
          <w:tcPr>
            <w:tcW w:type="dxa" w:w="1863"/>
            <w:vAlign w:val="top"/>
          </w:tcPr>
          <w:p>
            <w:pPr>
              <w:spacing w:after="60"/>
            </w:pPr>
            <w:r>
              <w:t>验证结论依据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通过来自实际执行和有效检查，不能只凭文件齐全或日志中的通过字样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待检查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</w:tr>
      <w:tr>
        <w:trPr>
          <w:cantSplit/>
        </w:trPr>
        <w:tc>
          <w:tcPr>
            <w:tcW w:type="dxa" w:w="1863"/>
            <w:vAlign w:val="top"/>
          </w:tcPr>
          <w:p>
            <w:pPr>
              <w:spacing w:after="60"/>
            </w:pPr>
            <w:r>
              <w:t>失败和异常处理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已说明原因与影响，需要解决的问题已解决；严重问题未解决时不能完成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待检查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</w:tr>
      <w:tr>
        <w:trPr>
          <w:cantSplit/>
        </w:trPr>
        <w:tc>
          <w:tcPr>
            <w:tcW w:type="dxa" w:w="1863"/>
            <w:vAlign w:val="top"/>
          </w:tcPr>
          <w:p>
            <w:pPr>
              <w:spacing w:after="60"/>
            </w:pPr>
            <w:r>
              <w:t>修改后的复测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修改后检查了原问题和相关功能，关闭结论有实际结果支持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待检查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</w:tr>
      <w:tr>
        <w:trPr>
          <w:cantSplit/>
        </w:trPr>
        <w:tc>
          <w:tcPr>
            <w:tcW w:type="dxa" w:w="1863"/>
            <w:vAlign w:val="top"/>
          </w:tcPr>
          <w:p>
            <w:pPr>
              <w:spacing w:after="60"/>
            </w:pPr>
            <w:r>
              <w:t>覆盖率与补测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行、条件、状态机按工具能力说明，需补测的已处理，其余原因已交代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待检查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</w:tr>
      <w:tr>
        <w:trPr>
          <w:cantSplit/>
        </w:trPr>
        <w:tc>
          <w:tcPr>
            <w:tcW w:type="dxa" w:w="1863"/>
            <w:vAlign w:val="top"/>
          </w:tcPr>
          <w:p>
            <w:pPr>
              <w:spacing w:after="60"/>
            </w:pPr>
            <w:r>
              <w:t>遗留事项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未解决的一般问题、模型限制等已说明影响和后续安排，并有人确认接受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待检查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</w:tr>
      <w:tr>
        <w:trPr>
          <w:cantSplit/>
        </w:trPr>
        <w:tc>
          <w:tcPr>
            <w:tcW w:type="dxa" w:w="1863"/>
            <w:vAlign w:val="top"/>
          </w:tcPr>
          <w:p>
            <w:pPr>
              <w:spacing w:after="60"/>
            </w:pPr>
            <w:r>
              <w:t>结果材料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必要日志、波形和工具报告能够找到，并与报告描述一致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待检查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</w:tr>
      <w:tr>
        <w:trPr>
          <w:cantSplit/>
        </w:trPr>
        <w:tc>
          <w:tcPr>
            <w:tcW w:type="dxa" w:w="1863"/>
            <w:vAlign w:val="top"/>
          </w:tcPr>
          <w:p>
            <w:pPr>
              <w:spacing w:after="60"/>
            </w:pPr>
            <w:r>
              <w:t>上下游对接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输入中的疑问已有答复，交付内容、适用范围和限制已与接收方对齐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待检查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</w:tr>
      <w:tr>
        <w:trPr>
          <w:cantSplit/>
        </w:trPr>
        <w:tc>
          <w:tcPr>
            <w:tcW w:type="dxa" w:w="1863"/>
            <w:vAlign w:val="top"/>
          </w:tcPr>
          <w:p>
            <w:pPr>
              <w:spacing w:after="60"/>
            </w:pPr>
            <w:r>
              <w:t>流程完成与交付确认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各阶段待办已有结果，三份文档版本与引用一致，工程师确认可交付；需要外发时完成相应安全处理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待检查</w:t>
            </w:r>
          </w:p>
        </w:tc>
        <w:tc>
          <w:tcPr>
            <w:tcW w:type="dxa" w:w="1863"/>
            <w:vAlign w:val="top"/>
          </w:tcPr>
          <w:p>
            <w:pPr>
              <w:spacing w:after="60"/>
            </w:pPr>
            <w:r>
              <w:t>项目填写</w:t>
            </w:r>
          </w:p>
        </w:tc>
      </w:tr>
    </w:tbl>
    <w:p>
      <w:pPr>
        <w:spacing w:after="0"/>
      </w:pPr>
    </w:p>
    <w:p>
      <w:pPr>
        <w:pStyle w:val="3"/>
      </w:pPr>
      <w:r>
        <w:t>最终结论与人工确认</w:t>
      </w:r>
    </w:p>
    <w:p>
      <w:r>
        <w:t>结论初始为“尚未进行出口判断”。工程师依据上述真实记录填写“满足出口标准”或“未满足出口标准”，写明模块、代码版本、合法配置、实际范围和剩余限制。文档齐全、列表通过或覆盖率数值均不能单独决定结论。</w:t>
      </w:r>
    </w:p>
    <w:p>
      <w:pPr>
        <w:pStyle w:val="3"/>
      </w:pPr>
      <w:r>
        <w:t>交付副本与安全说明</w:t>
      </w:r>
    </w:p>
    <w:p>
      <w:r>
        <w:t>［按 S01–S07 核对必要事项，写接收范围、文件清单、隐藏内容及敏感字段处理。需要加密时记录可读性和完整性检查，口令独立交付。未实际外发或加密时如实说明，不因材料准备完成宣称已发布。］</w:t>
      </w:r>
    </w:p>
    <w:sectPr>
      <w:headerReference w:type="default" r:id="rId9"/>
      <w:footerReference w:type="default" r:id="rId10"/>
      <w:pgSz w:w="11906" w:h="16838"/>
      <w:pgMar w:top="1296" w:right="1296" w:bottom="1296" w:left="1296" w:header="648" w:footer="6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 / 共 </w:t>
    </w:r>
    <w:fldSimple w:instr="NUMPAGES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[项目/模块名称]仿真回归报告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B90CE3"/>
    <w:multiLevelType w:val="singleLevel"/>
    <w:tmpl w:val="27B90CE3"/>
    <w:lvl w:ilvl="0" w:tentative="0">
      <w:start w:val="1"/>
      <w:numFmt w:val="decimal"/>
      <w:pStyle w:val="2"/>
      <w:lvlText w:val="%1"/>
      <w:legacy w:legacy="1" w:legacySpace="0" w:legacyIndent="389"/>
      <w:lvlJc w:val="left"/>
      <w:pPr>
        <w:ind w:left="389" w:hanging="389"/>
      </w:pPr>
      <w:rPr>
        <w:rFonts w:hint="default" w:ascii="Times New Roman" w:hAnsi="Times New Roman"/>
      </w:rPr>
    </w:lvl>
  </w:abstractNum>
  <w:num w:numId="1">
    <w:abstractNumId w:val="0"/>
  </w:num>
  <w:abstractNum w:abstractNumId="1">
    <w:multiLevelType w:val="multilevel"/>
    <w:lvl w:ilvl="0">
      <w:start w:val="1"/>
      <w:numFmt w:val="decimal"/>
      <w:lvlText w:val="%1"/>
      <w:lvlJc w:val="left"/>
      <w:suff w:val="space"/>
    </w:lvl>
    <w:lvl w:ilvl="1">
      <w:start w:val="1"/>
      <w:numFmt w:val="decimal"/>
      <w:lvlText w:val="%1.%2"/>
      <w:lvlJc w:val="left"/>
      <w:suff w:val="space"/>
      <w:lvlRestart w:val="1"/>
    </w:lvl>
    <w:lvl w:ilvl="2">
      <w:start w:val="1"/>
      <w:numFmt w:val="decimal"/>
      <w:lvlText w:val="%1.%2.%3"/>
      <w:lvlJc w:val="left"/>
      <w:suff w:val="space"/>
      <w:lvlRestart w:val="2"/>
    </w:lvl>
    <w:lvl w:ilvl="3">
      <w:start w:val="1"/>
      <w:numFmt w:val="decimal"/>
      <w:lvlText w:val="%1.%2.%3.%4"/>
      <w:lvlJc w:val="left"/>
      <w:suff w:val="space"/>
      <w:lvlRestart w:val="3"/>
    </w:lvl>
  </w:abstract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="Times New Roman"/>
      <w:sz w:val="22"/>
      <w:szCs w:val="22"/>
      <w:lang w:val="en-US" w:eastAsia="en-US" w:bidi="en-US"/>
    </w:rPr>
  </w:style>
  <w:style w:type="paragraph" w:styleId="2">
    <w:name w:val="heading 1"/>
    <w:next w:val="1"/>
    <w:qFormat/>
    <w:uiPriority w:val="0"/>
    <w:pPr>
      <w:keepNext/>
      <w:keepLines/>
      <w:widowControl w:val="0"/>
      <w:autoSpaceDE w:val="0"/>
      <w:autoSpaceDN w:val="0"/>
      <w:adjustRightInd w:val="0"/>
      <w:outlineLvl w:val="0"/>
      <w:numPr>
        <w:ilvl w:val="0"/>
        <w:numId w:val="2"/>
      </w:numPr>
    </w:pPr>
    <w:rPr>
      <w:rFonts w:ascii="宋体" w:hAnsi="Times New Roman" w:eastAsia="宋体" w:cs="Times New Roman"/>
      <w:b/>
      <w:bCs/>
      <w:sz w:val="31"/>
      <w:szCs w:val="31"/>
      <w:lang w:val="en-US" w:eastAsia="en-US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="0" w:afterAutospacing="1"/>
      <w:outlineLvl w:val="1"/>
      <w:keepNext/>
      <w:keepLines/>
      <w:numPr>
        <w:ilvl w:val="1"/>
        <w:numId w:val="2"/>
      </w:numPr>
    </w:pPr>
    <w:rPr>
      <w:rFonts w:hint="eastAsia" w:ascii="宋体" w:hAnsi="宋体"/>
      <w:b/>
      <w:bCs/>
      <w:sz w:val="36"/>
      <w:szCs w:val="36"/>
      <w:lang w:eastAsia="zh-CN" w:bidi="ar-SA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  <w:keepNext/>
      <w:keepLines/>
      <w:numPr>
        <w:ilvl w:val="2"/>
        <w:numId w:val="2"/>
      </w:numPr>
    </w:pPr>
    <w:rPr>
      <w:rFonts w:hint="eastAsia" w:ascii="宋体" w:hAnsi="宋体"/>
      <w:b/>
      <w:bCs/>
      <w:sz w:val="27"/>
      <w:szCs w:val="27"/>
      <w:lang w:eastAsia="zh-CN" w:bidi="ar-SA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="0" w:afterAutospacing="1"/>
      <w:outlineLvl w:val="3"/>
      <w:keepNext/>
      <w:keepLines/>
      <w:numPr>
        <w:ilvl w:val="3"/>
        <w:numId w:val="2"/>
      </w:numPr>
    </w:pPr>
    <w:rPr>
      <w:rFonts w:hint="eastAsia" w:ascii="宋体" w:hAnsi="宋体"/>
      <w:b/>
      <w:bCs/>
      <w:sz w:val="24"/>
      <w:szCs w:val="24"/>
      <w:lang w:eastAsia="zh-CN" w:bidi="ar-SA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next w:val="1"/>
    <w:unhideWhenUsed/>
    <w:qFormat/>
    <w:uiPriority w:val="39"/>
    <w:pPr>
      <w:widowControl w:val="0"/>
      <w:autoSpaceDE w:val="0"/>
      <w:autoSpaceDN w:val="0"/>
      <w:adjustRightInd w:val="0"/>
      <w:ind w:left="840" w:leftChars="40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7">
    <w:name w:val="footer"/>
    <w:unhideWhenUsed/>
    <w:qFormat/>
    <w:uiPriority w:val="99"/>
    <w:pPr>
      <w:widowControl w:val="0"/>
      <w:tabs>
        <w:tab w:val="center" w:pos="4153"/>
        <w:tab w:val="right" w:pos="8306"/>
      </w:tabs>
      <w:autoSpaceDE w:val="0"/>
      <w:autoSpaceDN w:val="0"/>
      <w:adjustRightInd w:val="0"/>
      <w:snapToGrid w:val="0"/>
    </w:pPr>
    <w:rPr>
      <w:rFonts w:ascii="宋体" w:hAnsi="Times New Roman" w:eastAsia="宋体" w:cs="Times New Roman"/>
      <w:sz w:val="18"/>
      <w:szCs w:val="18"/>
      <w:lang w:val="en-US" w:eastAsia="en-US" w:bidi="ar-SA"/>
    </w:rPr>
  </w:style>
  <w:style w:type="paragraph" w:styleId="8">
    <w:name w:val="toc 1"/>
    <w:next w:val="1"/>
    <w:unhideWhenUsed/>
    <w:qFormat/>
    <w:uiPriority w:val="39"/>
    <w:pPr>
      <w:widowControl w:val="0"/>
      <w:autoSpaceDE w:val="0"/>
      <w:autoSpaceDN w:val="0"/>
      <w:adjustRightInd w:val="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9">
    <w:name w:val="toc 2"/>
    <w:next w:val="1"/>
    <w:unhideWhenUsed/>
    <w:qFormat/>
    <w:uiPriority w:val="39"/>
    <w:pPr>
      <w:widowControl w:val="0"/>
      <w:autoSpaceDE w:val="0"/>
      <w:autoSpaceDN w:val="0"/>
      <w:adjustRightInd w:val="0"/>
      <w:ind w:left="420" w:leftChars="20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10">
    <w:name w:val="Normal (Web)"/>
    <w:basedOn w:val="1"/>
    <w:qFormat/>
    <w:uiPriority w:val="0"/>
    <w:rPr>
      <w:sz w:val="24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unhideWhenUsed/>
    <w:qFormat/>
    <w:uiPriority w:val="99"/>
    <w:rPr>
      <w:color w:val="0000FF"/>
      <w:u w:val="single"/>
    </w:rPr>
  </w:style>
  <w:style w:type="character" w:styleId="16">
    <w:name w:val="HTML Code"/>
    <w:basedOn w:val="13"/>
    <w:qFormat/>
    <w:uiPriority w:val="0"/>
    <w:rPr>
      <w:rFonts w:ascii="Courier New" w:hAnsi="Courier New"/>
      <w:sz w:val="20"/>
    </w:rPr>
  </w:style>
  <w:style w:type="paragraph" w:customStyle="1" w:styleId="17">
    <w:name w:val="封面表格文本"/>
    <w:qFormat/>
    <w:uiPriority w:val="0"/>
    <w:pPr>
      <w:widowControl w:val="0"/>
      <w:autoSpaceDE w:val="0"/>
      <w:autoSpaceDN w:val="0"/>
      <w:adjustRightInd w:val="0"/>
      <w:jc w:val="center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18">
    <w:name w:val="封面文档标题"/>
    <w:qFormat/>
    <w:uiPriority w:val="0"/>
    <w:pPr>
      <w:widowControl w:val="0"/>
      <w:autoSpaceDE w:val="0"/>
      <w:autoSpaceDN w:val="0"/>
      <w:adjustRightInd w:val="0"/>
      <w:spacing w:line="360" w:lineRule="auto"/>
      <w:jc w:val="center"/>
    </w:pPr>
    <w:rPr>
      <w:rFonts w:ascii="Arial" w:hAnsi="Arial" w:eastAsia="黑体" w:cs="Times New Roman"/>
      <w:bCs/>
      <w:sz w:val="44"/>
      <w:szCs w:val="44"/>
      <w:lang w:val="en-US" w:eastAsia="zh-CN" w:bidi="ar-SA"/>
    </w:rPr>
  </w:style>
  <w:style w:type="paragraph" w:customStyle="1" w:styleId="19">
    <w:name w:val="修订记录"/>
    <w:qFormat/>
    <w:uiPriority w:val="0"/>
    <w:pPr>
      <w:autoSpaceDE w:val="0"/>
      <w:autoSpaceDN w:val="0"/>
      <w:adjustRightInd w:val="0"/>
      <w:spacing w:before="300" w:after="150" w:line="360" w:lineRule="auto"/>
      <w:jc w:val="center"/>
    </w:pPr>
    <w:rPr>
      <w:rFonts w:ascii="Arial" w:hAnsi="Arial" w:eastAsia="黑体" w:cs="Times New Roman"/>
      <w:sz w:val="32"/>
      <w:szCs w:val="32"/>
      <w:lang w:val="en-US" w:eastAsia="zh-CN" w:bidi="ar-SA"/>
    </w:rPr>
  </w:style>
  <w:style w:type="paragraph" w:customStyle="1" w:styleId="20">
    <w:name w:val="表头样式 Char"/>
    <w:qFormat/>
    <w:uiPriority w:val="0"/>
    <w:pPr>
      <w:widowControl w:val="0"/>
      <w:autoSpaceDE w:val="0"/>
      <w:autoSpaceDN w:val="0"/>
      <w:adjustRightInd w:val="0"/>
      <w:jc w:val="center"/>
    </w:pPr>
    <w:rPr>
      <w:rFonts w:ascii="Arial" w:hAnsi="Arial" w:eastAsia="宋体" w:cs="Times New Roman"/>
      <w:b/>
      <w:sz w:val="21"/>
      <w:szCs w:val="21"/>
      <w:lang w:val="en-US" w:eastAsia="zh-CN" w:bidi="ar-SA"/>
    </w:rPr>
  </w:style>
  <w:style w:type="paragraph" w:customStyle="1" w:styleId="21">
    <w:name w:val="表格文本"/>
    <w:qFormat/>
    <w:uiPriority w:val="0"/>
    <w:pPr>
      <w:widowControl w:val="0"/>
      <w:tabs>
        <w:tab w:val="decimal" w:pos="0"/>
      </w:tabs>
      <w:autoSpaceDE w:val="0"/>
      <w:autoSpaceDN w:val="0"/>
      <w:adjustRightInd w:val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2">
    <w:name w:val="目录"/>
    <w:qFormat/>
    <w:uiPriority w:val="0"/>
    <w:pPr>
      <w:widowControl w:val="0"/>
      <w:autoSpaceDE w:val="0"/>
      <w:autoSpaceDN w:val="0"/>
      <w:spacing w:before="480" w:after="360"/>
      <w:jc w:val="center"/>
    </w:pPr>
    <w:rPr>
      <w:rFonts w:ascii="Arial" w:hAnsi="Arial" w:eastAsia="黑体" w:cs="Times New Roman"/>
      <w:sz w:val="32"/>
      <w:szCs w:val="32"/>
      <w:lang w:val="en-US" w:eastAsia="zh-CN" w:bidi="ar-SA"/>
    </w:rPr>
  </w:style>
  <w:style w:type="paragraph" w:customStyle="1" w:styleId="23">
    <w:name w:val="缺省文本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[项目/模块名称]仿真回归报告</dc:title>
  <dc:subject>模块前端仿真</dc:subject>
  <dc:creator/>
  <cp:keywords/>
  <dc:description/>
  <cp:lastModifiedBy/>
  <cp:revision>1</cp:revision>
  <dcterms:created xsi:type="dcterms:W3CDTF">2026-10-16T00:00:00Z</dcterms:created>
  <dcterms:modified xsi:type="dcterms:W3CDTF">2026-10-16T00:00:00Z</dcterms:modified>
  <cp:category/>
</cp:coreProperties>
</file>