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[项目/模块名称]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>[项目/模块名称]验证方案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>V1.0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[项目填写修订内容]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[确认人]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</w:pPr>
      <w:r>
        <w:t>验证目的</w:t>
      </w:r>
    </w:p>
    <w:p>
      <w:pPr>
        <w:pStyle w:val="3"/>
      </w:pPr>
      <w:r>
        <w:t>对象、范围与输入</w:t>
      </w:r>
    </w:p>
    <w:p>
      <w:r>
        <w:t>填写模块、RTL/TB 标识、接口、实际合法配置和验证目标。逐项列已确认规格及其版本，说明哪些外部对象用模型替代，结论限定在哪个接口和行为范围。规格歧义写具体问题及受影响测试点，不自行补造。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cantSplit/>
          <w:tblHeader/>
        </w:trPr>
        <w:tc>
          <w:tcPr>
            <w:tcW w:type="dxa" w:w="251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记录项</w:t>
            </w:r>
          </w:p>
        </w:tc>
        <w:tc>
          <w:tcPr>
            <w:tcW w:type="dxa" w:w="679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项目填写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模块与仿真顶层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［填写实际名称，核对真实编译对象］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规格及确认版本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［填写编号、版本、确认结果及待确认行为］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接口与单位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［位宽、方向、握手、字节/数据拍、地址及时限单位］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合法配置与约束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［当前交付参数和模式，哪些配置改变路径或容量］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模型与验证范围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［真实 IP、行为模型和 BFM 的边界及限制］</w:t>
            </w:r>
          </w:p>
        </w:tc>
      </w:tr>
      <w:tr>
        <w:trPr>
          <w:cantSplit/>
        </w:trPr>
        <w:tc>
          <w:tcPr>
            <w:tcW w:type="dxa" w:w="2515"/>
            <w:vAlign w:val="top"/>
          </w:tcPr>
          <w:p>
            <w:pPr>
              <w:spacing w:after="60"/>
            </w:pPr>
            <w:r>
              <w:t>输入使用与安全</w:t>
            </w:r>
          </w:p>
        </w:tc>
        <w:tc>
          <w:tcPr>
            <w:tcW w:type="dxa" w:w="6799"/>
            <w:vAlign w:val="top"/>
          </w:tcPr>
          <w:p>
            <w:pPr>
              <w:spacing w:after="60"/>
            </w:pPr>
            <w:r>
              <w:t>［资料使用范围、必要输入、S01/S02 确认］</w:t>
            </w:r>
          </w:p>
        </w:tc>
      </w:tr>
    </w:tbl>
    <w:p>
      <w:pPr>
        <w:spacing w:after="0"/>
      </w:pPr>
    </w:p>
    <w:p>
      <w:pPr>
        <w:pStyle w:val="2"/>
      </w:pPr>
      <w:r>
        <w:t>验证方法</w:t>
      </w:r>
    </w:p>
    <w:p>
      <w:pPr>
        <w:pStyle w:val="3"/>
      </w:pPr>
      <w:r>
        <w:t>测试点分解与用例表单</w:t>
      </w:r>
    </w:p>
    <w:p>
      <w:r>
        <w:t>同一测试点分解表单包含设计规格、测试点、测试用例三个页签。规格对应点，点关联实际用例名称，用例写准备与输入、可执行预期和后续实际结果。此阶段执行结果为未执行，不预填通过。</w:t>
      </w:r>
    </w:p>
    <w:p>
      <w:r>
        <w:t>填写一般功能、边界、等待、并发、复位及异常恢复等适用行为，不为模块增加未支持能力。说明一个点由哪些用例及配置共同支持；一个用例检查多个点时，各点都有独立判据。示例值仅为说明，项目全部替换。</w:t>
      </w:r>
    </w:p>
    <w:p>
      <w:pPr>
        <w:pStyle w:val="3"/>
      </w:pPr>
      <w:r>
        <w:t>定向、随机与可选断言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cantSplit/>
          <w:tblHeader/>
        </w:trPr>
        <w:tc>
          <w:tcPr>
            <w:tcW w:type="dxa" w:w="1490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方法</w:t>
            </w:r>
          </w:p>
        </w:tc>
        <w:tc>
          <w:tcPr>
            <w:tcW w:type="dxa" w:w="400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项目需说明</w:t>
            </w:r>
          </w:p>
        </w:tc>
        <w:tc>
          <w:tcPr>
            <w:tcW w:type="dxa" w:w="381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判断依据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定向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［关键正常、容量/长度边界、等待、复位和错误恢复］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能确定触发目标，预期可解释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合法随机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［适用主功能、随机维度、范围、约束和种子来源］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随机变化影响实际行为，边界不完全靠概率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可选断言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［启用意图、时钟、前提、复位与失败接入］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启用后失败计为用例失败，前提真实发生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独立预期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［参考计算或状态模型、输入来源及手算例子］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不读取待验证输出构造正确值</w:t>
            </w:r>
          </w:p>
        </w:tc>
      </w:tr>
    </w:tbl>
    <w:p>
      <w:pPr>
        <w:spacing w:after="0"/>
      </w:pPr>
    </w:p>
    <w:p>
      <w:pPr>
        <w:pStyle w:val="3"/>
      </w:pPr>
      <w:r>
        <w:t>环境类别及选型</w:t>
      </w:r>
    </w:p>
    <w:p>
      <w:r>
        <w:t>在基础 TB、轻量级 SV、完整 SV／轻量级 UVM 中选择实际适用形式。写明接口、并发、在途关联和复用需求如何支持选择；未采用的形式不用保留空实现。规模小也必须有有效观察、自检查、复位和结束，框架不能代替这些判断。</w:t>
      </w:r>
    </w:p>
    <w:p>
      <w:pPr>
        <w:pStyle w:val="3"/>
      </w:pPr>
      <w:r>
        <w:t>芯片、IP 与模型支持点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cantSplit/>
          <w:tblHeader/>
        </w:trPr>
        <w:tc>
          <w:tcPr>
            <w:tcW w:type="dxa" w:w="1490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支持点</w:t>
            </w:r>
          </w:p>
        </w:tc>
        <w:tc>
          <w:tcPr>
            <w:tcW w:type="dxa" w:w="400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实际采用内容</w:t>
            </w:r>
          </w:p>
        </w:tc>
        <w:tc>
          <w:tcPr>
            <w:tcW w:type="dxa" w:w="381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对本模块的影响或限制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器件/IP 与配置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［系列、版本、位宽、容量及工作模式］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［与实例和合法配置对应］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仿真器与库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［工具版本、语言、库映射及编译顺序］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［兼容性和待确认能力］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初始化文件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［文件、相对位置、字节排列和加载时机］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［缺失诊断及默认值处理］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复位与就绪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［有效电平、忙、校准或就绪条件］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［未就绪不发业务，等待上限依据］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可表达行为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［等待、错误、延迟和状态］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［相应测试点和输入控制组件］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模型边界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［未表达的接口或物理行为］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［本次结论限制及补足办法］</w:t>
            </w:r>
          </w:p>
        </w:tc>
      </w:tr>
    </w:tbl>
    <w:p>
      <w:pPr>
        <w:spacing w:after="0"/>
      </w:pPr>
    </w:p>
    <w:p>
      <w:pPr>
        <w:pStyle w:val="2"/>
      </w:pPr>
      <w:r>
        <w:t>环境组件介绍</w:t>
      </w:r>
    </w:p>
    <w:p>
      <w:pPr>
        <w:pStyle w:val="3"/>
      </w:pPr>
      <w:r>
        <w:t>实际组成</w:t>
      </w:r>
    </w:p>
    <w:p>
      <w:r>
        <w:t>按实际环境填写，可使用任务、过程或类组织，不要求无用层级。每个组件应有明确输入、输出和所有者，不只列名称。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rPr>
          <w:cantSplit/>
          <w:tblHeader/>
        </w:trPr>
        <w:tc>
          <w:tcPr>
            <w:tcW w:type="dxa" w:w="83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组件</w:t>
            </w:r>
          </w:p>
        </w:tc>
        <w:tc>
          <w:tcPr>
            <w:tcW w:type="dxa" w:w="2328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实际职责</w:t>
            </w:r>
          </w:p>
        </w:tc>
        <w:tc>
          <w:tcPr>
            <w:tcW w:type="dxa" w:w="3353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输入与输出</w:t>
            </w:r>
          </w:p>
        </w:tc>
        <w:tc>
          <w:tcPr>
            <w:tcW w:type="dxa" w:w="2794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关联功能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顶层／interface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［连接、时钟复位、驱动方向、采样边界］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［DUT 与模型接口］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Test／激励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［场景、约束和顺序］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［事务计划与控制］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Driver／BFM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［事务转协议、等待、接受和复位］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［对象到真实引脚］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Monitor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［被动观察与稳定快照］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［真实接受到事务］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参考模型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［独立转换与必要状态］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［已接受输入到预期］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Checker／Scoreboard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［关联、比较、残留和错误］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［预期与实际到判断］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  <w:tr>
        <w:trPr>
          <w:cantSplit/>
        </w:trPr>
        <w:tc>
          <w:tcPr>
            <w:tcW w:type="dxa" w:w="838"/>
            <w:vAlign w:val="top"/>
          </w:tcPr>
          <w:p>
            <w:pPr>
              <w:spacing w:after="60"/>
            </w:pPr>
            <w:r>
              <w:t>配置与协调</w:t>
            </w:r>
          </w:p>
        </w:tc>
        <w:tc>
          <w:tcPr>
            <w:tcW w:type="dxa" w:w="2328"/>
            <w:vAlign w:val="top"/>
          </w:tcPr>
          <w:p>
            <w:pPr>
              <w:spacing w:after="60"/>
            </w:pPr>
            <w:r>
              <w:t>［配置、生命周期和结束］</w:t>
            </w:r>
          </w:p>
        </w:tc>
        <w:tc>
          <w:tcPr>
            <w:tcW w:type="dxa" w:w="3353"/>
            <w:vAlign w:val="top"/>
          </w:tcPr>
          <w:p>
            <w:pPr>
              <w:spacing w:after="60"/>
            </w:pPr>
            <w:r>
              <w:t>［有效条件与全局状态］</w:t>
            </w:r>
          </w:p>
        </w:tc>
        <w:tc>
          <w:tcPr>
            <w:tcW w:type="dxa" w:w="2794"/>
            <w:vAlign w:val="top"/>
          </w:tcPr>
          <w:p>
            <w:pPr>
              <w:spacing w:after="60"/>
            </w:pPr>
            <w:r>
              <w:t>［规格或测试点］</w:t>
            </w:r>
          </w:p>
        </w:tc>
      </w:tr>
    </w:tbl>
    <w:p>
      <w:pPr>
        <w:spacing w:after="0"/>
      </w:pPr>
    </w:p>
    <w:p>
      <w:pPr>
        <w:pStyle w:val="2"/>
      </w:pPr>
      <w:r>
        <w:t>环境架构与数据流</w:t>
      </w:r>
    </w:p>
    <w:p>
      <w:pPr>
        <w:pStyle w:val="3"/>
      </w:pPr>
      <w:r>
        <w:t>一笔事务的完整路径</w:t>
      </w:r>
    </w:p>
    <w:p>
      <w:r>
        <w:t>填写输入接受事件、输入 Monitor 发布、参考模型生成预期、预期入队、实际输出重建、事务匹配和比较的先后关系。可插入已确认的工程示意，但文字应独立说明数据来源和 DUT 边界。图示草稿不能替代实际连接设计。</w:t>
      </w:r>
    </w:p>
    <w:p>
      <w:pPr>
        <w:pStyle w:val="3"/>
      </w:pPr>
      <w:r>
        <w:t>数据所有权与并发</w:t>
      </w:r>
    </w:p>
    <w:p>
      <w:r>
        <w:t>［填写每个队列的生产者、消费者、容量、阻塞、复位和排空；事务发布后是否只读，哪些动态内容需要复制；多个接口如何用真实事件协调。］</w:t>
      </w:r>
    </w:p>
    <w:p>
      <w:pPr>
        <w:pStyle w:val="3"/>
      </w:pPr>
      <w:r>
        <w:t>复位与结束关系</w:t>
      </w:r>
    </w:p>
    <w:p>
      <w:r>
        <w:t>［填写已接受、完成、取消和剩余的关系，旧事务如何处理，复位后何时允许新业务；结束时哪些线程与队列必须完成，不使用固定延时替代业务完成。］</w:t>
      </w:r>
    </w:p>
    <w:p>
      <w:pPr>
        <w:pStyle w:val="2"/>
      </w:pPr>
      <w:r>
        <w:t>环境组件功能设计</w:t>
      </w:r>
    </w:p>
    <w:p>
      <w:pPr>
        <w:pStyle w:val="3"/>
      </w:pPr>
      <w:r>
        <w:t>激励与用例</w:t>
      </w:r>
    </w:p>
    <w:p>
      <w:r>
        <w:t>［填写真实入口名称、关键变量含义、控制者和选择原因，合法随机及定向边界怎样生成；随机失败如何上报。公共初始化统一说明，用例仅写差异。］</w:t>
      </w:r>
    </w:p>
    <w:p>
      <w:pPr>
        <w:pStyle w:val="3"/>
      </w:pPr>
      <w:r>
        <w:t>Driver／BFM</w:t>
      </w:r>
    </w:p>
    <w:p>
      <w:r>
        <w:t>［填写驱动时机、接受条件、未接受保持、完成推进、复位中断和超时；外部等待或错误如何合法注入。］</w:t>
      </w:r>
    </w:p>
    <w:p>
      <w:pPr>
        <w:pStyle w:val="3"/>
      </w:pPr>
      <w:r>
        <w:t>Monitor</w:t>
      </w:r>
    </w:p>
    <w:p>
      <w:r>
        <w:t>［填写采样边沿和快照，真实事务起止、有效字节与标识，发布对象所有权，异常和复位片段处理。］</w:t>
      </w:r>
    </w:p>
    <w:p>
      <w:pPr>
        <w:pStyle w:val="3"/>
      </w:pPr>
      <w:r>
        <w:t>参考模型</w:t>
      </w:r>
    </w:p>
    <w:p>
      <w:r>
        <w:t>［填写独立规格变换、字节顺序、符号和位宽，必要状态、配置、取消以及预期去向；给出少量手算例。］</w:t>
      </w:r>
    </w:p>
    <w:p>
      <w:pPr>
        <w:pStyle w:val="3"/>
      </w:pPr>
      <w:r>
        <w:t>比较、断言与诊断</w:t>
      </w:r>
    </w:p>
    <w:p>
      <w:r>
        <w:t>［填写内容、顺序或 ID 匹配、重复和缺失、未知响应、局部时序及失败报告；断言若启用，前提和失败接入明确。］</w:t>
      </w:r>
    </w:p>
    <w:p>
      <w:pPr>
        <w:pStyle w:val="3"/>
      </w:pPr>
      <w:r>
        <w:t>配置、生命周期与结束</w:t>
      </w:r>
    </w:p>
    <w:p>
      <w:r>
        <w:t>［基础 TB 写任务和过程协调；轻量级 SV 写队列和线程；完整 SV 写创建到停止；轻量级 UVM 写实际组件、连接、运行期与 check/report。核对配置生效，结束前排空在途和比较。］</w:t>
      </w:r>
    </w:p>
    <w:p>
      <w:pPr>
        <w:pStyle w:val="3"/>
      </w:pPr>
      <w:r>
        <w:t>检查器自检与实施确认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cantSplit/>
          <w:tblHeader/>
        </w:trPr>
        <w:tc>
          <w:tcPr>
            <w:tcW w:type="dxa" w:w="1490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确认对象</w:t>
            </w:r>
          </w:p>
        </w:tc>
        <w:tc>
          <w:tcPr>
            <w:tcW w:type="dxa" w:w="4005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应有依据</w:t>
            </w:r>
          </w:p>
        </w:tc>
        <w:tc>
          <w:tcPr>
            <w:tcW w:type="dxa" w:w="3819"/>
            <w:vAlign w:val="top"/>
            <w:shd w:fill="DCE6F1"/>
          </w:tcPr>
          <w:p>
            <w:pPr>
              <w:spacing w:after="60"/>
            </w:pPr>
            <w:r>
              <w:rPr>
                <w:b/>
              </w:rPr>
              <w:t>实际结果与确认人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已知正常例子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手算预期与完整数据流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［项目填写，未执行不写通过］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受控错误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关键错误能被检查并进入最终失败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［自检副本、恢复及证据］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生成模板与实际代码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工程师补齐协议、模型和检查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［审查对象、结论、未决项］</w:t>
            </w:r>
          </w:p>
        </w:tc>
      </w:tr>
      <w:tr>
        <w:trPr>
          <w:cantSplit/>
        </w:trPr>
        <w:tc>
          <w:tcPr>
            <w:tcW w:type="dxa" w:w="1490"/>
            <w:vAlign w:val="top"/>
          </w:tcPr>
          <w:p>
            <w:pPr>
              <w:spacing w:after="60"/>
            </w:pPr>
            <w:r>
              <w:t>复位与结束</w:t>
            </w:r>
          </w:p>
        </w:tc>
        <w:tc>
          <w:tcPr>
            <w:tcW w:type="dxa" w:w="4005"/>
            <w:vAlign w:val="top"/>
          </w:tcPr>
          <w:p>
            <w:pPr>
              <w:spacing w:after="60"/>
            </w:pPr>
            <w:r>
              <w:t>取消/保留统一，恢复首笔及残留检查</w:t>
            </w:r>
          </w:p>
        </w:tc>
        <w:tc>
          <w:tcPr>
            <w:tcW w:type="dxa" w:w="3819"/>
            <w:vAlign w:val="top"/>
          </w:tcPr>
          <w:p>
            <w:pPr>
              <w:spacing w:after="60"/>
            </w:pPr>
            <w:r>
              <w:t>［证据及确认人］</w:t>
            </w:r>
          </w:p>
        </w:tc>
      </w:tr>
    </w:tbl>
    <w:p>
      <w:pPr>
        <w:spacing w:after="0"/>
      </w:pPr>
    </w:p>
    <w:p>
      <w:pPr>
        <w:pStyle w:val="2"/>
      </w:pPr>
      <w:r>
        <w:t>用例实例说明</w:t>
      </w:r>
    </w:p>
    <w:p>
      <w:pPr>
        <w:pStyle w:val="3"/>
      </w:pPr>
      <w:r>
        <w:t>代表正常或等待用例</w:t>
      </w:r>
    </w:p>
    <w:p>
      <w:r>
        <w:t>［填写用例名称，测试点编号与内容；为什么选择本例，准备和输入是什么。解释真实接受、建模、输出及比较，不仅粘贴代码。］</w:t>
      </w:r>
    </w:p>
    <w:p>
      <w:pPr>
        <w:pStyle w:val="4"/>
      </w:pPr>
      <w:r>
        <w:t>数据流与观察</w:t>
      </w:r>
    </w:p>
    <w:p>
      <w:r>
        <w:t>［按一笔可解释事务写驱动、接受、预期、实际及匹配；说明等待期间和尾部观察。］</w:t>
      </w:r>
    </w:p>
    <w:p>
      <w:pPr>
        <w:pStyle w:val="4"/>
      </w:pPr>
      <w:r>
        <w:t>可判定现象</w:t>
      </w:r>
    </w:p>
    <w:p>
      <w:r>
        <w:t>［填写内容顺序、有效字节、完成和队列等具体判据；给出可能的失败表现。］</w:t>
      </w:r>
    </w:p>
    <w:p>
      <w:pPr>
        <w:pStyle w:val="3"/>
      </w:pPr>
      <w:r>
        <w:t>代表复位或异常用例</w:t>
      </w:r>
    </w:p>
    <w:p>
      <w:r>
        <w:t>［填写合法触发条件、在途处理、预期错误或取消及恢复首笔，说明与正常例子的实现差异。］</w:t>
      </w:r>
    </w:p>
    <w:p>
      <w:pPr>
        <w:pStyle w:val="3"/>
      </w:pPr>
      <w:r>
        <w:t>工程师确认</w:t>
      </w:r>
    </w:p>
    <w:p>
      <w:r>
        <w:t>［记录工程师初稿、AI 查漏补缺、工程师完善后的结论和未决事项；后续 AI 生成模板，工程师编写环境与用例。涉及 S01–S05 的检查记录在相应小节，不另增审批层级。］</w:t>
      </w:r>
    </w:p>
    <w:sectPr>
      <w:headerReference w:type="default" r:id="rId9"/>
      <w:footerReference w:type="default" r:id="rId10"/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 / 共 </w:t>
    </w:r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[项目/模块名称]验证方案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  <w:abstractNum w:abstractNumId="1">
    <w:multiLevelType w:val="multilevel"/>
    <w:lvl w:ilvl="0">
      <w:start w:val="1"/>
      <w:numFmt w:val="decimal"/>
      <w:lvlText w:val="%1"/>
      <w:lvlJc w:val="left"/>
      <w:suff w:val="space"/>
    </w:lvl>
    <w:lvl w:ilvl="1">
      <w:start w:val="1"/>
      <w:numFmt w:val="decimal"/>
      <w:lvlText w:val="%1.%2"/>
      <w:lvlJc w:val="left"/>
      <w:suff w:val="space"/>
      <w:lvlRestart w:val="1"/>
    </w:lvl>
    <w:lvl w:ilvl="2">
      <w:start w:val="1"/>
      <w:numFmt w:val="decimal"/>
      <w:lvlText w:val="%1.%2.%3"/>
      <w:lvlJc w:val="left"/>
      <w:suff w:val="space"/>
      <w:lvlRestart w:val="2"/>
    </w:lvl>
    <w:lvl w:ilvl="3">
      <w:start w:val="1"/>
      <w:numFmt w:val="decimal"/>
      <w:lvlText w:val="%1.%2.%3.%4"/>
      <w:lvlJc w:val="left"/>
      <w:suff w:val="space"/>
      <w:lvlRestart w:val="3"/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keepNext/>
      <w:keepLines/>
      <w:widowControl w:val="0"/>
      <w:autoSpaceDE w:val="0"/>
      <w:autoSpaceDN w:val="0"/>
      <w:adjustRightInd w:val="0"/>
      <w:outlineLvl w:val="0"/>
      <w:numPr>
        <w:ilvl w:val="0"/>
        <w:numId w:val="2"/>
      </w:numPr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  <w:keepNext/>
      <w:keepLines/>
      <w:numPr>
        <w:ilvl w:val="1"/>
        <w:numId w:val="2"/>
      </w:numPr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  <w:keepNext/>
      <w:keepLines/>
      <w:numPr>
        <w:ilvl w:val="2"/>
        <w:numId w:val="2"/>
      </w:numPr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  <w:keepNext/>
      <w:keepLines/>
      <w:numPr>
        <w:ilvl w:val="3"/>
        <w:numId w:val="2"/>
      </w:numPr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[项目/模块名称]验证方案</dc:title>
  <dc:subject>模块前端仿真</dc:subject>
  <dc:creator/>
  <cp:keywords/>
  <dc:description/>
  <cp:lastModifiedBy/>
  <cp:revision>1</cp:revision>
  <dcterms:created xsi:type="dcterms:W3CDTF">2026-10-16T00:00:00Z</dcterms:created>
  <dcterms:modified xsi:type="dcterms:W3CDTF">2026-10-16T00:00:00Z</dcterms:modified>
  <cp:category/>
</cp:coreProperties>
</file>