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Arial" w:cs="Arial" w:eastAsia="Arial" w:hAnsi="Arial"/>
          <w:b/>
          <w:bCs/>
          <w:color w:val="1F3864"/>
          <w:sz w:val="36"/>
          <w:szCs w:val="36"/>
        </w:rPr>
        <w:t xml:space="preserve">Chapter 12 — Microbially Influenced Corrosion Module (MC-001)</w:t>
      </w:r>
    </w:p>
    <w:p>
      <w:pPr>
        <w:pBdr>
          <w:bottom w:val="single" w:color="1F3864" w:sz="6" w:space="1"/>
        </w:pBdr>
        <w:spacing w:after="240" w:before="0"/>
      </w:pPr>
    </w:p>
    <w:p>
      <w:pPr>
        <w:pStyle w:val="Heading2"/>
        <w:spacing w:after="160" w:before="320"/>
      </w:pPr>
      <w:r>
        <w:rPr>
          <w:rFonts w:ascii="Arial" w:cs="Arial" w:eastAsia="Arial" w:hAnsi="Arial"/>
          <w:b/>
          <w:bCs/>
          <w:color w:val="2E75B6"/>
          <w:sz w:val="28"/>
          <w:szCs w:val="28"/>
        </w:rPr>
        <w:t xml:space="preserve">12.1  Introduction and rationale</w:t>
      </w:r>
    </w:p>
    <w:p>
      <w:pPr>
        <w:spacing w:after="200" w:before="0"/>
        <w:jc w:val="both"/>
      </w:pPr>
      <w:r>
        <w:rPr>
          <w:rFonts w:ascii="Arial" w:cs="Arial" w:eastAsia="Arial" w:hAnsi="Arial"/>
          <w:sz w:val="22"/>
          <w:szCs w:val="22"/>
        </w:rPr>
        <w:t xml:space="preserve">Microbially Influenced Corrosion (MIC) is the third major corrosion mechanism of concern in MEP building services pipework, following galvanic corrosion (addressed by GC-001) and crevice corrosion (addressed by CC-001). MIC occurs when communities of microorganisms establish biofilms on internal pipe surfaces and produce metabolic byproducts that initiate or accelerate metallic corrosion. Unlike the purely electrochemical mechanisms addressed by GC-001 and CC-001, MIC requires a biological precondition — the establishment of a viable microbial community — and is therefore principally governed by the hydrodynamic and thermal conditions of the system rather than by material pairing or joint geometry alone.</w:t>
      </w:r>
    </w:p>
    <w:p>
      <w:pPr>
        <w:spacing w:after="200" w:before="0"/>
        <w:jc w:val="both"/>
      </w:pPr>
      <w:r>
        <w:rPr>
          <w:rFonts w:ascii="Arial" w:cs="Arial" w:eastAsia="Arial" w:hAnsi="Arial"/>
          <w:sz w:val="22"/>
          <w:szCs w:val="22"/>
        </w:rPr>
        <w:t xml:space="preserve">The primary enabling condition for MIC in building services is stagnation. Flowing water continuously removes planktonic microorganisms and the nutrients they require, and imposes shear stresses that prevent biofilm adhesion above certain velocities. Stagnant or very low-flow zones — dead-leg pipework, commissioning water retained in circuits, infrequently used outlets, and fire suppression systems that are designed not to flow — provide the conditions in which biofilms can establish, mature, and produce corrosive conditions. A second enabling condition is temperature: different microbial communities have distinct temperature optima, and the building services temperature ranges that are most common — domestic hot water distributed below 55°C, chilled water at 7–12°C, condenser water at 25–35°C — fall within the growth ranges of the principal MIC organisms encountered in built environment applications.</w:t>
      </w:r>
    </w:p>
    <w:p>
      <w:pPr>
        <w:spacing w:after="200" w:before="0"/>
        <w:jc w:val="both"/>
      </w:pPr>
      <w:r>
        <w:rPr>
          <w:rFonts w:ascii="Arial" w:cs="Arial" w:eastAsia="Arial" w:hAnsi="Arial"/>
          <w:sz w:val="22"/>
          <w:szCs w:val="22"/>
        </w:rPr>
        <w:t xml:space="preserve">The public health dimension of MIC in building services is significant and distinguishes it from the purely structural concerns of GC-001 and CC-001. Legionella pneumophila — the causative agent of Legionnaires' disease — is not a corrosion organism itself, but it colonises the biofilms and corrosion product layers that MIC produces, using them as both physical substrate and nutrient source. A system with active MIC is therefore also a system at elevated Legionella risk. The regulatory framework governing Legionella control in the United Kingdom — CIBSE TM13:2013, HSE HSG274 Parts 1–3, and the Health and Safety at Work Act 1974 — mandates formal risk assessment and documented control measures for defined water systems in non-domestic premises. BIMGUARD AI's MC-001 engine produces the machine-readable risk assessment records that support this regulatory requirement.</w:t>
      </w:r>
    </w:p>
    <w:p>
      <w:pPr>
        <w:pStyle w:val="Heading2"/>
        <w:spacing w:after="160" w:before="320"/>
      </w:pPr>
      <w:r>
        <w:rPr>
          <w:rFonts w:ascii="Arial" w:cs="Arial" w:eastAsia="Arial" w:hAnsi="Arial"/>
          <w:b/>
          <w:bCs/>
          <w:color w:val="2E75B6"/>
          <w:sz w:val="28"/>
          <w:szCs w:val="28"/>
        </w:rPr>
        <w:t xml:space="preserve">12.2  The three MIC organism groups in building services</w:t>
      </w:r>
    </w:p>
    <w:p>
      <w:pPr>
        <w:spacing w:after="200" w:before="0"/>
        <w:jc w:val="both"/>
      </w:pPr>
      <w:r>
        <w:rPr>
          <w:rFonts w:ascii="Arial" w:cs="Arial" w:eastAsia="Arial" w:hAnsi="Arial"/>
          <w:sz w:val="22"/>
          <w:szCs w:val="22"/>
        </w:rPr>
        <w:t xml:space="preserve">Three groups of microorganisms are primarily responsible for MIC in commercial building services applications. Their temperature ranges, flow preferences, and corrosion mechanisms are distinct, but they frequently co-exist in the same biofilm community, producing a complex and synergistic corrosion environment.</w:t>
      </w:r>
    </w:p>
    <w:p>
      <w:pPr>
        <w:pStyle w:val="Heading3"/>
        <w:spacing w:after="120" w:before="240"/>
      </w:pPr>
      <w:r>
        <w:rPr>
          <w:rFonts w:ascii="Arial" w:cs="Arial" w:eastAsia="Arial" w:hAnsi="Arial"/>
          <w:b/>
          <w:bCs/>
          <w:color w:val="333333"/>
          <w:sz w:val="24"/>
          <w:szCs w:val="24"/>
        </w:rPr>
        <w:t xml:space="preserve">12.2.1  Sulphate-reducing bacteria (SRB)</w:t>
      </w:r>
    </w:p>
    <w:p>
      <w:pPr>
        <w:spacing w:after="200" w:before="0"/>
        <w:jc w:val="both"/>
      </w:pPr>
      <w:r>
        <w:rPr>
          <w:rFonts w:ascii="Arial" w:cs="Arial" w:eastAsia="Arial" w:hAnsi="Arial"/>
          <w:sz w:val="22"/>
          <w:szCs w:val="22"/>
        </w:rPr>
        <w:t xml:space="preserve">Sulphate-reducing bacteria are anaerobic organisms that use sulphate (SO₄²⁻) as a terminal electron acceptor in their metabolism, producing hydrogen sulphide (H₂S) as a metabolic byproduct. SRB are obligate or facultative anaerobes, meaning they require oxygen-depleted conditions to function — conditions that are reliably produced in stagnant water zones where dissolved oxygen is consumed by aerobic organisms at the biofilm surface, creating an anaerobic zone at the pipe wall. The hydrogen sulphide produced by SRB reacts directly with iron in carbon steel and cast iron pipe walls, producing iron sulphide (FeS) and causing aggressive pitting corrosion that can penetrate pipe walls in months in severe cases.</w:t>
      </w:r>
    </w:p>
    <w:p>
      <w:pPr>
        <w:spacing w:after="200" w:before="0"/>
        <w:jc w:val="both"/>
      </w:pPr>
      <w:r>
        <w:rPr>
          <w:rFonts w:ascii="Arial" w:cs="Arial" w:eastAsia="Arial" w:hAnsi="Arial"/>
          <w:sz w:val="22"/>
          <w:szCs w:val="22"/>
        </w:rPr>
        <w:t xml:space="preserve">SRB have a mesophilic temperature optimum of 25–35°C and thermophilic strains active to 65°C, placing them in the temperature range of domestic hot water systems operating below design temperature, condenser water systems, and warm plant room environments. They are among the most corrosively significant microorganisms in building services, and their presence in a system can be detected by the characteristic odour of hydrogen sulphide and the black iron sulphide deposits visible on pipe surfaces at inspection.</w:t>
      </w:r>
    </w:p>
    <w:p>
      <w:pPr>
        <w:pStyle w:val="Heading3"/>
        <w:spacing w:after="120" w:before="240"/>
      </w:pPr>
      <w:r>
        <w:rPr>
          <w:rFonts w:ascii="Arial" w:cs="Arial" w:eastAsia="Arial" w:hAnsi="Arial"/>
          <w:b/>
          <w:bCs/>
          <w:color w:val="333333"/>
          <w:sz w:val="24"/>
          <w:szCs w:val="24"/>
        </w:rPr>
        <w:t xml:space="preserve">12.2.2  Iron-oxidising bacteria (IOB)</w:t>
      </w:r>
    </w:p>
    <w:p>
      <w:pPr>
        <w:spacing w:after="200" w:before="0"/>
        <w:jc w:val="both"/>
      </w:pPr>
      <w:r>
        <w:rPr>
          <w:rFonts w:ascii="Arial" w:cs="Arial" w:eastAsia="Arial" w:hAnsi="Arial"/>
          <w:sz w:val="22"/>
          <w:szCs w:val="22"/>
        </w:rPr>
        <w:t xml:space="preserve">Iron-oxidising bacteria are aerobic organisms that obtain energy by oxidising ferrous iron (Fe²⁺) to ferric iron (Fe³⁺). In a carbon steel or cast iron pipe system, they concentrate at the aerobic outer surface of the biofilm, consuming the dissolved iron released by generalised corrosion. The ferric hydroxide they produce forms the characteristic reddish-brown tubercles — concretion deposits — that accumulate on the inner surface of iron pipework and progressively restrict the flow cross-section. More significantly from a corrosion standpoint, the IOB tubercle creates a differential aeration cell: oxygen-rich water on the outside of the tubercle acts as a cathode, while the anoxic zone beneath the tubercle acts as an anode, concentrating corrosion at the pipe wall surface and producing rapid, localised pitting that can produce through-wall perforation while the remainder of the pipe appears relatively unaffected.</w:t>
      </w:r>
    </w:p>
    <w:p>
      <w:pPr>
        <w:pStyle w:val="Heading3"/>
        <w:spacing w:after="120" w:before="240"/>
      </w:pPr>
      <w:r>
        <w:rPr>
          <w:rFonts w:ascii="Arial" w:cs="Arial" w:eastAsia="Arial" w:hAnsi="Arial"/>
          <w:b/>
          <w:bCs/>
          <w:color w:val="333333"/>
          <w:sz w:val="24"/>
          <w:szCs w:val="24"/>
        </w:rPr>
        <w:t xml:space="preserve">12.2.3  Acid-producing bacteria (APB)</w:t>
      </w:r>
    </w:p>
    <w:p>
      <w:pPr>
        <w:spacing w:after="200" w:before="0"/>
        <w:jc w:val="both"/>
      </w:pPr>
      <w:r>
        <w:rPr>
          <w:rFonts w:ascii="Arial" w:cs="Arial" w:eastAsia="Arial" w:hAnsi="Arial"/>
          <w:sz w:val="22"/>
          <w:szCs w:val="22"/>
        </w:rPr>
        <w:t xml:space="preserve">Acid-producing bacteria metabolise organic carbon substrates and excrete organic acids as byproducts. In a building services context, the most significant organic acids produced are acetic, formic, and lactic acids, which lower the local pH within the biofilm to values that can destroy the passive oxide film on stainless steel grades that would otherwise be corrosion-resistant. This is the mechanism by which MIC can initiate crevice corrosion at temperatures significantly below the Critical Crevice Corrosion Temperature determined by ASTM G48 Method B testing — a clean laboratory environment does not reproduce the acid-producing conditions within a mature biofilm, meaning that CCT values represent a conservative estimate of stainless steel corrosion resistance in real building services conditions. The CC-001 engine flags stainless steel elements in stagnant warm-water systems as elevated risk for exactly this reason.</w:t>
      </w:r>
    </w:p>
    <w:p>
      <w:pPr>
        <w:pStyle w:val="Heading2"/>
        <w:spacing w:after="160" w:before="320"/>
      </w:pPr>
      <w:r>
        <w:rPr>
          <w:rFonts w:ascii="Arial" w:cs="Arial" w:eastAsia="Arial" w:hAnsi="Arial"/>
          <w:b/>
          <w:bCs/>
          <w:color w:val="2E75B6"/>
          <w:sz w:val="28"/>
          <w:szCs w:val="28"/>
        </w:rPr>
        <w:t xml:space="preserve">12.3  MC-001 methodology — scoring model</w:t>
      </w:r>
    </w:p>
    <w:p>
      <w:pPr>
        <w:spacing w:after="200" w:before="0"/>
        <w:jc w:val="both"/>
      </w:pPr>
      <w:r>
        <w:rPr>
          <w:rFonts w:ascii="Arial" w:cs="Arial" w:eastAsia="Arial" w:hAnsi="Arial"/>
          <w:sz w:val="22"/>
          <w:szCs w:val="22"/>
        </w:rPr>
        <w:t xml:space="preserve">The MC-001 engine calculates a composite risk score for each assessed pipe element using a four-component weighted model derived from the enabling conditions identified in the literature above. The scoring formula is:</w:t>
      </w:r>
    </w:p>
    <w:p>
      <w:pPr>
        <w:spacing w:after="160" w:before="160"/>
        <w:jc w:val="center"/>
      </w:pPr>
      <w:r>
        <w:rPr>
          <w:rFonts w:ascii="Courier New" w:cs="Courier New" w:eastAsia="Courier New" w:hAnsi="Courier New"/>
          <w:b/>
          <w:bCs/>
          <w:color w:val="1F3864"/>
          <w:sz w:val="22"/>
          <w:szCs w:val="22"/>
        </w:rPr>
        <w:t xml:space="preserve">Score_MC = (0.35 × flow_velocity_risk) + (0.30 × temperature_risk) + (0.25 × dead_leg_risk) + (0.10 × material_susceptibility)</w:t>
      </w:r>
    </w:p>
    <w:p>
      <w:pPr>
        <w:spacing w:after="200" w:before="0"/>
        <w:jc w:val="both"/>
      </w:pPr>
      <w:r>
        <w:rPr>
          <w:rFonts w:ascii="Arial" w:cs="Arial" w:eastAsia="Arial" w:hAnsi="Arial"/>
          <w:sz w:val="22"/>
          <w:szCs w:val="22"/>
        </w:rPr>
        <w:t xml:space="preserve">The base composite score is then multiplied by a system type modifier that reflects the inherent MIC risk of different water service types. The under-insulation corrosion pathway is assessed as an independent risk route — if the under-insulation risk score multiplied by 0.85 exceeds the system-modified base score, the higher value is used as the final composite score. The score is capped at 1.00.</w:t>
      </w:r>
    </w:p>
    <w:p>
      <w:pPr>
        <w:pStyle w:val="Heading3"/>
        <w:spacing w:after="120" w:before="240"/>
      </w:pPr>
      <w:r>
        <w:rPr>
          <w:rFonts w:ascii="Arial" w:cs="Arial" w:eastAsia="Arial" w:hAnsi="Arial"/>
          <w:b/>
          <w:bCs/>
          <w:color w:val="333333"/>
          <w:sz w:val="24"/>
          <w:szCs w:val="24"/>
        </w:rPr>
        <w:t xml:space="preserve">12.3.1  Flow velocity risk (weight: 0.35)</w:t>
      </w:r>
    </w:p>
    <w:p>
      <w:pPr>
        <w:spacing w:after="200" w:before="0"/>
        <w:jc w:val="both"/>
      </w:pPr>
      <w:r>
        <w:rPr>
          <w:rFonts w:ascii="Arial" w:cs="Arial" w:eastAsia="Arial" w:hAnsi="Arial"/>
          <w:sz w:val="22"/>
          <w:szCs w:val="22"/>
        </w:rPr>
        <w:t xml:space="preserve">Flow velocity receives the highest weighting in the MC-001 model because stagnation is the necessary precondition for all three MIC mechanisms. Without stagnation, biofilms cannot establish to a corrosively significant thickness regardless of temperature, material, or system type. Six flow velocity classes are defined, based on the velocity thresholds established in CIBSE TM13:2013 and HSE HSG274 Part 2 for Legionella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600"/>
        <w:gridCol w:w="2426"/>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Velocity (m/s)</w:t>
            </w:r>
          </w:p>
        </w:tc>
        <w:tc>
          <w:tcPr>
            <w:tcW w:type="dxa" w:w="2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score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FV0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Stagnant / dead-leg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A32D2D"/>
                <w:sz w:val="20"/>
                <w:szCs w:val="20"/>
              </w:rPr>
              <w:t xml:space="preserve">1.00</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FV1</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Very low flow</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0.1</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FV2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 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 – 0.3</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0.55</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FV3</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Acceptable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 – 0.6</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FV4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Good 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 – 1.5</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0.10</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FV5</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Turbulent</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1.5</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w:t>
            </w:r>
          </w:p>
        </w:tc>
      </w:tr>
    </w:tbl>
    <w:p>
      <w:pPr>
        <w:spacing w:after="240" w:before="60"/>
        <w:jc w:val="center"/>
      </w:pPr>
      <w:r>
        <w:rPr>
          <w:rFonts w:ascii="Arial" w:cs="Arial" w:eastAsia="Arial" w:hAnsi="Arial"/>
          <w:i/>
          <w:iCs/>
          <w:color w:val="666666"/>
          <w:sz w:val="20"/>
          <w:szCs w:val="20"/>
        </w:rPr>
        <w:t xml:space="preserve">Table 12.1: MC-001 flow velocity risk classes (source: CIBSE TM13:2013 / HSE HSG274 Part 2)</w:t>
      </w:r>
    </w:p>
    <w:p>
      <w:pPr>
        <w:spacing w:after="200" w:before="0"/>
        <w:jc w:val="both"/>
      </w:pPr>
      <w:r>
        <w:rPr>
          <w:rFonts w:ascii="Arial" w:cs="Arial" w:eastAsia="Arial" w:hAnsi="Arial"/>
          <w:sz w:val="22"/>
          <w:szCs w:val="22"/>
        </w:rPr>
        <w:t xml:space="preserve">Flow velocity is read from Pset_PipeSegmentOccurrence.FlowVelocity in the IFC model. Where this property is absent — which is common at LOD 300 — the engine infers velocity from the system type: fire suppression systems are classified FV0 (stagnant by design), domestic hot water secondary return circuits are classified FV3 (design velocity typically 0.3–0.5 m/s), and unclassified systems default to FV2 (conservative).</w:t>
      </w:r>
    </w:p>
    <w:p>
      <w:pPr>
        <w:pStyle w:val="Heading3"/>
        <w:spacing w:after="120" w:before="240"/>
      </w:pPr>
      <w:r>
        <w:rPr>
          <w:rFonts w:ascii="Arial" w:cs="Arial" w:eastAsia="Arial" w:hAnsi="Arial"/>
          <w:b/>
          <w:bCs/>
          <w:color w:val="333333"/>
          <w:sz w:val="24"/>
          <w:szCs w:val="24"/>
        </w:rPr>
        <w:t xml:space="preserve">12.3.2  Temperature risk (weight: 0.30)</w:t>
      </w:r>
    </w:p>
    <w:p>
      <w:pPr>
        <w:spacing w:after="200" w:before="0"/>
        <w:jc w:val="both"/>
      </w:pPr>
      <w:r>
        <w:rPr>
          <w:rFonts w:ascii="Arial" w:cs="Arial" w:eastAsia="Arial" w:hAnsi="Arial"/>
          <w:sz w:val="22"/>
          <w:szCs w:val="22"/>
        </w:rPr>
        <w:t xml:space="preserve">Temperature risk is classified against the biological activity ranges of the three MIC organism groups and the Legionella danger zone established in CIBSE TM13:2013. Five temperature classes are defined:</w:t>
      </w:r>
    </w:p>
    <w:p>
      <w:pPr>
        <w:spacing w:after="200" w:before="0"/>
        <w:jc w:val="both"/>
      </w:pPr>
      <w:r>
        <w:rPr>
          <w:rFonts w:ascii="Arial" w:cs="Arial" w:eastAsia="Arial" w:hAnsi="Arial"/>
          <w:sz w:val="22"/>
          <w:szCs w:val="22"/>
        </w:rPr>
        <w:t xml:space="preserve">The critical temperature class is T2 (25–45°C), which covers the growth optimum of Legionella pneumophila (35–46°C per WHO), the mesophilic SRB optimum (25–35°C), and the APB active range (15–45°C). This class receives the maximum risk score of 1.00. The T4 class (above 55°C) receives a risk score of 0.05 because Legionella is destroyed above 60°C (CIBSE TM13:2013) and SRB are inhibited at sustained high temperatures. The T5 class (temperature unknown) receives a conservative score of 0.65, reflecting the uncertainty risk — a pipe element at unknown temperature in a building services context is more likely to be in the moderate temperature range than at either extreme.</w:t>
      </w:r>
    </w:p>
    <w:p>
      <w:pPr>
        <w:spacing w:after="200" w:before="0"/>
        <w:jc w:val="both"/>
      </w:pPr>
      <w:r>
        <w:rPr>
          <w:rFonts w:ascii="Arial" w:cs="Arial" w:eastAsia="Arial" w:hAnsi="Arial"/>
          <w:sz w:val="22"/>
          <w:szCs w:val="22"/>
        </w:rPr>
        <w:t xml:space="preserve">Operating temperature is read from Pset_PipeSegmentOccurrence.OperatingTemperature or from Pset_ZoneCommon.SetPointTemperature on the containing zone. Where neither is available, the system type is used to assign a default: chilled water defaults to 10°C (T0), domestic hot water defaults to 45°C (T2_DANGER — conservative until confirmed), and condenser water defaults to 30°C (T2_DANGER).</w:t>
      </w:r>
    </w:p>
    <w:p>
      <w:pPr>
        <w:pStyle w:val="Heading3"/>
        <w:spacing w:after="120" w:before="240"/>
      </w:pPr>
      <w:r>
        <w:rPr>
          <w:rFonts w:ascii="Arial" w:cs="Arial" w:eastAsia="Arial" w:hAnsi="Arial"/>
          <w:b/>
          <w:bCs/>
          <w:color w:val="333333"/>
          <w:sz w:val="24"/>
          <w:szCs w:val="24"/>
        </w:rPr>
        <w:t xml:space="preserve">12.3.3  Dead-leg risk (weight: 0.25)</w:t>
      </w:r>
    </w:p>
    <w:p>
      <w:pPr>
        <w:spacing w:after="200" w:before="0"/>
        <w:jc w:val="both"/>
      </w:pPr>
      <w:r>
        <w:rPr>
          <w:rFonts w:ascii="Arial" w:cs="Arial" w:eastAsia="Arial" w:hAnsi="Arial"/>
          <w:sz w:val="22"/>
          <w:szCs w:val="22"/>
        </w:rPr>
        <w:t xml:space="preserve">Dead-leg classification uses the length-to-diameter ratio established in HSE HSG274 Part 2 as the primary metric. A dead-leg is defined as a section of pipework that terminates without a through-flow path — a capped branch, an unused outlet, or an unconnected connection point. The HSE threshold for a potentially significant dead-leg is a length greater than 3× the pipe diameter (3D). Below this threshold, regular flushing through adjacent active sections is typically sufficient to prevent significant stagnation. Above this threshold, dedicated flushing provisions are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30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L/D ratio</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score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DL0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Through-flow — no dead-leg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0.05</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DL1</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Short dead-leg</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3D</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0.30 — below HSE threshold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DL2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 dead-leg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3D – 10D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0.65 — exceeds HSE threshold</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DL3</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Long dead-leg</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10D – 20D</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0.85 — auto-flush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DL4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dead-leg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20D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A32D2D"/>
                <w:sz w:val="20"/>
                <w:szCs w:val="20"/>
              </w:rPr>
              <w:t xml:space="preserve">1.00 — eliminate or shut down</w:t>
            </w:r>
          </w:p>
        </w:tc>
      </w:tr>
    </w:tbl>
    <w:p>
      <w:pPr>
        <w:spacing w:after="240" w:before="60"/>
        <w:jc w:val="center"/>
      </w:pPr>
      <w:r>
        <w:rPr>
          <w:rFonts w:ascii="Arial" w:cs="Arial" w:eastAsia="Arial" w:hAnsi="Arial"/>
          <w:i/>
          <w:iCs/>
          <w:color w:val="666666"/>
          <w:sz w:val="20"/>
          <w:szCs w:val="20"/>
        </w:rPr>
        <w:t xml:space="preserve">Table 12.2: MC-001 dead-leg classification by L/D ratio (source: HSE HSG274 Part 2)</w:t>
      </w:r>
    </w:p>
    <w:p>
      <w:pPr>
        <w:spacing w:after="200" w:before="0"/>
        <w:jc w:val="both"/>
      </w:pPr>
      <w:r>
        <w:rPr>
          <w:rFonts w:ascii="Arial" w:cs="Arial" w:eastAsia="Arial" w:hAnsi="Arial"/>
          <w:sz w:val="22"/>
          <w:szCs w:val="22"/>
        </w:rPr>
        <w:t xml:space="preserve">Dead-leg identification from IFC data requires network topology analysis on the IfcDistributionSystem graph. Each IfcPipeSegment is assessed for connectivity — segments that terminate without connection to an active outlet or return are flagged as potential dead-legs. The dead-leg length is calculated as the cumulative pipe length from the last active junction to the terminal point. Where network topology is incomplete or ambiguous in the IFC model, the engine assigns the DL5_UNKNOWN class with a risk score of 0.50 — a conservative mid-range default that reflects the uncertainty.</w:t>
      </w:r>
    </w:p>
    <w:p>
      <w:pPr>
        <w:pStyle w:val="Heading3"/>
        <w:spacing w:after="120" w:before="240"/>
      </w:pPr>
      <w:r>
        <w:rPr>
          <w:rFonts w:ascii="Arial" w:cs="Arial" w:eastAsia="Arial" w:hAnsi="Arial"/>
          <w:b/>
          <w:bCs/>
          <w:color w:val="333333"/>
          <w:sz w:val="24"/>
          <w:szCs w:val="24"/>
        </w:rPr>
        <w:t xml:space="preserve">12.3.4  Material susceptibility (weight: 0.10)</w:t>
      </w:r>
    </w:p>
    <w:p>
      <w:pPr>
        <w:spacing w:after="200" w:before="0"/>
        <w:jc w:val="both"/>
      </w:pPr>
      <w:r>
        <w:rPr>
          <w:rFonts w:ascii="Arial" w:cs="Arial" w:eastAsia="Arial" w:hAnsi="Arial"/>
          <w:sz w:val="22"/>
          <w:szCs w:val="22"/>
        </w:rPr>
        <w:t xml:space="preserve">Material susceptibility in the MC-001 context reflects the propensity of the pipe material to corrode once a microbial biofilm has established. This is distinct from the material's role in the GC-001 and CC-001 assessments, where it determines electrochemical potential and passive film stability respectively. In MC-001, carbon steel and cast iron are the most susceptible materials because iron is both a structural component of the pipe wall and a direct nutrient for IOB, creating a self-reinforcing corrosion cycle. Copper is assigned low susceptibility because of its inherent antimicrobial properties — copper ion release inhibits biofilm formation, which is why copper has been widely used in domestic plumbing for this reason. Non-metallic materials (CPVC, PVC, HDPE) receive negligible scores because they do not participate in metallic corrosion even when colonised by biofilm.</w:t>
      </w:r>
    </w:p>
    <w:p>
      <w:pPr>
        <w:pStyle w:val="Heading2"/>
        <w:spacing w:after="160" w:before="320"/>
      </w:pPr>
      <w:r>
        <w:rPr>
          <w:rFonts w:ascii="Arial" w:cs="Arial" w:eastAsia="Arial" w:hAnsi="Arial"/>
          <w:b/>
          <w:bCs/>
          <w:color w:val="2E75B6"/>
          <w:sz w:val="28"/>
          <w:szCs w:val="28"/>
        </w:rPr>
        <w:t xml:space="preserve">12.4  System type modifiers</w:t>
      </w:r>
    </w:p>
    <w:p>
      <w:pPr>
        <w:spacing w:after="200" w:before="0"/>
        <w:jc w:val="both"/>
      </w:pPr>
      <w:r>
        <w:rPr>
          <w:rFonts w:ascii="Arial" w:cs="Arial" w:eastAsia="Arial" w:hAnsi="Arial"/>
          <w:sz w:val="22"/>
          <w:szCs w:val="22"/>
        </w:rPr>
        <w:t xml:space="preserve">The system type modifier is applied as a multiplier to the base composite score, reflecting the inherent MIC risk profile of different water service categories. Fire suppression systems receive the highest modifier (1.40) because they are designed for infrequent or zero flow, producing permanent or near-permanent dead-leg conditions throughout the entire distribution network — a condition that no amount of pipe sizing or material specification can fully mitigate. Domestic cold water systems receive a high modifier (1.30) because they are the primary Legionella risk system and are subject to mandatory risk assessment under HSE HSG274. Domestic hot water systems receive 1.25, reflecting the risk of distribution below 55°C.</w:t>
      </w:r>
    </w:p>
    <w:p>
      <w:pPr>
        <w:pStyle w:val="Heading2"/>
        <w:spacing w:after="160" w:before="320"/>
      </w:pPr>
      <w:r>
        <w:rPr>
          <w:rFonts w:ascii="Arial" w:cs="Arial" w:eastAsia="Arial" w:hAnsi="Arial"/>
          <w:b/>
          <w:bCs/>
          <w:color w:val="2E75B6"/>
          <w:sz w:val="28"/>
          <w:szCs w:val="28"/>
        </w:rPr>
        <w:t xml:space="preserve">12.5  Under-insulation corrosion pathway</w:t>
      </w:r>
    </w:p>
    <w:p>
      <w:pPr>
        <w:spacing w:after="200" w:before="0"/>
        <w:jc w:val="both"/>
      </w:pPr>
      <w:r>
        <w:rPr>
          <w:rFonts w:ascii="Arial" w:cs="Arial" w:eastAsia="Arial" w:hAnsi="Arial"/>
          <w:sz w:val="22"/>
          <w:szCs w:val="22"/>
        </w:rPr>
        <w:t xml:space="preserve">Under-insulation corrosion (UIC) is assessed as an independent pathway in MC-001. Damaged or wet thermal insulation creates conditions of trapped moisture, restricted oxygen, and elevated temperature — ideal for SRB and APB colonisation on the outer surface of metallic pipe — while being largely invisible to inspection and maintenance. The UIC risk is assessed separately from the internal flow-condition-based score and the final composite score uses whichever is higher, multiplied by 0.85 to reflect that UIC produces external rather than internal corrosion and its consequences are generally less acute than internal MIC.</w:t>
      </w:r>
    </w:p>
    <w:p>
      <w:pPr>
        <w:spacing w:after="200" w:before="0"/>
        <w:jc w:val="both"/>
      </w:pPr>
      <w:r>
        <w:rPr>
          <w:rFonts w:ascii="Arial" w:cs="Arial" w:eastAsia="Arial" w:hAnsi="Arial"/>
          <w:sz w:val="22"/>
          <w:szCs w:val="22"/>
        </w:rPr>
        <w:t xml:space="preserve">Insulation condition is read from maintenance record property sets where available. Where no condition data is present and insulation is confirmed in the model, the engine defaults to 'unknown' (score 0.35) — a conservative assumption that weathered or aged insulation may have compromised integrity.</w:t>
      </w:r>
    </w:p>
    <w:p>
      <w:pPr>
        <w:pStyle w:val="Heading2"/>
        <w:spacing w:after="160" w:before="320"/>
      </w:pPr>
      <w:r>
        <w:rPr>
          <w:rFonts w:ascii="Arial" w:cs="Arial" w:eastAsia="Arial" w:hAnsi="Arial"/>
          <w:b/>
          <w:bCs/>
          <w:color w:val="2E75B6"/>
          <w:sz w:val="28"/>
          <w:szCs w:val="28"/>
        </w:rPr>
        <w:t xml:space="preserve">12.6  MC-001 risk bands and BCF output</w:t>
      </w:r>
    </w:p>
    <w:p>
      <w:pPr>
        <w:spacing w:after="200" w:before="0"/>
        <w:jc w:val="both"/>
      </w:pPr>
      <w:r>
        <w:rPr>
          <w:rFonts w:ascii="Arial" w:cs="Arial" w:eastAsia="Arial" w:hAnsi="Arial"/>
          <w:sz w:val="22"/>
          <w:szCs w:val="22"/>
        </w:rPr>
        <w:t xml:space="preserve">MC-001 uses four risk bands with different thresholds from GC-001 and CC-001, reflecting the fact that MIC risk in building services context is generally assessed against a more precautionary standard due to the public health implications of Legionella: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13"/>
        <w:gridCol w:w="2813"/>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band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BCF priority</w:t>
            </w:r>
          </w:p>
        </w:tc>
        <w:tc>
          <w:tcPr>
            <w:tcW w:type="dxa" w:w="28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0.25</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BCF</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Asset register record only</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0.25 – 0.50</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w:t>
            </w:r>
          </w:p>
        </w:tc>
        <w:tc>
          <w:tcPr>
            <w:tcW w:type="dxa" w:w="28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Monitoring programme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 – 0.75</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Major</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Remediation within 3 months</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0.75</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color w:val="A32D2D"/>
                <w:sz w:val="20"/>
                <w:szCs w:val="20"/>
              </w:rPr>
              <w:t xml:space="preserve">Critical</w:t>
            </w:r>
          </w:p>
        </w:tc>
        <w:tc>
          <w:tcPr>
            <w:tcW w:type="dxa" w:w="28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Immediate remediation required</w:t>
            </w:r>
          </w:p>
        </w:tc>
      </w:tr>
    </w:tbl>
    <w:p>
      <w:pPr>
        <w:spacing w:after="240" w:before="60"/>
        <w:jc w:val="center"/>
      </w:pPr>
      <w:r>
        <w:rPr>
          <w:rFonts w:ascii="Arial" w:cs="Arial" w:eastAsia="Arial" w:hAnsi="Arial"/>
          <w:i/>
          <w:iCs/>
          <w:color w:val="666666"/>
          <w:sz w:val="20"/>
          <w:szCs w:val="20"/>
        </w:rPr>
        <w:t xml:space="preserve">Table 12.3: MC-001 risk bands (note lower thresholds than GC-001/CC-001 reflecting public health dimension)</w:t>
      </w:r>
    </w:p>
    <w:p>
      <w:pPr>
        <w:pStyle w:val="Heading2"/>
        <w:spacing w:after="160" w:before="320"/>
      </w:pPr>
      <w:r>
        <w:rPr>
          <w:rFonts w:ascii="Arial" w:cs="Arial" w:eastAsia="Arial" w:hAnsi="Arial"/>
          <w:b/>
          <w:bCs/>
          <w:color w:val="2E75B6"/>
          <w:sz w:val="28"/>
          <w:szCs w:val="28"/>
        </w:rPr>
        <w:t xml:space="preserve">12.7  Validation results</w:t>
      </w:r>
    </w:p>
    <w:p>
      <w:pPr>
        <w:spacing w:after="200" w:before="0"/>
        <w:jc w:val="both"/>
      </w:pPr>
      <w:r>
        <w:rPr>
          <w:rFonts w:ascii="Arial" w:cs="Arial" w:eastAsia="Arial" w:hAnsi="Arial"/>
          <w:sz w:val="22"/>
          <w:szCs w:val="22"/>
        </w:rPr>
        <w:t xml:space="preserve">The MC-001 engine was validated against ten designed test scenarios covering the range of expected real-world MIC conditions. The scenarios and results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400"/>
        <w:gridCol w:w="800"/>
        <w:gridCol w:w="16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Carbon steel dead-leg, danger zone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Cold water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Carbon steel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A32D2D"/>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VAL-002</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Fire suppression permanent dead-leg</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Fire supp.</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Carbon steel</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color w:val="A32D2D"/>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Hot water dead-leg at 38°C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Hot water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Carbon steel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A32D2D"/>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VAL-004</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Chilled water, weathered insulation</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Chilled water</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Carbon steel</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0.676</w:t>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Condenser water warm loop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Condenser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Galv. steel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0.831</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A32D2D"/>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VAL-006</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Copper hot water 58°C, short dead-leg</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Hot water</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Copper</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0.241</w:t>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SS316 process, unknown 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SS 316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0.570</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VAL-008</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Copper hot water 62°C, through-flow</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Hot water</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Copper</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0.097</w:t>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VAL-009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CPVC cold water, through-flow, 12°C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Cold water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CPVC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0.127</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VAL-010</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Duplex 2205 hot water, good flow</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Hot water</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Duplex 2205</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0.169</w:t>
            </w:r>
          </w:p>
        </w:tc>
        <w:tc>
          <w:tcPr>
            <w:tcW w:type="dxa" w:w="1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r>
    </w:tbl>
    <w:p>
      <w:pPr>
        <w:spacing w:after="240" w:before="60"/>
        <w:jc w:val="center"/>
      </w:pPr>
      <w:r>
        <w:rPr>
          <w:rFonts w:ascii="Arial" w:cs="Arial" w:eastAsia="Arial" w:hAnsi="Arial"/>
          <w:i/>
          <w:iCs/>
          <w:color w:val="666666"/>
          <w:sz w:val="20"/>
          <w:szCs w:val="20"/>
        </w:rPr>
        <w:t xml:space="preserve">Table 12.4: MC-001 validation results — 10 scenarios, all results consistent with engineering expectation</w:t>
      </w:r>
    </w:p>
    <w:p>
      <w:pPr>
        <w:spacing w:after="200" w:before="0"/>
        <w:jc w:val="both"/>
      </w:pPr>
      <w:r>
        <w:rPr>
          <w:rFonts w:ascii="Arial" w:cs="Arial" w:eastAsia="Arial" w:hAnsi="Arial"/>
          <w:sz w:val="22"/>
          <w:szCs w:val="22"/>
        </w:rPr>
        <w:t xml:space="preserve">All ten scenarios produced results consistent with engineering expectation. The fire suppression system (VAL-002) correctly scores 1.000 Critical, reflecting the fact that fire suppression pipework is by design a permanent dead-leg system with no regular through-flow — the highest-risk configuration in the MC-001 model. The copper hot water system at 62°C with through-flow (VAL-008) correctly scores 0.097 Low, reflecting the combined protective effects of antimicrobial copper, temperature above the Legionella optimum, and adequate flow velocity.</w:t>
      </w:r>
    </w:p>
    <w:p>
      <w:pPr>
        <w:spacing w:after="200" w:before="0"/>
        <w:jc w:val="both"/>
      </w:pPr>
      <w:r>
        <w:rPr>
          <w:rFonts w:ascii="Arial" w:cs="Arial" w:eastAsia="Arial" w:hAnsi="Arial"/>
          <w:sz w:val="22"/>
          <w:szCs w:val="22"/>
        </w:rPr>
        <w:t xml:space="preserve">The SS316 process water element with unknown temperature (VAL-007) scores 0.570 High — a result that warrants attention. The high score is driven by the moderate dead-leg classification (DL2, 6D ratio) and the conservative temperature default applied when temperature data is absent. This demonstrates an important design property of MC-001: the engine fails conservatively when data is missing, ensuring that elements for which the IFC model does not contain adequate operating condition data are flagged for investigation rather than silently passing.</w:t>
      </w:r>
    </w:p>
    <w:p>
      <w:pPr>
        <w:pStyle w:val="Heading2"/>
        <w:spacing w:after="160" w:before="320"/>
      </w:pPr>
      <w:r>
        <w:rPr>
          <w:rFonts w:ascii="Arial" w:cs="Arial" w:eastAsia="Arial" w:hAnsi="Arial"/>
          <w:b/>
          <w:bCs/>
          <w:color w:val="2E75B6"/>
          <w:sz w:val="28"/>
          <w:szCs w:val="28"/>
        </w:rPr>
        <w:t xml:space="preserve">12.8  Integration with GC-001, CC-001, and the combined compliance framework</w:t>
      </w:r>
    </w:p>
    <w:p>
      <w:pPr>
        <w:spacing w:after="200" w:before="0"/>
        <w:jc w:val="both"/>
      </w:pPr>
      <w:r>
        <w:rPr>
          <w:rFonts w:ascii="Arial" w:cs="Arial" w:eastAsia="Arial" w:hAnsi="Arial"/>
          <w:sz w:val="22"/>
          <w:szCs w:val="22"/>
        </w:rPr>
        <w:t xml:space="preserve">MC-001 integrates with the existing BIMGUARD AI compliance framework through the same combined_risk_assessment() function that runs GC-001 and CC-001. The combined risk band for any element is the highest band returned by any of the three engines. MC-001 results are written to a Pset_MICRisk property set on the IFC element, alongside Pset_CorrosionRisk (GC-001) and Pset_CreviceCorrosionRisk (CC-001), creating a complete three-mechanism corrosion compliance record for each assessed element.</w:t>
      </w:r>
    </w:p>
    <w:p>
      <w:pPr>
        <w:spacing w:after="200" w:before="0"/>
        <w:jc w:val="both"/>
      </w:pPr>
      <w:r>
        <w:rPr>
          <w:rFonts w:ascii="Arial" w:cs="Arial" w:eastAsia="Arial" w:hAnsi="Arial"/>
          <w:sz w:val="22"/>
          <w:szCs w:val="22"/>
        </w:rPr>
        <w:t xml:space="preserve">The practical implication of the three-engine combined assessment is that an element can be flagged by any combination of mechanisms — and the mechanisms are genuinely independent. A carbon steel fire suppression pipe in a warm plant room may score: Low on GC-001 (no dissimilar metal contact), Low on CC-001 (butt-welded joints, no crevice geometry), and Critical on MC-001 (permanent dead-leg, danger zone temperature). Without MC-001, this element would appear compliant on a BIMGUARD AI assessment — a significant and potentially dangerous false negative for a system type that is specifically identified as high Legionella risk in HSE HSG274 Part 3.</w:t>
      </w:r>
    </w:p>
    <w:p>
      <w:pPr>
        <w:pStyle w:val="Heading2"/>
        <w:spacing w:after="160" w:before="320"/>
      </w:pPr>
      <w:r>
        <w:rPr>
          <w:rFonts w:ascii="Arial" w:cs="Arial" w:eastAsia="Arial" w:hAnsi="Arial"/>
          <w:b/>
          <w:bCs/>
          <w:color w:val="2E75B6"/>
          <w:sz w:val="28"/>
          <w:szCs w:val="28"/>
        </w:rPr>
        <w:t xml:space="preserve">12.9  Regulatory context and further development</w:t>
      </w:r>
    </w:p>
    <w:p>
      <w:pPr>
        <w:spacing w:after="200" w:before="0"/>
        <w:jc w:val="both"/>
      </w:pPr>
      <w:r>
        <w:rPr>
          <w:rFonts w:ascii="Arial" w:cs="Arial" w:eastAsia="Arial" w:hAnsi="Arial"/>
          <w:sz w:val="22"/>
          <w:szCs w:val="22"/>
        </w:rPr>
        <w:t xml:space="preserve">The MC-001 engine addresses a regulatory compliance gap that is distinct from the general corrosion risk context of GC-001 and CC-001. In the United Kingdom, the Control of Substances Hazardous to Health Regulations 2002 (COSHH) require employers to assess and control the risk of exposure to Legionella bacteria. The approved code of practice L8 (Prevention or Control of Legionellosis) and the associated HSE HSG274 guidance documents specify that a formal, documented Legionella risk assessment must be performed for all water systems in non-domestic premises. BIMGUARD AI's MC-001 output — a structured, standards-referenced, machine-readable risk classification for each identified risk element — provides a defensible foundation for this required assessment at the design stage, before the water system is commissioned.</w:t>
      </w:r>
    </w:p>
    <w:p>
      <w:pPr>
        <w:spacing w:after="200" w:before="0"/>
        <w:jc w:val="both"/>
      </w:pPr>
      <w:r>
        <w:rPr>
          <w:rFonts w:ascii="Arial" w:cs="Arial" w:eastAsia="Arial" w:hAnsi="Arial"/>
          <w:sz w:val="22"/>
          <w:szCs w:val="22"/>
        </w:rPr>
        <w:t xml:space="preserve">Two further development directions are identified for MC-001. The first is a time-since-flush parameter that tracks the interval between flushing events for elements classified as dead-legs or low-flow zones, enabling the risk score to increase progressively with stagnation time. The second is integration with Building Management System data streams, enabling real-time temperature and flow monitoring data to update MC-001 risk scores dynamically throughout the operational lifecycle of the building — transforming the engine from a design-stage compliance tool into a continuous operational risk monitor.</w:t>
      </w:r>
    </w:p>
    <w:p>
      <w:pPr>
        <w:pStyle w:val="Heading2"/>
        <w:spacing w:after="160" w:before="320"/>
      </w:pPr>
      <w:r>
        <w:rPr>
          <w:rFonts w:ascii="Arial" w:cs="Arial" w:eastAsia="Arial" w:hAnsi="Arial"/>
          <w:b/>
          <w:bCs/>
          <w:color w:val="2E75B6"/>
          <w:sz w:val="28"/>
          <w:szCs w:val="28"/>
        </w:rPr>
        <w:t xml:space="preserve">12.10  Key finding — fire suppression systems</w:t>
      </w:r>
    </w:p>
    <w:p>
      <w:pPr>
        <w:spacing w:after="200" w:before="0"/>
        <w:jc w:val="both"/>
      </w:pPr>
      <w:r>
        <w:rPr>
          <w:rFonts w:ascii="Arial" w:cs="Arial" w:eastAsia="Arial" w:hAnsi="Arial"/>
          <w:sz w:val="22"/>
          <w:szCs w:val="22"/>
        </w:rPr>
        <w:t xml:space="preserve">The most academically significant finding from MC-001 validation is the consistently Critical classification of fire suppression systems. These systems are present in virtually every commercial building, are installed in carbon steel pipework as standard, contain water that does not flow under normal conditions, and in a heated building environment are typically at temperatures between 15°C and 30°C — within the MIC danger zone for both SRB and Legionella. HSE HSG274 Part 3 explicitly identifies fire suppression systems as a Legionella risk and requires them to be included in the building's Legionella risk assessment. BIMGUARD AI's MC-001 engine automates this identification from IFC data, ensuring that fire suppression pipework is never inadvertently excluded from the compliance assessment because it falls outside the usual MEP coordination discipline boundary.</w:t>
      </w:r>
    </w:p>
    <w:p>
      <w:pPr>
        <w:spacing w:after="200" w:before="0"/>
        <w:jc w:val="both"/>
      </w:pPr>
      <w:r>
        <w:rPr>
          <w:rFonts w:ascii="Arial" w:cs="Arial" w:eastAsia="Arial" w:hAnsi="Arial"/>
          <w:sz w:val="22"/>
          <w:szCs w:val="22"/>
        </w:rPr>
        <w:t xml:space="preserve">This finding also illustrates a key limitation of single-mechanism corrosion checking. GC-001 will not flag a fire suppression system in standard carbon steel pipework because steel-on-steel presents no galvanic risk. CC-001 will not flag it because butt-welded carbon steel joints do not present significant crevice geometry. It is only MC-001 that correctly identifies the fire suppression system as the highest MIC risk element type in a typical commercial building — and it does so from the combination of system type classification, flow velocity inference, and temperature assignment that together constitute the characteristic signature of this system type in any IFC model.</w:t>
      </w:r>
    </w:p>
    <w:p>
      <w:pPr>
        <w:spacing w:after="0" w:before="0"/>
      </w:pPr>
      <w:r>
        <w:br w:type="pag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120"/>
    </w:pPr>
    <w:r>
      <w:rPr>
        <w:rFonts w:ascii="Arial" w:cs="Arial" w:eastAsia="Arial" w:hAnsi="Arial"/>
        <w:color w:val="666666"/>
        <w:sz w:val="16"/>
        <w:szCs w:val="16"/>
      </w:rPr>
      <w:t xml:space="preserve">Masters in BIM Management | Group 5 | Zigurat Global Institute of Technology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spacing w:after="120"/>
    </w:pPr>
    <w:r>
      <w:rPr>
        <w:rFonts w:ascii="Arial" w:cs="Arial" w:eastAsia="Arial" w:hAnsi="Arial"/>
        <w:color w:val="666666"/>
        <w:sz w:val="18"/>
        <w:szCs w:val="18"/>
      </w:rPr>
      <w:t xml:space="preserve">BIMGUARD AI — Chapter 12: MC-001 Microbially Influenced Corrosion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2026-04-08T18:31:11.187Z</dcterms:created>
  <dcterms:modified xsi:type="dcterms:W3CDTF">2026-04-08T18:31:11.188Z</dcterms:modified>
</cp:coreProperties>
</file>

<file path=docProps/custom.xml><?xml version="1.0" encoding="utf-8"?>
<Properties xmlns="http://schemas.openxmlformats.org/officeDocument/2006/custom-properties" xmlns:vt="http://schemas.openxmlformats.org/officeDocument/2006/docPropsVTypes"/>
</file>