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pPr>
      <w:r>
        <w:rPr>
          <w:rFonts w:ascii="Arial" w:cs="Arial" w:eastAsia="Arial" w:hAnsi="Arial"/>
          <w:sz w:val="22"/>
          <w:szCs w:val="22"/>
        </w:rPr>
        <w:t xml:space="preserve"/>
      </w:r>
    </w:p>
    <w:p>
      <w:pPr>
        <w:spacing w:after="160" w:before="0"/>
        <w:jc w:val="center"/>
      </w:pPr>
      <w:r>
        <w:rPr>
          <w:rFonts w:ascii="Arial" w:cs="Arial" w:eastAsia="Arial" w:hAnsi="Arial"/>
          <w:b/>
          <w:bCs/>
          <w:color w:val="1F3864"/>
          <w:sz w:val="72"/>
          <w:szCs w:val="72"/>
        </w:rPr>
        <w:t xml:space="preserve">BIMGUARD AI</w:t>
      </w:r>
    </w:p>
    <w:p>
      <w:pPr>
        <w:spacing w:after="600" w:before="0"/>
        <w:jc w:val="center"/>
      </w:pPr>
      <w:r>
        <w:rPr>
          <w:rFonts w:ascii="Arial" w:cs="Arial" w:eastAsia="Arial" w:hAnsi="Arial"/>
          <w:i/>
          <w:iCs/>
          <w:color w:val="2E75B6"/>
          <w:sz w:val="32"/>
          <w:szCs w:val="32"/>
        </w:rPr>
        <w:t xml:space="preserve">Automated BIM Corrosion Compliance Checker</w:t>
      </w:r>
    </w:p>
    <w:p>
      <w:pPr>
        <w:pBdr>
          <w:bottom w:val="single" w:color="1F3864" w:sz="6" w:space="1"/>
        </w:pBdr>
        <w:spacing w:after="240" w:before="0"/>
      </w:pPr>
    </w:p>
    <w:p>
      <w:pPr>
        <w:spacing w:after="240" w:before="240"/>
      </w:pPr>
      <w:r>
        <w:rPr>
          <w:rFonts w:ascii="Arial" w:cs="Arial" w:eastAsia="Arial" w:hAnsi="Arial"/>
          <w:sz w:val="22"/>
          <w:szCs w:val="22"/>
        </w:rPr>
        <w:t xml:space="preserve"/>
      </w:r>
    </w:p>
    <w:p>
      <w:pPr>
        <w:spacing w:after="160" w:before="0"/>
        <w:jc w:val="center"/>
      </w:pPr>
      <w:r>
        <w:rPr>
          <w:rFonts w:ascii="Arial" w:cs="Arial" w:eastAsia="Arial" w:hAnsi="Arial"/>
          <w:b/>
          <w:bCs/>
          <w:color w:val="1F3864"/>
          <w:sz w:val="36"/>
          <w:szCs w:val="36"/>
        </w:rPr>
        <w:t xml:space="preserve">Final Master Project</w:t>
      </w:r>
    </w:p>
    <w:p>
      <w:pPr>
        <w:spacing w:after="80" w:before="0"/>
        <w:jc w:val="center"/>
      </w:pPr>
      <w:r>
        <w:rPr>
          <w:rFonts w:ascii="Arial" w:cs="Arial" w:eastAsia="Arial" w:hAnsi="Arial"/>
          <w:color w:val="666666"/>
          <w:sz w:val="28"/>
          <w:szCs w:val="28"/>
        </w:rPr>
        <w:t xml:space="preserve">Masters in BIM Management</w:t>
      </w:r>
    </w:p>
    <w:p>
      <w:pPr>
        <w:spacing w:after="80" w:before="0"/>
        <w:jc w:val="center"/>
      </w:pPr>
      <w:r>
        <w:rPr>
          <w:rFonts w:ascii="Arial" w:cs="Arial" w:eastAsia="Arial" w:hAnsi="Arial"/>
          <w:color w:val="666666"/>
          <w:sz w:val="28"/>
          <w:szCs w:val="28"/>
        </w:rPr>
        <w:t xml:space="preserve">Zigurat Global Institute of Technology</w:t>
      </w:r>
    </w:p>
    <w:p>
      <w:pPr>
        <w:spacing w:after="600" w:before="0"/>
        <w:jc w:val="center"/>
      </w:pPr>
      <w:r>
        <w:rPr>
          <w:rFonts w:ascii="Arial" w:cs="Arial" w:eastAsia="Arial" w:hAnsi="Arial"/>
          <w:b/>
          <w:bCs/>
          <w:color w:val="1F3864"/>
          <w:sz w:val="28"/>
          <w:szCs w:val="28"/>
        </w:rPr>
        <w:t xml:space="preserve">Group 5</w:t>
      </w:r>
    </w:p>
    <w:p>
      <w:pPr>
        <w:pBdr>
          <w:bottom w:val="single" w:color="BFBFBF" w:sz="2" w:space="1"/>
        </w:pBdr>
        <w:spacing w:after="120" w:before="120"/>
      </w:pPr>
    </w:p>
    <w:p>
      <w:pPr>
        <w:spacing w:after="80" w:before="240"/>
      </w:pPr>
      <w:r>
        <w:rPr>
          <w:rFonts w:ascii="Arial" w:cs="Arial" w:eastAsia="Arial" w:hAnsi="Arial"/>
          <w:sz w:val="22"/>
          <w:szCs w:val="22"/>
        </w:rPr>
        <w:t xml:space="preserve"/>
      </w:r>
    </w:p>
    <w:p>
      <w:pPr>
        <w:spacing w:after="80" w:before="0"/>
        <w:jc w:val="center"/>
      </w:pPr>
      <w:r>
        <w:rPr>
          <w:rFonts w:ascii="Arial" w:cs="Arial" w:eastAsia="Arial" w:hAnsi="Arial"/>
          <w:color w:val="666666"/>
          <w:sz w:val="20"/>
          <w:szCs w:val="20"/>
        </w:rPr>
        <w:t xml:space="preserve">Methodology: OpenBIM  |  IFC (ISO 16739-1)  |  BCF 2.1  |  ISO 19650</w:t>
      </w:r>
    </w:p>
    <w:p>
      <w:pPr>
        <w:spacing w:after="80" w:before="0"/>
        <w:jc w:val="center"/>
      </w:pPr>
      <w:r>
        <w:rPr>
          <w:rFonts w:ascii="Arial" w:cs="Arial" w:eastAsia="Arial" w:hAnsi="Arial"/>
          <w:color w:val="666666"/>
          <w:sz w:val="20"/>
          <w:szCs w:val="20"/>
        </w:rPr>
        <w:t xml:space="preserve">Corrosion Engines: GC-001 (Galvanic)  |  CC-001 (Crevice)</w:t>
      </w:r>
    </w:p>
    <w:p>
      <w:pPr>
        <w:spacing w:after="0" w:before="0"/>
        <w:jc w:val="center"/>
      </w:pPr>
      <w:r>
        <w:rPr>
          <w:rFonts w:ascii="Arial" w:cs="Arial" w:eastAsia="Arial" w:hAnsi="Arial"/>
          <w:color w:val="666666"/>
          <w:sz w:val="20"/>
          <w:szCs w:val="20"/>
        </w:rPr>
        <w:t xml:space="preserve">Platform: Python  |  Streamlit  |  ifcopenshell</w:t>
      </w:r>
    </w:p>
    <w:p>
      <w:pPr>
        <w:spacing w:after="0" w:before="0"/>
      </w:pPr>
      <w:r>
        <w:br w:type="page"/>
      </w:r>
    </w:p>
    <w:p>
      <w:pPr>
        <w:pStyle w:val="Heading1"/>
        <w:spacing w:after="240" w:before="480"/>
      </w:pPr>
      <w:r>
        <w:rPr>
          <w:rFonts w:ascii="Arial" w:cs="Arial" w:eastAsia="Arial" w:hAnsi="Arial"/>
          <w:b/>
          <w:bCs/>
          <w:color w:val="1F3864"/>
          <w:sz w:val="36"/>
          <w:szCs w:val="36"/>
        </w:rPr>
        <w:t xml:space="preserve">Abstract</w:t>
      </w:r>
    </w:p>
    <w:p>
      <w:pPr>
        <w:pBdr>
          <w:bottom w:val="single" w:color="1F3864" w:sz="6" w:space="1"/>
        </w:pBdr>
        <w:spacing w:after="240" w:before="0"/>
      </w:pPr>
    </w:p>
    <w:p>
      <w:pPr>
        <w:spacing w:after="200" w:before="0"/>
        <w:jc w:val="both"/>
      </w:pPr>
      <w:r>
        <w:rPr>
          <w:rFonts w:ascii="Arial" w:cs="Arial" w:eastAsia="Arial" w:hAnsi="Arial"/>
          <w:sz w:val="22"/>
          <w:szCs w:val="22"/>
        </w:rPr>
        <w:t xml:space="preserve">The built environment faces a significant and underaddressed risk from corrosion in Mechanical, Electrical, and Plumbing (MEP) building services. Corrosion failures — particularly galvanic corrosion arising from dissimilar metal contact and crevice corrosion at joint interfaces — are among the leading causes of premature pipe failure, water ingress, and costly remediation in commercial and industrial buildings. Despite widespread adoption of Building Information Modelling (BIM), existing coordination tools provide no automated mechanism for detecting corrosion risk during design, when intervention is least expensive.</w:t>
      </w:r>
    </w:p>
    <w:p>
      <w:pPr>
        <w:spacing w:after="200" w:before="0"/>
        <w:jc w:val="both"/>
      </w:pPr>
      <w:r>
        <w:rPr>
          <w:rFonts w:ascii="Arial" w:cs="Arial" w:eastAsia="Arial" w:hAnsi="Arial"/>
          <w:sz w:val="22"/>
          <w:szCs w:val="22"/>
        </w:rPr>
        <w:t xml:space="preserve">This thesis presents BIMGUARD AI, an OpenBIM automated compliance checking application that reads Industry Foundation Classes (IFC) files — the vendor-neutral open standard defined in ISO 16739-1 — and applies two engineered compliance engines to detect corrosion risk in MEP services before construction commences. The first engine, GC-001, implements galvanic corrosion compliance checking based on NASA-STD-6012 voltage thresholds and a 22-material electrochemical potential table. The second engine, CC-001, implements crevice corrosion checking based on EN ISO 15329:2007 wetting classifications and Critical Crevice Corrosion Temperature (CCT) values from ASTM G48 Method B and CIRIA C692.</w:t>
      </w:r>
    </w:p>
    <w:p>
      <w:pPr>
        <w:spacing w:after="200" w:before="0"/>
        <w:jc w:val="both"/>
      </w:pPr>
      <w:r>
        <w:rPr>
          <w:rFonts w:ascii="Arial" w:cs="Arial" w:eastAsia="Arial" w:hAnsi="Arial"/>
          <w:sz w:val="22"/>
          <w:szCs w:val="22"/>
        </w:rPr>
        <w:t xml:space="preserve">Both engines produce a weighted composite risk score on a continuous 0–1 scale with four risk bands. Issue output is generated in BCF 2.1 format, enabling direct integration with all OpenBIM authoring platforms without proprietary plugins. Validation testing on a 25-element synthetic MEP dataset produced 9 Critical, 7 High, and 9 Medium risk issues, an estimated cost impact of £170,600, and a projected programme delay of 162 working days. The key validated finding — that SS316 stainless steel flanges in a pool plant room environment score 0.00 on galvanic risk but 0.89 (Critical) on crevice risk — demonstrates the necessity of the dual-engine approach.</w:t>
      </w:r>
    </w:p>
    <w:p>
      <w:pPr>
        <w:spacing w:after="200" w:before="0"/>
        <w:jc w:val="both"/>
      </w:pPr>
      <w:r>
        <w:rPr>
          <w:rFonts w:ascii="Arial" w:cs="Arial" w:eastAsia="Arial" w:hAnsi="Arial"/>
          <w:sz w:val="22"/>
          <w:szCs w:val="22"/>
        </w:rPr>
        <w:t xml:space="preserve">The OpenBIM architectural decision, using IFC as the sole input and BCF as the sole output, ensures BIMGUARD AI is compatible with any BIM authoring environment and applicable across all project disciplines.</w:t>
      </w:r>
    </w:p>
    <w:p>
      <w:pPr>
        <w:spacing w:after="120" w:before="240"/>
      </w:pPr>
      <w:r>
        <w:rPr>
          <w:rFonts w:ascii="Arial" w:cs="Arial" w:eastAsia="Arial" w:hAnsi="Arial"/>
          <w:sz w:val="22"/>
          <w:szCs w:val="22"/>
        </w:rPr>
        <w:t xml:space="preserve"/>
      </w:r>
    </w:p>
    <w:p>
      <w:pPr>
        <w:spacing w:after="200" w:before="0"/>
      </w:pPr>
      <w:r>
        <w:rPr>
          <w:rFonts w:ascii="Arial" w:cs="Arial" w:eastAsia="Arial" w:hAnsi="Arial"/>
          <w:b/>
          <w:bCs/>
          <w:sz w:val="22"/>
          <w:szCs w:val="22"/>
        </w:rPr>
        <w:t xml:space="preserve">Keywords: </w:t>
      </w:r>
      <w:r>
        <w:rPr>
          <w:rFonts w:ascii="Arial" w:cs="Arial" w:eastAsia="Arial" w:hAnsi="Arial"/>
          <w:i/>
          <w:iCs/>
          <w:sz w:val="22"/>
          <w:szCs w:val="22"/>
        </w:rPr>
        <w:t xml:space="preserve">BIM compliance checking, corrosion risk, galvanic corrosion, crevice corrosion, IFC, OpenBIM, BCF 2.1, MEP coordination, automated rule checking, ISO 19650</w:t>
      </w:r>
    </w:p>
    <w:p>
      <w:pPr>
        <w:spacing w:after="0" w:before="0"/>
      </w:pPr>
      <w:r>
        <w:br w:type="page"/>
      </w:r>
    </w:p>
    <w:p>
      <w:pPr>
        <w:pStyle w:val="Heading1"/>
        <w:spacing w:after="240" w:before="480"/>
      </w:pPr>
      <w:r>
        <w:rPr>
          <w:rFonts w:ascii="Arial" w:cs="Arial" w:eastAsia="Arial" w:hAnsi="Arial"/>
          <w:b/>
          <w:bCs/>
          <w:color w:val="1F3864"/>
          <w:sz w:val="36"/>
          <w:szCs w:val="36"/>
        </w:rPr>
        <w:t xml:space="preserve">Table of Contents</w:t>
      </w:r>
    </w:p>
    <w:p>
      <w:pPr>
        <w:pBdr>
          <w:bottom w:val="single" w:color="1F3864" w:sz="6" w:space="1"/>
        </w:pBdr>
        <w:spacing w:after="240" w:before="0"/>
      </w:pPr>
    </w:p>
    <w:p>
      <w:pPr>
        <w:spacing w:after="200" w:before="0"/>
        <w:jc w:val="both"/>
      </w:pPr>
      <w:r>
        <w:rPr>
          <w:rFonts w:ascii="Arial" w:cs="Arial" w:eastAsia="Arial" w:hAnsi="Arial"/>
          <w:sz w:val="22"/>
          <w:szCs w:val="22"/>
        </w:rPr>
        <w:t xml:space="preserve">Abstract ........................................................................................................... i</w:t>
      </w:r>
    </w:p>
    <w:p>
      <w:pPr>
        <w:spacing w:after="200" w:before="0"/>
        <w:jc w:val="both"/>
      </w:pPr>
      <w:r>
        <w:rPr>
          <w:rFonts w:ascii="Arial" w:cs="Arial" w:eastAsia="Arial" w:hAnsi="Arial"/>
          <w:sz w:val="22"/>
          <w:szCs w:val="22"/>
        </w:rPr>
        <w:t xml:space="preserve">Table of Contents .............................................................................................. ii</w:t>
      </w:r>
    </w:p>
    <w:p>
      <w:pPr>
        <w:spacing w:after="200" w:before="0"/>
        <w:jc w:val="both"/>
      </w:pPr>
      <w:r>
        <w:rPr>
          <w:rFonts w:ascii="Arial" w:cs="Arial" w:eastAsia="Arial" w:hAnsi="Arial"/>
          <w:sz w:val="22"/>
          <w:szCs w:val="22"/>
        </w:rPr>
        <w:t xml:space="preserve">List of Tables ................................................................................................... iii</w:t>
      </w:r>
    </w:p>
    <w:p>
      <w:pPr>
        <w:spacing w:after="200" w:before="0"/>
        <w:jc w:val="both"/>
      </w:pPr>
      <w:r>
        <w:rPr>
          <w:rFonts w:ascii="Arial" w:cs="Arial" w:eastAsia="Arial" w:hAnsi="Arial"/>
          <w:sz w:val="22"/>
          <w:szCs w:val="22"/>
        </w:rPr>
        <w:t xml:space="preserve">List of Abbreviations ......................................................................................... iv</w:t>
      </w:r>
    </w:p>
    <w:p>
      <w:pPr>
        <w:spacing w:after="120" w:before="120"/>
      </w:pPr>
      <w:r>
        <w:rPr>
          <w:rFonts w:ascii="Arial" w:cs="Arial" w:eastAsia="Arial" w:hAnsi="Arial"/>
          <w:sz w:val="22"/>
          <w:szCs w:val="22"/>
        </w:rPr>
        <w:t xml:space="preserve"/>
      </w:r>
    </w:p>
    <w:p>
      <w:pPr>
        <w:spacing w:after="200" w:before="0"/>
        <w:jc w:val="both"/>
      </w:pPr>
      <w:r>
        <w:rPr>
          <w:rFonts w:ascii="Arial" w:cs="Arial" w:eastAsia="Arial" w:hAnsi="Arial"/>
          <w:b/>
          <w:bCs/>
          <w:sz w:val="22"/>
          <w:szCs w:val="22"/>
        </w:rPr>
        <w:t xml:space="preserve">Chapter 1. </w:t>
      </w:r>
      <w:r>
        <w:rPr>
          <w:rFonts w:ascii="Arial" w:cs="Arial" w:eastAsia="Arial" w:hAnsi="Arial"/>
          <w:sz w:val="22"/>
          <w:szCs w:val="22"/>
        </w:rPr>
        <w:t xml:space="preserve">Introduction ............................................................................................  1</w:t>
      </w:r>
    </w:p>
    <w:p>
      <w:pPr>
        <w:spacing w:after="200" w:before="0"/>
        <w:jc w:val="both"/>
      </w:pPr>
      <w:r>
        <w:rPr>
          <w:rFonts w:ascii="Arial" w:cs="Arial" w:eastAsia="Arial" w:hAnsi="Arial"/>
          <w:sz w:val="22"/>
          <w:szCs w:val="22"/>
        </w:rPr>
        <w:t xml:space="preserve">  1.1  Background and Context .............................................................................  1</w:t>
      </w:r>
    </w:p>
    <w:p>
      <w:pPr>
        <w:spacing w:after="200" w:before="0"/>
        <w:jc w:val="both"/>
      </w:pPr>
      <w:r>
        <w:rPr>
          <w:rFonts w:ascii="Arial" w:cs="Arial" w:eastAsia="Arial" w:hAnsi="Arial"/>
          <w:sz w:val="22"/>
          <w:szCs w:val="22"/>
        </w:rPr>
        <w:t xml:space="preserve">  1.2  Research Questions ...................................................................................  2</w:t>
      </w:r>
    </w:p>
    <w:p>
      <w:pPr>
        <w:spacing w:after="200" w:before="0"/>
        <w:jc w:val="both"/>
      </w:pPr>
      <w:r>
        <w:rPr>
          <w:rFonts w:ascii="Arial" w:cs="Arial" w:eastAsia="Arial" w:hAnsi="Arial"/>
          <w:sz w:val="22"/>
          <w:szCs w:val="22"/>
        </w:rPr>
        <w:t xml:space="preserve">  1.3  Project Scope ..........................................................................................  2</w:t>
      </w:r>
    </w:p>
    <w:p>
      <w:pPr>
        <w:spacing w:after="200" w:before="0"/>
        <w:jc w:val="both"/>
      </w:pPr>
      <w:r>
        <w:rPr>
          <w:rFonts w:ascii="Arial" w:cs="Arial" w:eastAsia="Arial" w:hAnsi="Arial"/>
          <w:sz w:val="22"/>
          <w:szCs w:val="22"/>
        </w:rPr>
        <w:t xml:space="preserve">  1.4  Methodology Overview ................................................................................  3</w:t>
      </w:r>
    </w:p>
    <w:p>
      <w:pPr>
        <w:spacing w:after="80" w:before="80"/>
      </w:pPr>
      <w:r>
        <w:rPr>
          <w:rFonts w:ascii="Arial" w:cs="Arial" w:eastAsia="Arial" w:hAnsi="Arial"/>
          <w:sz w:val="22"/>
          <w:szCs w:val="22"/>
        </w:rPr>
        <w:t xml:space="preserve"/>
      </w:r>
    </w:p>
    <w:p>
      <w:pPr>
        <w:spacing w:after="200" w:before="0"/>
        <w:jc w:val="both"/>
      </w:pPr>
      <w:r>
        <w:rPr>
          <w:rFonts w:ascii="Arial" w:cs="Arial" w:eastAsia="Arial" w:hAnsi="Arial"/>
          <w:b/>
          <w:bCs/>
          <w:sz w:val="22"/>
          <w:szCs w:val="22"/>
        </w:rPr>
        <w:t xml:space="preserve">Chapter 2. </w:t>
      </w:r>
      <w:r>
        <w:rPr>
          <w:rFonts w:ascii="Arial" w:cs="Arial" w:eastAsia="Arial" w:hAnsi="Arial"/>
          <w:sz w:val="22"/>
          <w:szCs w:val="22"/>
        </w:rPr>
        <w:t xml:space="preserve">Literature Review — Galvanic Corrosion ...................................................  4</w:t>
      </w:r>
    </w:p>
    <w:p>
      <w:pPr>
        <w:spacing w:after="200" w:before="0"/>
        <w:jc w:val="both"/>
      </w:pPr>
      <w:r>
        <w:rPr>
          <w:rFonts w:ascii="Arial" w:cs="Arial" w:eastAsia="Arial" w:hAnsi="Arial"/>
          <w:sz w:val="22"/>
          <w:szCs w:val="22"/>
        </w:rPr>
        <w:t xml:space="preserve">  2.1  Electrochemical Theory of Galvanic Corrosion ..............................................  4</w:t>
      </w:r>
    </w:p>
    <w:p>
      <w:pPr>
        <w:spacing w:after="200" w:before="0"/>
        <w:jc w:val="both"/>
      </w:pPr>
      <w:r>
        <w:rPr>
          <w:rFonts w:ascii="Arial" w:cs="Arial" w:eastAsia="Arial" w:hAnsi="Arial"/>
          <w:sz w:val="22"/>
          <w:szCs w:val="22"/>
        </w:rPr>
        <w:t xml:space="preserve">  2.2  Galvanic Corrosion in MEP Building Services ................................................  5</w:t>
      </w:r>
    </w:p>
    <w:p>
      <w:pPr>
        <w:spacing w:after="200" w:before="0"/>
        <w:jc w:val="both"/>
      </w:pPr>
      <w:r>
        <w:rPr>
          <w:rFonts w:ascii="Arial" w:cs="Arial" w:eastAsia="Arial" w:hAnsi="Arial"/>
          <w:sz w:val="22"/>
          <w:szCs w:val="22"/>
        </w:rPr>
        <w:t xml:space="preserve">  2.3  Existing AI and Computational Approaches ...................................................  6</w:t>
      </w:r>
    </w:p>
    <w:p>
      <w:pPr>
        <w:spacing w:after="200" w:before="0"/>
        <w:jc w:val="both"/>
      </w:pPr>
      <w:r>
        <w:rPr>
          <w:rFonts w:ascii="Arial" w:cs="Arial" w:eastAsia="Arial" w:hAnsi="Arial"/>
          <w:sz w:val="22"/>
          <w:szCs w:val="22"/>
        </w:rPr>
        <w:t xml:space="preserve">  2.4  BIM Automation for Compliance Checking .....................................................  7</w:t>
      </w:r>
    </w:p>
    <w:p>
      <w:pPr>
        <w:spacing w:after="200" w:before="0"/>
        <w:jc w:val="both"/>
      </w:pPr>
      <w:r>
        <w:rPr>
          <w:rFonts w:ascii="Arial" w:cs="Arial" w:eastAsia="Arial" w:hAnsi="Arial"/>
          <w:sz w:val="22"/>
          <w:szCs w:val="22"/>
        </w:rPr>
        <w:t xml:space="preserve">  2.5  Identified Research Gap .............................................................................  8</w:t>
      </w:r>
    </w:p>
    <w:p>
      <w:pPr>
        <w:spacing w:after="80" w:before="80"/>
      </w:pPr>
      <w:r>
        <w:rPr>
          <w:rFonts w:ascii="Arial" w:cs="Arial" w:eastAsia="Arial" w:hAnsi="Arial"/>
          <w:sz w:val="22"/>
          <w:szCs w:val="22"/>
        </w:rPr>
        <w:t xml:space="preserve"/>
      </w:r>
    </w:p>
    <w:p>
      <w:pPr>
        <w:spacing w:after="200" w:before="0"/>
        <w:jc w:val="both"/>
      </w:pPr>
      <w:r>
        <w:rPr>
          <w:rFonts w:ascii="Arial" w:cs="Arial" w:eastAsia="Arial" w:hAnsi="Arial"/>
          <w:b/>
          <w:bCs/>
          <w:sz w:val="22"/>
          <w:szCs w:val="22"/>
        </w:rPr>
        <w:t xml:space="preserve">Chapter 3. </w:t>
      </w:r>
      <w:r>
        <w:rPr>
          <w:rFonts w:ascii="Arial" w:cs="Arial" w:eastAsia="Arial" w:hAnsi="Arial"/>
          <w:sz w:val="22"/>
          <w:szCs w:val="22"/>
        </w:rPr>
        <w:t xml:space="preserve">Methodology — GC-001 Galvanic Corrosion Engine .....................................  9</w:t>
      </w:r>
    </w:p>
    <w:p>
      <w:pPr>
        <w:spacing w:after="200" w:before="0"/>
        <w:jc w:val="both"/>
      </w:pPr>
      <w:r>
        <w:rPr>
          <w:rFonts w:ascii="Arial" w:cs="Arial" w:eastAsia="Arial" w:hAnsi="Arial"/>
          <w:sz w:val="22"/>
          <w:szCs w:val="22"/>
        </w:rPr>
        <w:t xml:space="preserve">  3.1  Ruleset Development Process ......................................................................  9</w:t>
      </w:r>
    </w:p>
    <w:p>
      <w:pPr>
        <w:spacing w:after="200" w:before="0"/>
        <w:jc w:val="both"/>
      </w:pPr>
      <w:r>
        <w:rPr>
          <w:rFonts w:ascii="Arial" w:cs="Arial" w:eastAsia="Arial" w:hAnsi="Arial"/>
          <w:sz w:val="22"/>
          <w:szCs w:val="22"/>
        </w:rPr>
        <w:t xml:space="preserve">  3.2  Galvanic Series and Material Potential Table ................................................  9</w:t>
      </w:r>
    </w:p>
    <w:p>
      <w:pPr>
        <w:spacing w:after="200" w:before="0"/>
        <w:jc w:val="both"/>
      </w:pPr>
      <w:r>
        <w:rPr>
          <w:rFonts w:ascii="Arial" w:cs="Arial" w:eastAsia="Arial" w:hAnsi="Arial"/>
          <w:sz w:val="22"/>
          <w:szCs w:val="22"/>
        </w:rPr>
        <w:t xml:space="preserve">  3.3  Environment Classification ........................................................................  10</w:t>
      </w:r>
    </w:p>
    <w:p>
      <w:pPr>
        <w:spacing w:after="200" w:before="0"/>
        <w:jc w:val="both"/>
      </w:pPr>
      <w:r>
        <w:rPr>
          <w:rFonts w:ascii="Arial" w:cs="Arial" w:eastAsia="Arial" w:hAnsi="Arial"/>
          <w:sz w:val="22"/>
          <w:szCs w:val="22"/>
        </w:rPr>
        <w:t xml:space="preserve">  3.4  Area Ratio Risk Bands ...............................................................................  11</w:t>
      </w:r>
    </w:p>
    <w:p>
      <w:pPr>
        <w:spacing w:after="200" w:before="0"/>
        <w:jc w:val="both"/>
      </w:pPr>
      <w:r>
        <w:rPr>
          <w:rFonts w:ascii="Arial" w:cs="Arial" w:eastAsia="Arial" w:hAnsi="Arial"/>
          <w:sz w:val="22"/>
          <w:szCs w:val="22"/>
        </w:rPr>
        <w:t xml:space="preserve">  3.5  PREN Adequacy Check ................................................................................  11</w:t>
      </w:r>
    </w:p>
    <w:p>
      <w:pPr>
        <w:spacing w:after="200" w:before="0"/>
        <w:jc w:val="both"/>
      </w:pPr>
      <w:r>
        <w:rPr>
          <w:rFonts w:ascii="Arial" w:cs="Arial" w:eastAsia="Arial" w:hAnsi="Arial"/>
          <w:sz w:val="22"/>
          <w:szCs w:val="22"/>
        </w:rPr>
        <w:t xml:space="preserve">  3.6  Weighted Composite Scoring Model ...............................................................  12</w:t>
      </w:r>
    </w:p>
    <w:p>
      <w:pPr>
        <w:spacing w:after="200" w:before="0"/>
        <w:jc w:val="both"/>
      </w:pPr>
      <w:r>
        <w:rPr>
          <w:rFonts w:ascii="Arial" w:cs="Arial" w:eastAsia="Arial" w:hAnsi="Arial"/>
          <w:sz w:val="22"/>
          <w:szCs w:val="22"/>
        </w:rPr>
        <w:t xml:space="preserve">  3.7  Validation Approach ..................................................................................  13</w:t>
      </w:r>
    </w:p>
    <w:p>
      <w:pPr>
        <w:spacing w:after="80" w:before="80"/>
      </w:pPr>
      <w:r>
        <w:rPr>
          <w:rFonts w:ascii="Arial" w:cs="Arial" w:eastAsia="Arial" w:hAnsi="Arial"/>
          <w:sz w:val="22"/>
          <w:szCs w:val="22"/>
        </w:rPr>
        <w:t xml:space="preserve"/>
      </w:r>
    </w:p>
    <w:p>
      <w:pPr>
        <w:spacing w:after="200" w:before="0"/>
        <w:jc w:val="both"/>
      </w:pPr>
      <w:r>
        <w:rPr>
          <w:rFonts w:ascii="Arial" w:cs="Arial" w:eastAsia="Arial" w:hAnsi="Arial"/>
          <w:b/>
          <w:bCs/>
          <w:sz w:val="22"/>
          <w:szCs w:val="22"/>
        </w:rPr>
        <w:t xml:space="preserve">Chapter 4. </w:t>
      </w:r>
      <w:r>
        <w:rPr>
          <w:rFonts w:ascii="Arial" w:cs="Arial" w:eastAsia="Arial" w:hAnsi="Arial"/>
          <w:sz w:val="22"/>
          <w:szCs w:val="22"/>
        </w:rPr>
        <w:t xml:space="preserve">System Architecture .................................................................................  14</w:t>
      </w:r>
    </w:p>
    <w:p>
      <w:pPr>
        <w:spacing w:after="200" w:before="0"/>
        <w:jc w:val="both"/>
      </w:pPr>
      <w:r>
        <w:rPr>
          <w:rFonts w:ascii="Arial" w:cs="Arial" w:eastAsia="Arial" w:hAnsi="Arial"/>
          <w:sz w:val="22"/>
          <w:szCs w:val="22"/>
        </w:rPr>
        <w:t xml:space="preserve">  4.1  White Box Architecture Rationale ................................................................  14</w:t>
      </w:r>
    </w:p>
    <w:p>
      <w:pPr>
        <w:spacing w:after="200" w:before="0"/>
        <w:jc w:val="both"/>
      </w:pPr>
      <w:r>
        <w:rPr>
          <w:rFonts w:ascii="Arial" w:cs="Arial" w:eastAsia="Arial" w:hAnsi="Arial"/>
          <w:sz w:val="22"/>
          <w:szCs w:val="22"/>
        </w:rPr>
        <w:t xml:space="preserve">  4.2  IFC Parser Module ....................................................................................  14</w:t>
      </w:r>
    </w:p>
    <w:p>
      <w:pPr>
        <w:spacing w:after="200" w:before="0"/>
        <w:jc w:val="both"/>
      </w:pPr>
      <w:r>
        <w:rPr>
          <w:rFonts w:ascii="Arial" w:cs="Arial" w:eastAsia="Arial" w:hAnsi="Arial"/>
          <w:sz w:val="22"/>
          <w:szCs w:val="22"/>
        </w:rPr>
        <w:t xml:space="preserve">  4.3  Compliance Runner ....................................................................................  15</w:t>
      </w:r>
    </w:p>
    <w:p>
      <w:pPr>
        <w:spacing w:after="200" w:before="0"/>
        <w:jc w:val="both"/>
      </w:pPr>
      <w:r>
        <w:rPr>
          <w:rFonts w:ascii="Arial" w:cs="Arial" w:eastAsia="Arial" w:hAnsi="Arial"/>
          <w:sz w:val="22"/>
          <w:szCs w:val="22"/>
        </w:rPr>
        <w:t xml:space="preserve">  4.4  BCF 2.1 Output Structure ...........................................................................  16</w:t>
      </w:r>
    </w:p>
    <w:p>
      <w:pPr>
        <w:spacing w:after="200" w:before="0"/>
        <w:jc w:val="both"/>
      </w:pPr>
      <w:r>
        <w:rPr>
          <w:rFonts w:ascii="Arial" w:cs="Arial" w:eastAsia="Arial" w:hAnsi="Arial"/>
          <w:sz w:val="22"/>
          <w:szCs w:val="22"/>
        </w:rPr>
        <w:t xml:space="preserve">  4.5  Streamlit Application ................................................................................  17</w:t>
      </w:r>
    </w:p>
    <w:p>
      <w:pPr>
        <w:spacing w:after="80" w:before="80"/>
      </w:pPr>
      <w:r>
        <w:rPr>
          <w:rFonts w:ascii="Arial" w:cs="Arial" w:eastAsia="Arial" w:hAnsi="Arial"/>
          <w:sz w:val="22"/>
          <w:szCs w:val="22"/>
        </w:rPr>
        <w:t xml:space="preserve"/>
      </w:r>
    </w:p>
    <w:p>
      <w:pPr>
        <w:spacing w:after="200" w:before="0"/>
        <w:jc w:val="both"/>
      </w:pPr>
      <w:r>
        <w:rPr>
          <w:rFonts w:ascii="Arial" w:cs="Arial" w:eastAsia="Arial" w:hAnsi="Arial"/>
          <w:b/>
          <w:bCs/>
          <w:sz w:val="22"/>
          <w:szCs w:val="22"/>
        </w:rPr>
        <w:t xml:space="preserve">Chapter 5. </w:t>
      </w:r>
      <w:r>
        <w:rPr>
          <w:rFonts w:ascii="Arial" w:cs="Arial" w:eastAsia="Arial" w:hAnsi="Arial"/>
          <w:sz w:val="22"/>
          <w:szCs w:val="22"/>
        </w:rPr>
        <w:t xml:space="preserve">Results and Discussion — GC-001 .................................................................  18</w:t>
      </w:r>
    </w:p>
    <w:p>
      <w:pPr>
        <w:spacing w:after="200" w:before="0"/>
        <w:jc w:val="both"/>
      </w:pPr>
      <w:r>
        <w:rPr>
          <w:rFonts w:ascii="Arial" w:cs="Arial" w:eastAsia="Arial" w:hAnsi="Arial"/>
          <w:sz w:val="22"/>
          <w:szCs w:val="22"/>
        </w:rPr>
        <w:t xml:space="preserve">  5.1  Validation Test Results .............................................................................  18</w:t>
      </w:r>
    </w:p>
    <w:p>
      <w:pPr>
        <w:spacing w:after="200" w:before="0"/>
        <w:jc w:val="both"/>
      </w:pPr>
      <w:r>
        <w:rPr>
          <w:rFonts w:ascii="Arial" w:cs="Arial" w:eastAsia="Arial" w:hAnsi="Arial"/>
          <w:sz w:val="22"/>
          <w:szCs w:val="22"/>
        </w:rPr>
        <w:t xml:space="preserve">  5.2  Cost and Programme Impact .........................................................................  19</w:t>
      </w:r>
    </w:p>
    <w:p>
      <w:pPr>
        <w:spacing w:after="200" w:before="0"/>
        <w:jc w:val="both"/>
      </w:pPr>
      <w:r>
        <w:rPr>
          <w:rFonts w:ascii="Arial" w:cs="Arial" w:eastAsia="Arial" w:hAnsi="Arial"/>
          <w:sz w:val="22"/>
          <w:szCs w:val="22"/>
        </w:rPr>
        <w:t xml:space="preserve">  5.3  Limitations ...........................................................................................  20</w:t>
      </w:r>
    </w:p>
    <w:p>
      <w:pPr>
        <w:spacing w:after="200" w:before="0"/>
        <w:jc w:val="both"/>
      </w:pPr>
      <w:r>
        <w:rPr>
          <w:rFonts w:ascii="Arial" w:cs="Arial" w:eastAsia="Arial" w:hAnsi="Arial"/>
          <w:sz w:val="22"/>
          <w:szCs w:val="22"/>
        </w:rPr>
        <w:t xml:space="preserve">  5.4  Innovation Contribution ............................................................................  20</w:t>
      </w:r>
    </w:p>
    <w:p>
      <w:pPr>
        <w:spacing w:after="80" w:before="80"/>
      </w:pPr>
      <w:r>
        <w:rPr>
          <w:rFonts w:ascii="Arial" w:cs="Arial" w:eastAsia="Arial" w:hAnsi="Arial"/>
          <w:sz w:val="22"/>
          <w:szCs w:val="22"/>
        </w:rPr>
        <w:t xml:space="preserve"/>
      </w:r>
    </w:p>
    <w:p>
      <w:pPr>
        <w:spacing w:after="200" w:before="0"/>
        <w:jc w:val="both"/>
      </w:pPr>
      <w:r>
        <w:rPr>
          <w:rFonts w:ascii="Arial" w:cs="Arial" w:eastAsia="Arial" w:hAnsi="Arial"/>
          <w:b/>
          <w:bCs/>
          <w:sz w:val="22"/>
          <w:szCs w:val="22"/>
        </w:rPr>
        <w:t xml:space="preserve">Chapter 6. </w:t>
      </w:r>
      <w:r>
        <w:rPr>
          <w:rFonts w:ascii="Arial" w:cs="Arial" w:eastAsia="Arial" w:hAnsi="Arial"/>
          <w:sz w:val="22"/>
          <w:szCs w:val="22"/>
        </w:rPr>
        <w:t xml:space="preserve">Conclusions — Part I ................................................................................  21</w:t>
      </w:r>
    </w:p>
    <w:p>
      <w:pPr>
        <w:spacing w:after="80" w:before="80"/>
      </w:pPr>
      <w:r>
        <w:rPr>
          <w:rFonts w:ascii="Arial" w:cs="Arial" w:eastAsia="Arial" w:hAnsi="Arial"/>
          <w:sz w:val="22"/>
          <w:szCs w:val="22"/>
        </w:rPr>
        <w:t xml:space="preserve"/>
      </w:r>
    </w:p>
    <w:p>
      <w:pPr>
        <w:spacing w:after="200" w:before="0"/>
        <w:jc w:val="both"/>
      </w:pPr>
      <w:r>
        <w:rPr>
          <w:rFonts w:ascii="Arial" w:cs="Arial" w:eastAsia="Arial" w:hAnsi="Arial"/>
          <w:b/>
          <w:bCs/>
          <w:sz w:val="22"/>
          <w:szCs w:val="22"/>
        </w:rPr>
        <w:t xml:space="preserve">Chapter 7. </w:t>
      </w:r>
      <w:r>
        <w:rPr>
          <w:rFonts w:ascii="Arial" w:cs="Arial" w:eastAsia="Arial" w:hAnsi="Arial"/>
          <w:sz w:val="22"/>
          <w:szCs w:val="22"/>
        </w:rPr>
        <w:t xml:space="preserve">Crevice Corrosion Module — Rationale and Research Gap ...............................  22</w:t>
      </w:r>
    </w:p>
    <w:p>
      <w:pPr>
        <w:spacing w:after="200" w:before="0"/>
        <w:jc w:val="both"/>
      </w:pPr>
      <w:r>
        <w:rPr>
          <w:rFonts w:ascii="Arial" w:cs="Arial" w:eastAsia="Arial" w:hAnsi="Arial"/>
          <w:sz w:val="22"/>
          <w:szCs w:val="22"/>
        </w:rPr>
        <w:t xml:space="preserve">  7.1  Limitations of Galvanic-Only Checking .......................................................  22</w:t>
      </w:r>
    </w:p>
    <w:p>
      <w:pPr>
        <w:spacing w:after="200" w:before="0"/>
        <w:jc w:val="both"/>
      </w:pPr>
      <w:r>
        <w:rPr>
          <w:rFonts w:ascii="Arial" w:cs="Arial" w:eastAsia="Arial" w:hAnsi="Arial"/>
          <w:sz w:val="22"/>
          <w:szCs w:val="22"/>
        </w:rPr>
        <w:t xml:space="preserve">  7.2  The Pool Plant Room Finding .....................................................................  23</w:t>
      </w:r>
    </w:p>
    <w:p>
      <w:pPr>
        <w:spacing w:after="80" w:before="80"/>
      </w:pPr>
      <w:r>
        <w:rPr>
          <w:rFonts w:ascii="Arial" w:cs="Arial" w:eastAsia="Arial" w:hAnsi="Arial"/>
          <w:sz w:val="22"/>
          <w:szCs w:val="22"/>
        </w:rPr>
        <w:t xml:space="preserve"/>
      </w:r>
    </w:p>
    <w:p>
      <w:pPr>
        <w:spacing w:after="200" w:before="0"/>
        <w:jc w:val="both"/>
      </w:pPr>
      <w:r>
        <w:rPr>
          <w:rFonts w:ascii="Arial" w:cs="Arial" w:eastAsia="Arial" w:hAnsi="Arial"/>
          <w:b/>
          <w:bCs/>
          <w:sz w:val="22"/>
          <w:szCs w:val="22"/>
        </w:rPr>
        <w:t xml:space="preserve">Chapter 8. </w:t>
      </w:r>
      <w:r>
        <w:rPr>
          <w:rFonts w:ascii="Arial" w:cs="Arial" w:eastAsia="Arial" w:hAnsi="Arial"/>
          <w:sz w:val="22"/>
          <w:szCs w:val="22"/>
        </w:rPr>
        <w:t xml:space="preserve">Literature Review — Crevice Corrosion ......................................................  24</w:t>
      </w:r>
    </w:p>
    <w:p>
      <w:pPr>
        <w:spacing w:after="200" w:before="0"/>
        <w:jc w:val="both"/>
      </w:pPr>
      <w:r>
        <w:rPr>
          <w:rFonts w:ascii="Arial" w:cs="Arial" w:eastAsia="Arial" w:hAnsi="Arial"/>
          <w:sz w:val="22"/>
          <w:szCs w:val="22"/>
        </w:rPr>
        <w:t xml:space="preserve">  8.1  Mechanism and Four-Stage Process ...............................................................  24</w:t>
      </w:r>
    </w:p>
    <w:p>
      <w:pPr>
        <w:spacing w:after="200" w:before="0"/>
        <w:jc w:val="both"/>
      </w:pPr>
      <w:r>
        <w:rPr>
          <w:rFonts w:ascii="Arial" w:cs="Arial" w:eastAsia="Arial" w:hAnsi="Arial"/>
          <w:sz w:val="22"/>
          <w:szCs w:val="22"/>
        </w:rPr>
        <w:t xml:space="preserve">  8.2  Critical Crevice Corrosion Temperature ......................................................  25</w:t>
      </w:r>
    </w:p>
    <w:p>
      <w:pPr>
        <w:spacing w:after="200" w:before="0"/>
        <w:jc w:val="both"/>
      </w:pPr>
      <w:r>
        <w:rPr>
          <w:rFonts w:ascii="Arial" w:cs="Arial" w:eastAsia="Arial" w:hAnsi="Arial"/>
          <w:sz w:val="22"/>
          <w:szCs w:val="22"/>
        </w:rPr>
        <w:t xml:space="preserve">  8.3  Relevant Standards and Test Methods ..........................................................  26</w:t>
      </w:r>
    </w:p>
    <w:p>
      <w:pPr>
        <w:spacing w:after="80" w:before="80"/>
      </w:pPr>
      <w:r>
        <w:rPr>
          <w:rFonts w:ascii="Arial" w:cs="Arial" w:eastAsia="Arial" w:hAnsi="Arial"/>
          <w:sz w:val="22"/>
          <w:szCs w:val="22"/>
        </w:rPr>
        <w:t xml:space="preserve"/>
      </w:r>
    </w:p>
    <w:p>
      <w:pPr>
        <w:spacing w:after="200" w:before="0"/>
        <w:jc w:val="both"/>
      </w:pPr>
      <w:r>
        <w:rPr>
          <w:rFonts w:ascii="Arial" w:cs="Arial" w:eastAsia="Arial" w:hAnsi="Arial"/>
          <w:b/>
          <w:bCs/>
          <w:sz w:val="22"/>
          <w:szCs w:val="22"/>
        </w:rPr>
        <w:t xml:space="preserve">Chapter 9. </w:t>
      </w:r>
      <w:r>
        <w:rPr>
          <w:rFonts w:ascii="Arial" w:cs="Arial" w:eastAsia="Arial" w:hAnsi="Arial"/>
          <w:sz w:val="22"/>
          <w:szCs w:val="22"/>
        </w:rPr>
        <w:t xml:space="preserve">Methodology — CC-001 Crevice Corrosion Engine ..........................................  27</w:t>
      </w:r>
    </w:p>
    <w:p>
      <w:pPr>
        <w:spacing w:after="200" w:before="0"/>
        <w:jc w:val="both"/>
      </w:pPr>
      <w:r>
        <w:rPr>
          <w:rFonts w:ascii="Arial" w:cs="Arial" w:eastAsia="Arial" w:hAnsi="Arial"/>
          <w:sz w:val="22"/>
          <w:szCs w:val="22"/>
        </w:rPr>
        <w:t xml:space="preserve">  9.1  CCT Table and Stainless Steel Grades ..........................................................  27</w:t>
      </w:r>
    </w:p>
    <w:p>
      <w:pPr>
        <w:spacing w:after="200" w:before="0"/>
        <w:jc w:val="both"/>
      </w:pPr>
      <w:r>
        <w:rPr>
          <w:rFonts w:ascii="Arial" w:cs="Arial" w:eastAsia="Arial" w:hAnsi="Arial"/>
          <w:sz w:val="22"/>
          <w:szCs w:val="22"/>
        </w:rPr>
        <w:t xml:space="preserve">  9.2  Geometry Classification ............................................................................  27</w:t>
      </w:r>
    </w:p>
    <w:p>
      <w:pPr>
        <w:spacing w:after="200" w:before="0"/>
        <w:jc w:val="both"/>
      </w:pPr>
      <w:r>
        <w:rPr>
          <w:rFonts w:ascii="Arial" w:cs="Arial" w:eastAsia="Arial" w:hAnsi="Arial"/>
          <w:sz w:val="22"/>
          <w:szCs w:val="22"/>
        </w:rPr>
        <w:t xml:space="preserve">  9.3  Joint Type Library ...................................................................................  28</w:t>
      </w:r>
    </w:p>
    <w:p>
      <w:pPr>
        <w:spacing w:after="200" w:before="0"/>
        <w:jc w:val="both"/>
      </w:pPr>
      <w:r>
        <w:rPr>
          <w:rFonts w:ascii="Arial" w:cs="Arial" w:eastAsia="Arial" w:hAnsi="Arial"/>
          <w:sz w:val="22"/>
          <w:szCs w:val="22"/>
        </w:rPr>
        <w:t xml:space="preserve">  9.4  Environment Severity Classification ...........................................................  29</w:t>
      </w:r>
    </w:p>
    <w:p>
      <w:pPr>
        <w:spacing w:after="200" w:before="0"/>
        <w:jc w:val="both"/>
      </w:pPr>
      <w:r>
        <w:rPr>
          <w:rFonts w:ascii="Arial" w:cs="Arial" w:eastAsia="Arial" w:hAnsi="Arial"/>
          <w:sz w:val="22"/>
          <w:szCs w:val="22"/>
        </w:rPr>
        <w:t xml:space="preserve">  9.5  Weighted Composite Scoring Model ...............................................................  29</w:t>
      </w:r>
    </w:p>
    <w:p>
      <w:pPr>
        <w:spacing w:after="200" w:before="0"/>
        <w:jc w:val="both"/>
      </w:pPr>
      <w:r>
        <w:rPr>
          <w:rFonts w:ascii="Arial" w:cs="Arial" w:eastAsia="Arial" w:hAnsi="Arial"/>
          <w:sz w:val="22"/>
          <w:szCs w:val="22"/>
        </w:rPr>
        <w:t xml:space="preserve">  9.6  Combined Risk Assessment Function ..............................................................  30</w:t>
      </w:r>
    </w:p>
    <w:p>
      <w:pPr>
        <w:spacing w:after="80" w:before="80"/>
      </w:pPr>
      <w:r>
        <w:rPr>
          <w:rFonts w:ascii="Arial" w:cs="Arial" w:eastAsia="Arial" w:hAnsi="Arial"/>
          <w:sz w:val="22"/>
          <w:szCs w:val="22"/>
        </w:rPr>
        <w:t xml:space="preserve"/>
      </w:r>
    </w:p>
    <w:p>
      <w:pPr>
        <w:spacing w:after="200" w:before="0"/>
        <w:jc w:val="both"/>
      </w:pPr>
      <w:r>
        <w:rPr>
          <w:rFonts w:ascii="Arial" w:cs="Arial" w:eastAsia="Arial" w:hAnsi="Arial"/>
          <w:b/>
          <w:bCs/>
          <w:sz w:val="22"/>
          <w:szCs w:val="22"/>
        </w:rPr>
        <w:t xml:space="preserve">Chapter 10. </w:t>
      </w:r>
      <w:r>
        <w:rPr>
          <w:rFonts w:ascii="Arial" w:cs="Arial" w:eastAsia="Arial" w:hAnsi="Arial"/>
          <w:sz w:val="22"/>
          <w:szCs w:val="22"/>
        </w:rPr>
        <w:t xml:space="preserve">Architecture — Combined Compliance System .............................................  31</w:t>
      </w:r>
    </w:p>
    <w:p>
      <w:pPr>
        <w:spacing w:after="200" w:before="0"/>
        <w:jc w:val="both"/>
      </w:pPr>
      <w:r>
        <w:rPr>
          <w:rFonts w:ascii="Arial" w:cs="Arial" w:eastAsia="Arial" w:hAnsi="Arial"/>
          <w:sz w:val="22"/>
          <w:szCs w:val="22"/>
        </w:rPr>
        <w:t xml:space="preserve">  10.1  Pset_CreviceCorrosionRisk Schema ...............................................................  31</w:t>
      </w:r>
    </w:p>
    <w:p>
      <w:pPr>
        <w:spacing w:after="200" w:before="0"/>
        <w:jc w:val="both"/>
      </w:pPr>
      <w:r>
        <w:rPr>
          <w:rFonts w:ascii="Arial" w:cs="Arial" w:eastAsia="Arial" w:hAnsi="Arial"/>
          <w:sz w:val="22"/>
          <w:szCs w:val="22"/>
        </w:rPr>
        <w:t xml:space="preserve">  10.2  Combined Asset Register ...........................................................................  32</w:t>
      </w:r>
    </w:p>
    <w:p>
      <w:pPr>
        <w:spacing w:after="200" w:before="0"/>
        <w:jc w:val="both"/>
      </w:pPr>
      <w:r>
        <w:rPr>
          <w:rFonts w:ascii="Arial" w:cs="Arial" w:eastAsia="Arial" w:hAnsi="Arial"/>
          <w:sz w:val="22"/>
          <w:szCs w:val="22"/>
        </w:rPr>
        <w:t xml:space="preserve">  10.3  Dual-Engine BCF Output .............................................................................  32</w:t>
      </w:r>
    </w:p>
    <w:p>
      <w:pPr>
        <w:spacing w:after="80" w:before="80"/>
      </w:pPr>
      <w:r>
        <w:rPr>
          <w:rFonts w:ascii="Arial" w:cs="Arial" w:eastAsia="Arial" w:hAnsi="Arial"/>
          <w:sz w:val="22"/>
          <w:szCs w:val="22"/>
        </w:rPr>
        <w:t xml:space="preserve"/>
      </w:r>
    </w:p>
    <w:p>
      <w:pPr>
        <w:spacing w:after="200" w:before="0"/>
        <w:jc w:val="both"/>
      </w:pPr>
      <w:r>
        <w:rPr>
          <w:rFonts w:ascii="Arial" w:cs="Arial" w:eastAsia="Arial" w:hAnsi="Arial"/>
          <w:b/>
          <w:bCs/>
          <w:sz w:val="22"/>
          <w:szCs w:val="22"/>
        </w:rPr>
        <w:t xml:space="preserve">Chapter 11. </w:t>
      </w:r>
      <w:r>
        <w:rPr>
          <w:rFonts w:ascii="Arial" w:cs="Arial" w:eastAsia="Arial" w:hAnsi="Arial"/>
          <w:sz w:val="22"/>
          <w:szCs w:val="22"/>
        </w:rPr>
        <w:t xml:space="preserve">Discussion and Further Development .........................................................  33</w:t>
      </w:r>
    </w:p>
    <w:p>
      <w:pPr>
        <w:spacing w:after="200" w:before="0"/>
        <w:jc w:val="both"/>
      </w:pPr>
      <w:r>
        <w:rPr>
          <w:rFonts w:ascii="Arial" w:cs="Arial" w:eastAsia="Arial" w:hAnsi="Arial"/>
          <w:sz w:val="22"/>
          <w:szCs w:val="22"/>
        </w:rPr>
        <w:t xml:space="preserve">  11.1  MIC as the Third Module ...........................................................................  33</w:t>
      </w:r>
    </w:p>
    <w:p>
      <w:pPr>
        <w:spacing w:after="200" w:before="0"/>
        <w:jc w:val="both"/>
      </w:pPr>
      <w:r>
        <w:rPr>
          <w:rFonts w:ascii="Arial" w:cs="Arial" w:eastAsia="Arial" w:hAnsi="Arial"/>
          <w:sz w:val="22"/>
          <w:szCs w:val="22"/>
        </w:rPr>
        <w:t xml:space="preserve">  11.2  BMS Integration .....................................................................................  34</w:t>
      </w:r>
    </w:p>
    <w:p>
      <w:pPr>
        <w:spacing w:after="200" w:before="0"/>
        <w:jc w:val="both"/>
      </w:pPr>
      <w:r>
        <w:rPr>
          <w:rFonts w:ascii="Arial" w:cs="Arial" w:eastAsia="Arial" w:hAnsi="Arial"/>
          <w:sz w:val="22"/>
          <w:szCs w:val="22"/>
        </w:rPr>
        <w:t xml:space="preserve">  11.3  Weld Quality Extension .............................................................................  34</w:t>
      </w:r>
    </w:p>
    <w:p>
      <w:pPr>
        <w:spacing w:after="200" w:before="0"/>
        <w:jc w:val="both"/>
      </w:pPr>
      <w:r>
        <w:rPr>
          <w:rFonts w:ascii="Arial" w:cs="Arial" w:eastAsia="Arial" w:hAnsi="Arial"/>
          <w:sz w:val="22"/>
          <w:szCs w:val="22"/>
        </w:rPr>
        <w:t xml:space="preserve">  11.4  Regulatory Context ..................................................................................  34</w:t>
      </w:r>
    </w:p>
    <w:p>
      <w:pPr>
        <w:spacing w:after="80" w:before="80"/>
      </w:pPr>
      <w:r>
        <w:rPr>
          <w:rFonts w:ascii="Arial" w:cs="Arial" w:eastAsia="Arial" w:hAnsi="Arial"/>
          <w:sz w:val="22"/>
          <w:szCs w:val="22"/>
        </w:rPr>
        <w:t xml:space="preserve"/>
      </w:r>
    </w:p>
    <w:p>
      <w:pPr>
        <w:spacing w:after="200" w:before="0"/>
        <w:jc w:val="both"/>
      </w:pPr>
      <w:r>
        <w:rPr>
          <w:rFonts w:ascii="Arial" w:cs="Arial" w:eastAsia="Arial" w:hAnsi="Arial"/>
          <w:sz w:val="22"/>
          <w:szCs w:val="22"/>
        </w:rPr>
        <w:t xml:space="preserve">References .......................................................................................................  35</w:t>
      </w:r>
    </w:p>
    <w:p>
      <w:pPr>
        <w:spacing w:after="0" w:before="0"/>
      </w:pPr>
      <w:r>
        <w:br w:type="page"/>
      </w:r>
    </w:p>
    <w:p>
      <w:pPr>
        <w:pStyle w:val="Heading1"/>
        <w:spacing w:after="240" w:before="480"/>
      </w:pPr>
      <w:r>
        <w:rPr>
          <w:rFonts w:ascii="Arial" w:cs="Arial" w:eastAsia="Arial" w:hAnsi="Arial"/>
          <w:b/>
          <w:bCs/>
          <w:color w:val="1F3864"/>
          <w:sz w:val="36"/>
          <w:szCs w:val="36"/>
        </w:rPr>
        <w:t xml:space="preserve">List of Tables</w:t>
      </w:r>
    </w:p>
    <w:p>
      <w:pPr>
        <w:pBdr>
          <w:bottom w:val="single" w:color="1F3864" w:sz="6" w:space="1"/>
        </w:pBdr>
        <w:spacing w:after="240" w:before="0"/>
      </w:pPr>
    </w:p>
    <w:p>
      <w:pPr>
        <w:spacing w:after="200" w:before="0"/>
        <w:jc w:val="both"/>
      </w:pPr>
      <w:r>
        <w:rPr>
          <w:rFonts w:ascii="Arial" w:cs="Arial" w:eastAsia="Arial" w:hAnsi="Arial"/>
          <w:sz w:val="22"/>
          <w:szCs w:val="22"/>
        </w:rPr>
        <w:t xml:space="preserve">Table 3.1   Galvanic potential values for 22 construction materials (NASA-STD-6012)</w:t>
      </w:r>
    </w:p>
    <w:p>
      <w:pPr>
        <w:spacing w:after="200" w:before="0"/>
        <w:jc w:val="both"/>
      </w:pPr>
      <w:r>
        <w:rPr>
          <w:rFonts w:ascii="Arial" w:cs="Arial" w:eastAsia="Arial" w:hAnsi="Arial"/>
          <w:sz w:val="22"/>
          <w:szCs w:val="22"/>
        </w:rPr>
        <w:t xml:space="preserve">Table 3.2   Environment class definitions and voltage thresholds</w:t>
      </w:r>
    </w:p>
    <w:p>
      <w:pPr>
        <w:spacing w:after="200" w:before="0"/>
        <w:jc w:val="both"/>
      </w:pPr>
      <w:r>
        <w:rPr>
          <w:rFonts w:ascii="Arial" w:cs="Arial" w:eastAsia="Arial" w:hAnsi="Arial"/>
          <w:sz w:val="22"/>
          <w:szCs w:val="22"/>
        </w:rPr>
        <w:t xml:space="preserve">Table 3.3   Area ratio risk band classification</w:t>
      </w:r>
    </w:p>
    <w:p>
      <w:pPr>
        <w:spacing w:after="200" w:before="0"/>
        <w:jc w:val="both"/>
      </w:pPr>
      <w:r>
        <w:rPr>
          <w:rFonts w:ascii="Arial" w:cs="Arial" w:eastAsia="Arial" w:hAnsi="Arial"/>
          <w:sz w:val="22"/>
          <w:szCs w:val="22"/>
        </w:rPr>
        <w:t xml:space="preserve">Table 3.4   GC-001 composite risk score bands</w:t>
      </w:r>
    </w:p>
    <w:p>
      <w:pPr>
        <w:spacing w:after="200" w:before="0"/>
        <w:jc w:val="both"/>
      </w:pPr>
      <w:r>
        <w:rPr>
          <w:rFonts w:ascii="Arial" w:cs="Arial" w:eastAsia="Arial" w:hAnsi="Arial"/>
          <w:sz w:val="22"/>
          <w:szCs w:val="22"/>
        </w:rPr>
        <w:t xml:space="preserve">Table 3.5   GC-001 validation scenarios and results</w:t>
      </w:r>
    </w:p>
    <w:p>
      <w:pPr>
        <w:spacing w:after="200" w:before="0"/>
        <w:jc w:val="both"/>
      </w:pPr>
      <w:r>
        <w:rPr>
          <w:rFonts w:ascii="Arial" w:cs="Arial" w:eastAsia="Arial" w:hAnsi="Arial"/>
          <w:sz w:val="22"/>
          <w:szCs w:val="22"/>
        </w:rPr>
        <w:t xml:space="preserve">Table 5.1   Validation dataset results summary by risk band</w:t>
      </w:r>
    </w:p>
    <w:p>
      <w:pPr>
        <w:spacing w:after="200" w:before="0"/>
        <w:jc w:val="both"/>
      </w:pPr>
      <w:r>
        <w:rPr>
          <w:rFonts w:ascii="Arial" w:cs="Arial" w:eastAsia="Arial" w:hAnsi="Arial"/>
          <w:sz w:val="22"/>
          <w:szCs w:val="22"/>
        </w:rPr>
        <w:t xml:space="preserve">Table 5.2   BCF issue output by discipline and mechanism</w:t>
      </w:r>
    </w:p>
    <w:p>
      <w:pPr>
        <w:spacing w:after="200" w:before="0"/>
        <w:jc w:val="both"/>
      </w:pPr>
      <w:r>
        <w:rPr>
          <w:rFonts w:ascii="Arial" w:cs="Arial" w:eastAsia="Arial" w:hAnsi="Arial"/>
          <w:sz w:val="22"/>
          <w:szCs w:val="22"/>
        </w:rPr>
        <w:t xml:space="preserve">Table 5.3   Cost and programme impact by risk band</w:t>
      </w:r>
    </w:p>
    <w:p>
      <w:pPr>
        <w:spacing w:after="200" w:before="0"/>
        <w:jc w:val="both"/>
      </w:pPr>
      <w:r>
        <w:rPr>
          <w:rFonts w:ascii="Arial" w:cs="Arial" w:eastAsia="Arial" w:hAnsi="Arial"/>
          <w:sz w:val="22"/>
          <w:szCs w:val="22"/>
        </w:rPr>
        <w:t xml:space="preserve">Table 9.1   CCT values for selected stainless steel and nickel alloy grades</w:t>
      </w:r>
    </w:p>
    <w:p>
      <w:pPr>
        <w:spacing w:after="200" w:before="0"/>
        <w:jc w:val="both"/>
      </w:pPr>
      <w:r>
        <w:rPr>
          <w:rFonts w:ascii="Arial" w:cs="Arial" w:eastAsia="Arial" w:hAnsi="Arial"/>
          <w:sz w:val="22"/>
          <w:szCs w:val="22"/>
        </w:rPr>
        <w:t xml:space="preserve">Table 9.2   Geometry class definitions and risk multipliers</w:t>
      </w:r>
    </w:p>
    <w:p>
      <w:pPr>
        <w:spacing w:after="200" w:before="0"/>
        <w:jc w:val="both"/>
      </w:pPr>
      <w:r>
        <w:rPr>
          <w:rFonts w:ascii="Arial" w:cs="Arial" w:eastAsia="Arial" w:hAnsi="Arial"/>
          <w:sz w:val="22"/>
          <w:szCs w:val="22"/>
        </w:rPr>
        <w:t xml:space="preserve">Table 9.3   Joint type library — JT-001 to JT-014</w:t>
      </w:r>
    </w:p>
    <w:p>
      <w:pPr>
        <w:spacing w:after="200" w:before="0"/>
        <w:jc w:val="both"/>
      </w:pPr>
      <w:r>
        <w:rPr>
          <w:rFonts w:ascii="Arial" w:cs="Arial" w:eastAsia="Arial" w:hAnsi="Arial"/>
          <w:sz w:val="22"/>
          <w:szCs w:val="22"/>
        </w:rPr>
        <w:t xml:space="preserve">Table 9.4   Environment severity classes per EN ISO 15329:2007</w:t>
      </w:r>
    </w:p>
    <w:p>
      <w:pPr>
        <w:spacing w:after="200" w:before="0"/>
        <w:jc w:val="both"/>
      </w:pPr>
      <w:r>
        <w:rPr>
          <w:rFonts w:ascii="Arial" w:cs="Arial" w:eastAsia="Arial" w:hAnsi="Arial"/>
          <w:sz w:val="22"/>
          <w:szCs w:val="22"/>
        </w:rPr>
        <w:t xml:space="preserve">Table 9.5   CC-001 composite risk score bands</w:t>
      </w:r>
    </w:p>
    <w:p>
      <w:pPr>
        <w:spacing w:after="200" w:before="0"/>
        <w:jc w:val="both"/>
      </w:pPr>
      <w:r>
        <w:rPr>
          <w:rFonts w:ascii="Arial" w:cs="Arial" w:eastAsia="Arial" w:hAnsi="Arial"/>
          <w:sz w:val="22"/>
          <w:szCs w:val="22"/>
        </w:rPr>
        <w:t xml:space="preserve">Table 9.6   CC-001 validation scenarios and results</w:t>
      </w:r>
    </w:p>
    <w:p>
      <w:pPr>
        <w:spacing w:after="0" w:before="0"/>
      </w:pPr>
      <w:r>
        <w:br w:type="page"/>
      </w:r>
    </w:p>
    <w:p>
      <w:pPr>
        <w:pStyle w:val="Heading1"/>
        <w:spacing w:after="240" w:before="480"/>
      </w:pPr>
      <w:r>
        <w:rPr>
          <w:rFonts w:ascii="Arial" w:cs="Arial" w:eastAsia="Arial" w:hAnsi="Arial"/>
          <w:b/>
          <w:bCs/>
          <w:color w:val="1F3864"/>
          <w:sz w:val="36"/>
          <w:szCs w:val="36"/>
        </w:rPr>
        <w:t xml:space="preserve">List of Abbreviations</w:t>
      </w:r>
    </w:p>
    <w:p>
      <w:pPr>
        <w:pBdr>
          <w:bottom w:val="single" w:color="1F3864" w:sz="6" w:space="1"/>
        </w:pBdr>
        <w:spacing w:after="240" w:before="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6826"/>
      </w:tblGrid>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BCF</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BIM Collaboration Format (buildingSMART)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BIM</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Building Information Modelling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BMS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Building Management System</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CCT</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Critical Crevice Corrosion Temperature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CDE</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Common Data Environment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FMP</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Final Master Project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GC-001</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BIMGUARD Galvanic Corrosion Ruleset v1.0.0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CC-001</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BIMGUARD Crevice Corrosion Ruleset v1.0.0</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IFC</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Industry Foundation Classes (ISO 16739-1)</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IDS</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Information Delivery Specification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MEP</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Mechanical, Electrical, and Plumbing</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MIC</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Microbially Influenced Corrosion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OD</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Outside Diameter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PREN</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Pitting Resistance Equivalent Number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Pset</w:t>
            </w:r>
          </w:p>
        </w:tc>
        <w:tc>
          <w:tcPr>
            <w:tcW w:type="dxa" w:w="6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Property Set (IFC schema)</w:t>
            </w:r>
          </w:p>
        </w:tc>
      </w:tr>
    </w:tbl>
    <w:p>
      <w:pPr>
        <w:spacing w:after="0" w:before="0"/>
      </w:pPr>
      <w:r>
        <w:br w:type="page"/>
      </w:r>
    </w:p>
    <w:p>
      <w:pPr>
        <w:pStyle w:val="Heading1"/>
        <w:spacing w:after="240" w:before="480"/>
      </w:pPr>
      <w:r>
        <w:rPr>
          <w:rFonts w:ascii="Arial" w:cs="Arial" w:eastAsia="Arial" w:hAnsi="Arial"/>
          <w:b/>
          <w:bCs/>
          <w:color w:val="1F3864"/>
          <w:sz w:val="36"/>
          <w:szCs w:val="36"/>
        </w:rPr>
        <w:t xml:space="preserve">Chapter 1 — Introduction</w:t>
      </w:r>
    </w:p>
    <w:p>
      <w:pPr>
        <w:pBdr>
          <w:bottom w:val="single" w:color="1F3864" w:sz="6" w:space="1"/>
        </w:pBdr>
        <w:spacing w:after="240" w:before="0"/>
      </w:pPr>
    </w:p>
    <w:p>
      <w:pPr>
        <w:pStyle w:val="Heading2"/>
        <w:spacing w:after="160" w:before="320"/>
      </w:pPr>
      <w:r>
        <w:rPr>
          <w:rFonts w:ascii="Arial" w:cs="Arial" w:eastAsia="Arial" w:hAnsi="Arial"/>
          <w:b/>
          <w:bCs/>
          <w:color w:val="2E75B6"/>
          <w:sz w:val="28"/>
          <w:szCs w:val="28"/>
        </w:rPr>
        <w:t xml:space="preserve">1.1  Background and context</w:t>
      </w:r>
    </w:p>
    <w:p>
      <w:pPr>
        <w:spacing w:after="200" w:before="0"/>
        <w:jc w:val="both"/>
      </w:pPr>
      <w:r>
        <w:rPr>
          <w:rFonts w:ascii="Arial" w:cs="Arial" w:eastAsia="Arial" w:hAnsi="Arial"/>
          <w:sz w:val="22"/>
          <w:szCs w:val="22"/>
        </w:rPr>
        <w:t xml:space="preserve">Corrosion is responsible for an estimated 3.4% of global GDP in direct costs annually (NACE International, 2016). Within the built environment, MEP building services represent a disproportionate share of that burden: pipework, fittings, and support assemblies in plant rooms, risers, and ceiling voids are routinely exposed to humid, chemically active, or chloride-bearing environments that accelerate metallic degradation. Two mechanisms are of particular significance in this context: galvanic corrosion, which arises when dissimilar metals are placed in electrical contact in the presence of an electrolyte; and crevice corrosion, which develops at confined joint geometries where restricted electrolyte circulation produces an aggressive local chemistry capable of destroying the passive oxide films that protect stainless steel grades.</w:t>
      </w:r>
    </w:p>
    <w:p>
      <w:pPr>
        <w:spacing w:after="200" w:before="0"/>
        <w:jc w:val="both"/>
      </w:pPr>
      <w:r>
        <w:rPr>
          <w:rFonts w:ascii="Arial" w:cs="Arial" w:eastAsia="Arial" w:hAnsi="Arial"/>
          <w:sz w:val="22"/>
          <w:szCs w:val="22"/>
        </w:rPr>
        <w:t xml:space="preserve">Current BIM coordination practice addresses geometric conflicts between building services — pipe-on-pipe clashes, services penetrating structural elements, and spatial constraints around access routes — but provides no systematic mechanism for detecting material compatibility risks. Corrosion risk assessment, where it occurs at all, depends on the individual experience of the design engineer and produces no machine-readable compliance record. This gap has three practical consequences: corrosion failures that were predictable at the design stage are discovered during construction or operation, when remediation costs are typically six to ten times higher than the equivalent design-stage intervention; regulatory requirements for traceable compliance records under frameworks such as the Building Safety Act 2022 are not satisfied; and the value of BIM investment in the detailed design stage is not fully realised.</w:t>
      </w:r>
    </w:p>
    <w:p>
      <w:pPr>
        <w:pStyle w:val="Heading2"/>
        <w:spacing w:after="160" w:before="320"/>
      </w:pPr>
      <w:r>
        <w:rPr>
          <w:rFonts w:ascii="Arial" w:cs="Arial" w:eastAsia="Arial" w:hAnsi="Arial"/>
          <w:b/>
          <w:bCs/>
          <w:color w:val="2E75B6"/>
          <w:sz w:val="28"/>
          <w:szCs w:val="28"/>
        </w:rPr>
        <w:t xml:space="preserve">1.2  Research questions</w:t>
      </w:r>
    </w:p>
    <w:p>
      <w:pPr>
        <w:spacing w:after="200" w:before="0"/>
        <w:jc w:val="both"/>
      </w:pPr>
      <w:r>
        <w:rPr>
          <w:rFonts w:ascii="Arial" w:cs="Arial" w:eastAsia="Arial" w:hAnsi="Arial"/>
          <w:sz w:val="22"/>
          <w:szCs w:val="22"/>
        </w:rPr>
        <w:t xml:space="preserve">This project addresses three primary research questions:</w:t>
      </w:r>
    </w:p>
    <w:p>
      <w:pPr>
        <w:pStyle w:val="ListParagraph"/>
        <w:numPr>
          <w:ilvl w:val="0"/>
          <w:numId w:val="2"/>
        </w:numPr>
        <w:spacing w:after="120" w:before="0"/>
      </w:pPr>
      <w:r>
        <w:rPr>
          <w:rFonts w:ascii="Arial" w:cs="Arial" w:eastAsia="Arial" w:hAnsi="Arial"/>
          <w:sz w:val="22"/>
          <w:szCs w:val="22"/>
        </w:rPr>
        <w:t xml:space="preserve">Can corrosion risk in MEP building services be reliably detected from data already present in standard IFC models, without requiring additional manual input or proprietary BIM authoring tool access?</w:t>
      </w:r>
    </w:p>
    <w:p>
      <w:pPr>
        <w:pStyle w:val="ListParagraph"/>
        <w:numPr>
          <w:ilvl w:val="0"/>
          <w:numId w:val="2"/>
        </w:numPr>
        <w:spacing w:after="120" w:before="0"/>
      </w:pPr>
      <w:r>
        <w:rPr>
          <w:rFonts w:ascii="Arial" w:cs="Arial" w:eastAsia="Arial" w:hAnsi="Arial"/>
          <w:sz w:val="22"/>
          <w:szCs w:val="22"/>
        </w:rPr>
        <w:t xml:space="preserve">Can two mechanistically distinct corrosion failure modes — galvanic corrosion and crevice corrosion — be checked simultaneously within a single automated compliance workflow, and does the combined assessment detect risks that either mechanism alone would miss?</w:t>
      </w:r>
    </w:p>
    <w:p>
      <w:pPr>
        <w:pStyle w:val="ListParagraph"/>
        <w:numPr>
          <w:ilvl w:val="0"/>
          <w:numId w:val="2"/>
        </w:numPr>
        <w:spacing w:after="120" w:before="0"/>
      </w:pPr>
      <w:r>
        <w:rPr>
          <w:rFonts w:ascii="Arial" w:cs="Arial" w:eastAsia="Arial" w:hAnsi="Arial"/>
          <w:sz w:val="22"/>
          <w:szCs w:val="22"/>
        </w:rPr>
        <w:t xml:space="preserve">Can an OpenBIM compliance checking tool — one that operates exclusively on open standards and without proprietary APIs — be deployed effectively across the range of authoring environments used by different disciplines on a typical complex project?</w:t>
      </w:r>
    </w:p>
    <w:p>
      <w:pPr>
        <w:pStyle w:val="Heading2"/>
        <w:spacing w:after="160" w:before="320"/>
      </w:pPr>
      <w:r>
        <w:rPr>
          <w:rFonts w:ascii="Arial" w:cs="Arial" w:eastAsia="Arial" w:hAnsi="Arial"/>
          <w:b/>
          <w:bCs/>
          <w:color w:val="2E75B6"/>
          <w:sz w:val="28"/>
          <w:szCs w:val="28"/>
        </w:rPr>
        <w:t xml:space="preserve">1.3  Project scope</w:t>
      </w:r>
    </w:p>
    <w:p>
      <w:pPr>
        <w:spacing w:after="200" w:before="0"/>
        <w:jc w:val="both"/>
      </w:pPr>
      <w:r>
        <w:rPr>
          <w:rFonts w:ascii="Arial" w:cs="Arial" w:eastAsia="Arial" w:hAnsi="Arial"/>
          <w:sz w:val="22"/>
          <w:szCs w:val="22"/>
        </w:rPr>
        <w:t xml:space="preserve">BIMGUARD AI is scoped to MEP building services in commercial, industrial, and institutional buildings. The tool processes IFC files conforming to IFC 2x3 or IFC4, exported from any compliant authoring tool. It checks all IfcPipeSegment, IfcPipeFitting, IfcValve, and IfcFlowController elements for which material and spatial data is available in the model. Point cloud data in .las, .laz, or .e57 format is accepted as a supplementary input for as-built deviation analysis but is not required for the compliance engines to function.</w:t>
      </w:r>
    </w:p>
    <w:p>
      <w:pPr>
        <w:spacing w:after="200" w:before="0"/>
        <w:jc w:val="both"/>
      </w:pPr>
      <w:r>
        <w:rPr>
          <w:rFonts w:ascii="Arial" w:cs="Arial" w:eastAsia="Arial" w:hAnsi="Arial"/>
          <w:sz w:val="22"/>
          <w:szCs w:val="22"/>
        </w:rPr>
        <w:t xml:space="preserve">The two corrosion mechanisms within scope are galvanic corrosion (engine GC-001) and crevice corrosion (engine CC-001). Microbially Influenced Corrosion (MIC) and stress corrosion cracking are identified as future development modules and are outside the current scope. Fire compartmentation checking was identified as a parallel compliance domain but is likewise outside the current scope.</w:t>
      </w:r>
    </w:p>
    <w:p>
      <w:pPr>
        <w:pStyle w:val="Heading2"/>
        <w:spacing w:after="160" w:before="320"/>
      </w:pPr>
      <w:r>
        <w:rPr>
          <w:rFonts w:ascii="Arial" w:cs="Arial" w:eastAsia="Arial" w:hAnsi="Arial"/>
          <w:b/>
          <w:bCs/>
          <w:color w:val="2E75B6"/>
          <w:sz w:val="28"/>
          <w:szCs w:val="28"/>
        </w:rPr>
        <w:t xml:space="preserve">1.4  Methodology overview</w:t>
      </w:r>
    </w:p>
    <w:p>
      <w:pPr>
        <w:spacing w:after="200" w:before="0"/>
        <w:jc w:val="both"/>
      </w:pPr>
      <w:r>
        <w:rPr>
          <w:rFonts w:ascii="Arial" w:cs="Arial" w:eastAsia="Arial" w:hAnsi="Arial"/>
          <w:sz w:val="22"/>
          <w:szCs w:val="22"/>
        </w:rPr>
        <w:t xml:space="preserve">BIMGUARD AI is built on a White Box Architecture in which every compliance decision is traceable to a named standard and a specific numerical threshold. Artificial intelligence and large language models are used only as a natural language interface layer; all risk scoring is performed by deterministic rule-based engines whose parameters are published in version-controlled JSON rulesets. This architectural decision is deliberate: in a safety-critical compliance context, an auditor must be able to trace any flagged risk to its evidential basis, which a black-box machine learning model cannot provide.</w:t>
      </w:r>
    </w:p>
    <w:p>
      <w:pPr>
        <w:spacing w:after="200" w:before="0"/>
        <w:jc w:val="both"/>
      </w:pPr>
      <w:r>
        <w:rPr>
          <w:rFonts w:ascii="Arial" w:cs="Arial" w:eastAsia="Arial" w:hAnsi="Arial"/>
          <w:sz w:val="22"/>
          <w:szCs w:val="22"/>
        </w:rPr>
        <w:t xml:space="preserve">The technical stack is Python and Streamlit, with ifcopenshell as the IFC parsing library. IFC is used because it is the ISO-standardised vendor-neutral exchange format for BIM data; BCF 2.1 is used as the issue output format because it is the buildingSMART open standard for issue tracking, compatible with all OpenBIM platforms. This OpenBIM methodology is a deliberate and academically significant architectural choice — it ensures that BIMGUARD AI can be used on any project regardless of which authoring tools the individual disciplines employ.</w:t>
      </w:r>
    </w:p>
    <w:p>
      <w:pPr>
        <w:spacing w:after="0" w:before="0"/>
      </w:pPr>
      <w:r>
        <w:br w:type="page"/>
      </w:r>
    </w:p>
    <w:p>
      <w:pPr>
        <w:pStyle w:val="Heading1"/>
        <w:spacing w:after="240" w:before="480"/>
      </w:pPr>
      <w:r>
        <w:rPr>
          <w:rFonts w:ascii="Arial" w:cs="Arial" w:eastAsia="Arial" w:hAnsi="Arial"/>
          <w:b/>
          <w:bCs/>
          <w:color w:val="1F3864"/>
          <w:sz w:val="36"/>
          <w:szCs w:val="36"/>
        </w:rPr>
        <w:t xml:space="preserve">Chapter 2 — Literature Review: Galvanic Corrosion</w:t>
      </w:r>
    </w:p>
    <w:p>
      <w:pPr>
        <w:pBdr>
          <w:bottom w:val="single" w:color="1F3864" w:sz="6" w:space="1"/>
        </w:pBdr>
        <w:spacing w:after="240" w:before="0"/>
      </w:pPr>
    </w:p>
    <w:p>
      <w:pPr>
        <w:pStyle w:val="Heading2"/>
        <w:spacing w:after="160" w:before="320"/>
      </w:pPr>
      <w:r>
        <w:rPr>
          <w:rFonts w:ascii="Arial" w:cs="Arial" w:eastAsia="Arial" w:hAnsi="Arial"/>
          <w:b/>
          <w:bCs/>
          <w:color w:val="2E75B6"/>
          <w:sz w:val="28"/>
          <w:szCs w:val="28"/>
        </w:rPr>
        <w:t xml:space="preserve">2.1  Electrochemical theory of galvanic corrosion</w:t>
      </w:r>
    </w:p>
    <w:p>
      <w:pPr>
        <w:spacing w:after="200" w:before="0"/>
        <w:jc w:val="both"/>
      </w:pPr>
      <w:r>
        <w:rPr>
          <w:rFonts w:ascii="Arial" w:cs="Arial" w:eastAsia="Arial" w:hAnsi="Arial"/>
          <w:sz w:val="22"/>
          <w:szCs w:val="22"/>
        </w:rPr>
        <w:t xml:space="preserve">Galvanic corrosion arises from the electrochemical potential difference between two metallic materials in electrical contact within an electrolyte. The mechanism was first described systematically by Luigi Galvani and Alessandro Volta in the late eighteenth century and has since been formalised through the development of the electrochemical series and the mixed potential theory of Evans (1960). When two metals of differing nobility are connected in an electrolyte, the less noble metal — the anode — undergoes preferential oxidation, releasing metal ions into solution while electrons travel through the metallic conduction path to the more noble metal — the cathode — where reduction reactions occur. The rate of this process is determined by the potential difference between the two metals, the conductivity of the electrolyte, the relative surface areas of the anode and cathode, and the nature of any passive films present on either metal surface.</w:t>
      </w:r>
    </w:p>
    <w:p>
      <w:pPr>
        <w:spacing w:after="200" w:before="0"/>
        <w:jc w:val="both"/>
      </w:pPr>
      <w:r>
        <w:rPr>
          <w:rFonts w:ascii="Arial" w:cs="Arial" w:eastAsia="Arial" w:hAnsi="Arial"/>
          <w:sz w:val="22"/>
          <w:szCs w:val="22"/>
        </w:rPr>
        <w:t xml:space="preserve">The galvanic series — a ranking of metals and alloys by their corrosion potential in a standard electrolyte, typically seawater — provides the primary reference framework for predicting galvanic compatibility. Metals close together in the series exhibit minimal galvanic interaction; metals widely separated are at high risk of galvanic attack on the less noble partner. The American standard NASA-STD-6012 formalises this into voltage threshold guidance: a potential difference of less than 0.15V is acceptable in harsh or outdoor environments, less than 0.25V in normal indoor environments, and less than 0.50V in fully controlled dry conditions (NASA, 2016).</w:t>
      </w:r>
    </w:p>
    <w:p>
      <w:pPr>
        <w:spacing w:after="200" w:before="0"/>
        <w:jc w:val="both"/>
      </w:pPr>
      <w:r>
        <w:rPr>
          <w:rFonts w:ascii="Arial" w:cs="Arial" w:eastAsia="Arial" w:hAnsi="Arial"/>
          <w:sz w:val="22"/>
          <w:szCs w:val="22"/>
        </w:rPr>
        <w:t xml:space="preserve">The area ratio between the anode and cathode surfaces is a critical modifying factor. A small anode connected to a large cathode produces a high galvanic current density at the anode surface, accelerating corrosion significantly beyond what the potential difference alone would predict. This is the mechanism behind the well-documented failure of carbon steel bolts in stainless steel flanges: the bolt area is small relative to the flange area, concentrating the anodic dissolution at the bolt shank (Prosoco, 2019). BIMGUARD AI accounts for this through a five-band area ratio classification incorporated in the GC-001 composite scoring model.</w:t>
      </w:r>
    </w:p>
    <w:p>
      <w:pPr>
        <w:pStyle w:val="Heading2"/>
        <w:spacing w:after="160" w:before="320"/>
      </w:pPr>
      <w:r>
        <w:rPr>
          <w:rFonts w:ascii="Arial" w:cs="Arial" w:eastAsia="Arial" w:hAnsi="Arial"/>
          <w:b/>
          <w:bCs/>
          <w:color w:val="2E75B6"/>
          <w:sz w:val="28"/>
          <w:szCs w:val="28"/>
        </w:rPr>
        <w:t xml:space="preserve">2.2  Galvanic corrosion in MEP building services</w:t>
      </w:r>
    </w:p>
    <w:p>
      <w:pPr>
        <w:spacing w:after="200" w:before="0"/>
        <w:jc w:val="both"/>
      </w:pPr>
      <w:r>
        <w:rPr>
          <w:rFonts w:ascii="Arial" w:cs="Arial" w:eastAsia="Arial" w:hAnsi="Arial"/>
          <w:sz w:val="22"/>
          <w:szCs w:val="22"/>
        </w:rPr>
        <w:t xml:space="preserve">MEP building services present a particularly complex environment for galvanic corrosion management. A typical mechanical plant room contains carbon steel, galvanised steel, stainless steel, copper, brass, aluminium, and cast iron components in close proximity, connected through shared structural supports, grounding paths, and the building water system. The AUCSC Basic Corrosion Course (2024) identifies MEP systems as among the highest-risk categories for galvanic corrosion in the built environment, noting that standard specification documents rarely address material compatibility systematically across discipline boundaries — a gap that becomes acute when mechanical contractors, electrical contractors, and structural steelwork contractors each specify materials independently without cross-referencing.</w:t>
      </w:r>
    </w:p>
    <w:p>
      <w:pPr>
        <w:spacing w:after="200" w:before="0"/>
        <w:jc w:val="both"/>
      </w:pPr>
      <w:r>
        <w:rPr>
          <w:rFonts w:ascii="Arial" w:cs="Arial" w:eastAsia="Arial" w:hAnsi="Arial"/>
          <w:sz w:val="22"/>
          <w:szCs w:val="22"/>
        </w:rPr>
        <w:t xml:space="preserve">The American Galvanizers Association (2023) documents numerous case studies of galvanic corrosion failures in building services, the most prevalent being the contact between copper condensate or chilled water pipework and galvanised steel support assemblies. The galvanic potential difference between copper and zinc (the galvanising layer) is approximately 0.50V in a normal building services environment — at the upper limit of the normal-environment threshold — and in humid plant rooms where condensation provides a regular electrolyte film, this pairing reliably produces measurable zinc dissolution within two to five years of installation. The WorldStainless and Euro Inox galvanic series data (2025) provides current reference values for the 22 materials most commonly encountered in commercial MEP applications, and these values form the foundation of the GC-001 ruleset.</w:t>
      </w:r>
    </w:p>
    <w:p>
      <w:pPr>
        <w:pStyle w:val="Heading2"/>
        <w:spacing w:after="160" w:before="320"/>
      </w:pPr>
      <w:r>
        <w:rPr>
          <w:rFonts w:ascii="Arial" w:cs="Arial" w:eastAsia="Arial" w:hAnsi="Arial"/>
          <w:b/>
          <w:bCs/>
          <w:color w:val="2E75B6"/>
          <w:sz w:val="28"/>
          <w:szCs w:val="28"/>
        </w:rPr>
        <w:t xml:space="preserve">2.3  Existing AI and computational approaches to corrosion prediction</w:t>
      </w:r>
    </w:p>
    <w:p>
      <w:pPr>
        <w:spacing w:after="200" w:before="0"/>
        <w:jc w:val="both"/>
      </w:pPr>
      <w:r>
        <w:rPr>
          <w:rFonts w:ascii="Arial" w:cs="Arial" w:eastAsia="Arial" w:hAnsi="Arial"/>
          <w:sz w:val="22"/>
          <w:szCs w:val="22"/>
        </w:rPr>
        <w:t xml:space="preserve">Computational approaches to corrosion prediction have developed substantially since the early 2000s, primarily in the offshore oil and gas sector where the economic consequences of pipeline corrosion are most severe. Machine learning models for corrosion rate prediction — typically using gradient boosting, neural networks, or support vector machines trained on corrosion monitoring data — have demonstrated strong predictive performance in environments with rich historical sensor data (Alamri et al., 2020). However, these data-driven approaches require substantial training datasets of the kind that are available for operating offshore pipelines but not for buildings in the design stage, where no corrosion history yet exists.</w:t>
      </w:r>
    </w:p>
    <w:p>
      <w:pPr>
        <w:spacing w:after="200" w:before="0"/>
        <w:jc w:val="both"/>
      </w:pPr>
      <w:r>
        <w:rPr>
          <w:rFonts w:ascii="Arial" w:cs="Arial" w:eastAsia="Arial" w:hAnsi="Arial"/>
          <w:sz w:val="22"/>
          <w:szCs w:val="22"/>
        </w:rPr>
        <w:t xml:space="preserve">Rule-based expert systems, by contrast, can operate on design data alone. The NACE Corrosion Prediction System and similar tools encode expert knowledge in the form of if-then rules derived from published standards, enabling corrosion risk to be assessed from materials specifications and environmental classifications without requiring historical monitoring data. BIMGUARD AI adopts this rule-based approach, embedding the thresholds and material data from published standards directly in the compliance engine rather than training models on empirical data. The advantage in a design-stage BIM context is that the rules are transparent, auditable, and directly traceable to cited standards — a requirement for regulatory compliance that black-box approaches cannot satisfy.</w:t>
      </w:r>
    </w:p>
    <w:p>
      <w:pPr>
        <w:pStyle w:val="Heading2"/>
        <w:spacing w:after="160" w:before="320"/>
      </w:pPr>
      <w:r>
        <w:rPr>
          <w:rFonts w:ascii="Arial" w:cs="Arial" w:eastAsia="Arial" w:hAnsi="Arial"/>
          <w:b/>
          <w:bCs/>
          <w:color w:val="2E75B6"/>
          <w:sz w:val="28"/>
          <w:szCs w:val="28"/>
        </w:rPr>
        <w:t xml:space="preserve">2.4  BIM automation for compliance checking</w:t>
      </w:r>
    </w:p>
    <w:p>
      <w:pPr>
        <w:spacing w:after="200" w:before="0"/>
        <w:jc w:val="both"/>
      </w:pPr>
      <w:r>
        <w:rPr>
          <w:rFonts w:ascii="Arial" w:cs="Arial" w:eastAsia="Arial" w:hAnsi="Arial"/>
          <w:sz w:val="22"/>
          <w:szCs w:val="22"/>
        </w:rPr>
        <w:t xml:space="preserve">Automated compliance checking using BIM data has been an active research area since the early 2010s, with particular attention paid to building code compliance (Eastman et al., 2011; Solihin and Eastman, 2015). The general workflow — parse an IFC model, extract relevant properties, compare against a rule set, generate an issue report — is well-established and has been implemented in commercial tools including Solibri, DESITE, and dRofus. However, these tools focus on geometric, spatial, and information compliance — room dimensions, required clearances, presence of required property sets — rather than on material science or engineering discipline-specific risk assessment.</w:t>
      </w:r>
    </w:p>
    <w:p>
      <w:pPr>
        <w:spacing w:after="200" w:before="0"/>
        <w:jc w:val="both"/>
      </w:pPr>
      <w:r>
        <w:rPr>
          <w:rFonts w:ascii="Arial" w:cs="Arial" w:eastAsia="Arial" w:hAnsi="Arial"/>
          <w:sz w:val="22"/>
          <w:szCs w:val="22"/>
        </w:rPr>
        <w:t xml:space="preserve">The buildingSMART Information Delivery Specification (IDS) provides a standardised format for expressing what information an IFC model must contain to satisfy a given exchange requirement, but it addresses information completeness rather than technical compliance: it can verify that a pipe element has a material property set, but not whether the specified material is compatible with adjacent elements. BIMGUARD AI extends the IFC compliance checking paradigm into the technical domain, using the material and spatial data already present in the model to perform engineering-level risk assessment that existing tools cannot provide.</w:t>
      </w:r>
    </w:p>
    <w:p>
      <w:pPr>
        <w:pStyle w:val="Heading2"/>
        <w:spacing w:after="160" w:before="320"/>
      </w:pPr>
      <w:r>
        <w:rPr>
          <w:rFonts w:ascii="Arial" w:cs="Arial" w:eastAsia="Arial" w:hAnsi="Arial"/>
          <w:b/>
          <w:bCs/>
          <w:color w:val="2E75B6"/>
          <w:sz w:val="28"/>
          <w:szCs w:val="28"/>
        </w:rPr>
        <w:t xml:space="preserve">2.5  Identified research gap</w:t>
      </w:r>
    </w:p>
    <w:p>
      <w:pPr>
        <w:spacing w:after="200" w:before="0"/>
        <w:jc w:val="both"/>
      </w:pPr>
      <w:r>
        <w:rPr>
          <w:rFonts w:ascii="Arial" w:cs="Arial" w:eastAsia="Arial" w:hAnsi="Arial"/>
          <w:sz w:val="22"/>
          <w:szCs w:val="22"/>
        </w:rPr>
        <w:t xml:space="preserve">The literature review identifies a clear and specific gap: no existing automated BIM compliance checking tool assesses corrosion risk from IFC model data. Material compatibility checking in MEP design relies entirely on individual engineer experience and produces no machine-readable record. This gap has practical consequences — predictable corrosion failures that could have been addressed during design are discovered during construction or operation — and regulatory consequences, as the Building Safety Act 2022 requires traceable compliance records for higher-risk buildings that current practice cannot produce. BIMGUARD AI is designed to address this gap directly.</w:t>
      </w:r>
    </w:p>
    <w:p>
      <w:pPr>
        <w:spacing w:after="0" w:before="0"/>
      </w:pPr>
      <w:r>
        <w:br w:type="page"/>
      </w:r>
    </w:p>
    <w:p>
      <w:pPr>
        <w:pStyle w:val="Heading1"/>
        <w:spacing w:after="240" w:before="480"/>
      </w:pPr>
      <w:r>
        <w:rPr>
          <w:rFonts w:ascii="Arial" w:cs="Arial" w:eastAsia="Arial" w:hAnsi="Arial"/>
          <w:b/>
          <w:bCs/>
          <w:color w:val="1F3864"/>
          <w:sz w:val="36"/>
          <w:szCs w:val="36"/>
        </w:rPr>
        <w:t xml:space="preserve">Chapter 3 — Methodology: GC-001 Galvanic Corrosion Engine</w:t>
      </w:r>
    </w:p>
    <w:p>
      <w:pPr>
        <w:pBdr>
          <w:bottom w:val="single" w:color="1F3864" w:sz="6" w:space="1"/>
        </w:pBdr>
        <w:spacing w:after="240" w:before="0"/>
      </w:pPr>
    </w:p>
    <w:p>
      <w:pPr>
        <w:pStyle w:val="Heading2"/>
        <w:spacing w:after="160" w:before="320"/>
      </w:pPr>
      <w:r>
        <w:rPr>
          <w:rFonts w:ascii="Arial" w:cs="Arial" w:eastAsia="Arial" w:hAnsi="Arial"/>
          <w:b/>
          <w:bCs/>
          <w:color w:val="2E75B6"/>
          <w:sz w:val="28"/>
          <w:szCs w:val="28"/>
        </w:rPr>
        <w:t xml:space="preserve">3.1  Ruleset development process</w:t>
      </w:r>
    </w:p>
    <w:p>
      <w:pPr>
        <w:spacing w:after="200" w:before="0"/>
        <w:jc w:val="both"/>
      </w:pPr>
      <w:r>
        <w:rPr>
          <w:rFonts w:ascii="Arial" w:cs="Arial" w:eastAsia="Arial" w:hAnsi="Arial"/>
          <w:sz w:val="22"/>
          <w:szCs w:val="22"/>
        </w:rPr>
        <w:t xml:space="preserve">The GC-001 ruleset was developed through a structured literature synthesis process, drawing on the standards and data sources identified in the literature review. Each parameter in the scoring model was derived from a named published source, and the correspondence between source data and engine parameter was documented in the JSON ruleset file (galvanic_corrosion_ruleset.json, version 1.0.0). This documentation-first approach ensures that any compliance decision produced by the engine can be traced to its evidential basis — a requirement of the White Box Architecture and a prerequisite for regulatory acceptance.</w:t>
      </w:r>
    </w:p>
    <w:p>
      <w:pPr>
        <w:pStyle w:val="Heading2"/>
        <w:spacing w:after="160" w:before="320"/>
      </w:pPr>
      <w:r>
        <w:rPr>
          <w:rFonts w:ascii="Arial" w:cs="Arial" w:eastAsia="Arial" w:hAnsi="Arial"/>
          <w:b/>
          <w:bCs/>
          <w:color w:val="2E75B6"/>
          <w:sz w:val="28"/>
          <w:szCs w:val="28"/>
        </w:rPr>
        <w:t xml:space="preserve">3.2  Galvanic series and material potential table</w:t>
      </w:r>
    </w:p>
    <w:p>
      <w:pPr>
        <w:spacing w:after="200" w:before="0"/>
        <w:jc w:val="both"/>
      </w:pPr>
      <w:r>
        <w:rPr>
          <w:rFonts w:ascii="Arial" w:cs="Arial" w:eastAsia="Arial" w:hAnsi="Arial"/>
          <w:sz w:val="22"/>
          <w:szCs w:val="22"/>
        </w:rPr>
        <w:t xml:space="preserve">The galvanic potential table in GC-001 covers 22 construction materials commonly encountered in MEP building services, ordered from most noble (cathodic) to least noble (anodic). Potential values are expressed as corrosion potentials in seawater, sourced from WorldStainless/Euro Inox (2025) and the AUCSC Basic Corrosion Course galvanic series (2024), with cross-referencing against ASTM data. The 22 materials included are:</w:t>
      </w:r>
    </w:p>
    <w:p>
      <w:pPr>
        <w:spacing w:after="200" w:before="0"/>
        <w:jc w:val="both"/>
      </w:pPr>
      <w:r>
        <w:rPr>
          <w:rFonts w:ascii="Arial" w:cs="Arial" w:eastAsia="Arial" w:hAnsi="Arial"/>
          <w:sz w:val="22"/>
          <w:szCs w:val="22"/>
        </w:rPr>
        <w:t xml:space="preserve">Platinum, gold, graphite, titanium, SS 316 (passive), SS 304 (passive), Hastelloy C, silver solder, SS 316 (active), copper, brass (70/30), bronze, SS 304 (active), cast iron, carbon/low alloy steel, aluminium alloys, cadmium, zinc, galvanised steel, and magnesium alloys.</w:t>
      </w:r>
    </w:p>
    <w:p>
      <w:pPr>
        <w:spacing w:after="200" w:before="0"/>
        <w:jc w:val="both"/>
      </w:pPr>
      <w:r>
        <w:rPr>
          <w:rFonts w:ascii="Arial" w:cs="Arial" w:eastAsia="Arial" w:hAnsi="Arial"/>
          <w:sz w:val="22"/>
          <w:szCs w:val="22"/>
        </w:rPr>
        <w:t xml:space="preserve">The voltage gap between any two materials is calculated as the absolute difference between their tabulated potential values. This gap is then compared against the threshold applicable to the environment class of the space containing the element pair.</w:t>
      </w:r>
    </w:p>
    <w:p>
      <w:pPr>
        <w:pStyle w:val="Heading2"/>
        <w:spacing w:after="160" w:before="320"/>
      </w:pPr>
      <w:r>
        <w:rPr>
          <w:rFonts w:ascii="Arial" w:cs="Arial" w:eastAsia="Arial" w:hAnsi="Arial"/>
          <w:b/>
          <w:bCs/>
          <w:color w:val="2E75B6"/>
          <w:sz w:val="28"/>
          <w:szCs w:val="28"/>
        </w:rPr>
        <w:t xml:space="preserve">3.3  Environment classification</w:t>
      </w:r>
    </w:p>
    <w:p>
      <w:pPr>
        <w:spacing w:after="200" w:before="0"/>
        <w:jc w:val="both"/>
      </w:pPr>
      <w:r>
        <w:rPr>
          <w:rFonts w:ascii="Arial" w:cs="Arial" w:eastAsia="Arial" w:hAnsi="Arial"/>
          <w:sz w:val="22"/>
          <w:szCs w:val="22"/>
        </w:rPr>
        <w:t xml:space="preserve">Seven environment classes are defined in GC-001, each with a corresponding voltage threshold derived from NASA-STD-6012 and modified for the building services context: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2413"/>
        <w:gridCol w:w="2213"/>
      </w:tblGrid>
      <w:tr>
        <w:trPr>
          <w:tblHeader/>
        </w:trPr>
        <w:tc>
          <w:tcPr>
            <w:tcW w:type="dxa" w:w="1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Class</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24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Voltage threshold</w:t>
            </w:r>
          </w:p>
        </w:tc>
        <w:tc>
          <w:tcPr>
            <w:tcW w:type="dxa" w:w="22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Source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E1</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Fully controlled dry indoor</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0.50V</w:t>
            </w:r>
          </w:p>
        </w:tc>
        <w:tc>
          <w:tcPr>
            <w:tcW w:type="dxa" w:w="2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NASA-STD-6012</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E2</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Normal heated indoor</w:t>
            </w:r>
          </w:p>
        </w:tc>
        <w:tc>
          <w:tcPr>
            <w:tcW w:type="dxa" w:w="2413"/>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0.25V</w:t>
            </w:r>
          </w:p>
        </w:tc>
        <w:tc>
          <w:tcPr>
            <w:tcW w:type="dxa" w:w="2213"/>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NASA-STD-6012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E3</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Humid plant room</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0.15V</w:t>
            </w:r>
          </w:p>
        </w:tc>
        <w:tc>
          <w:tcPr>
            <w:tcW w:type="dxa" w:w="2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NASA-STD-6012</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E4</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External sheltered</w:t>
            </w:r>
          </w:p>
        </w:tc>
        <w:tc>
          <w:tcPr>
            <w:tcW w:type="dxa" w:w="2413"/>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0.15V</w:t>
            </w:r>
          </w:p>
        </w:tc>
        <w:tc>
          <w:tcPr>
            <w:tcW w:type="dxa" w:w="2213"/>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NASA-STD-6012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E5</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External exposed</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0.10V</w:t>
            </w:r>
          </w:p>
        </w:tc>
        <w:tc>
          <w:tcPr>
            <w:tcW w:type="dxa" w:w="2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NASA-STD-6012</w:t>
            </w:r>
          </w:p>
        </w:tc>
      </w:tr>
      <w:tr>
        <w:tc>
          <w:tcPr>
            <w:tcW w:type="dxa" w:w="1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E6</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Pool or spa enclosure</w:t>
            </w:r>
          </w:p>
        </w:tc>
        <w:tc>
          <w:tcPr>
            <w:tcW w:type="dxa" w:w="2413"/>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0.10V</w:t>
            </w:r>
          </w:p>
        </w:tc>
        <w:tc>
          <w:tcPr>
            <w:tcW w:type="dxa" w:w="2213"/>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NASA-STD-6012</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E7</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Coastal or marine</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0.05V</w:t>
            </w:r>
          </w:p>
        </w:tc>
        <w:tc>
          <w:tcPr>
            <w:tcW w:type="dxa" w:w="22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NASA-STD-6012 / Euro Inox</w:t>
            </w:r>
          </w:p>
        </w:tc>
      </w:tr>
    </w:tbl>
    <w:p>
      <w:pPr>
        <w:spacing w:after="240" w:before="60"/>
        <w:jc w:val="center"/>
      </w:pPr>
      <w:r>
        <w:rPr>
          <w:rFonts w:ascii="Arial" w:cs="Arial" w:eastAsia="Arial" w:hAnsi="Arial"/>
          <w:i/>
          <w:iCs/>
          <w:color w:val="666666"/>
          <w:sz w:val="20"/>
          <w:szCs w:val="20"/>
        </w:rPr>
        <w:t xml:space="preserve">Table 3.2: Environment class definitions and voltage thresholds (GC-001 v1.0.0)</w:t>
      </w:r>
    </w:p>
    <w:p>
      <w:pPr>
        <w:spacing w:after="200" w:before="0"/>
        <w:jc w:val="both"/>
      </w:pPr>
      <w:r>
        <w:rPr>
          <w:rFonts w:ascii="Arial" w:cs="Arial" w:eastAsia="Arial" w:hAnsi="Arial"/>
          <w:sz w:val="22"/>
          <w:szCs w:val="22"/>
        </w:rPr>
        <w:t xml:space="preserve">Environment class is read from Pset_ZoneCommon.Category on the IfcZone containing the element. Where no zone metadata is present, the engine defaults to E3 (humid plant room) as a conservative fallback.</w:t>
      </w:r>
    </w:p>
    <w:p>
      <w:pPr>
        <w:pStyle w:val="Heading2"/>
        <w:spacing w:after="160" w:before="320"/>
      </w:pPr>
      <w:r>
        <w:rPr>
          <w:rFonts w:ascii="Arial" w:cs="Arial" w:eastAsia="Arial" w:hAnsi="Arial"/>
          <w:b/>
          <w:bCs/>
          <w:color w:val="2E75B6"/>
          <w:sz w:val="28"/>
          <w:szCs w:val="28"/>
        </w:rPr>
        <w:t xml:space="preserve">3.4  Area ratio risk bands</w:t>
      </w:r>
    </w:p>
    <w:p>
      <w:pPr>
        <w:spacing w:after="200" w:before="0"/>
        <w:jc w:val="both"/>
      </w:pPr>
      <w:r>
        <w:rPr>
          <w:rFonts w:ascii="Arial" w:cs="Arial" w:eastAsia="Arial" w:hAnsi="Arial"/>
          <w:sz w:val="22"/>
          <w:szCs w:val="22"/>
        </w:rPr>
        <w:t xml:space="preserve">The area ratio — the ratio of the anode surface area to the cathode surface area — is classified into five bands. A low area ratio (small anode, large cathode) represents the most dangerous configuration as it concentrates anodic current density. The five bands and their corresponding risk multipliers, derived from Prosoco Technical Note 104 (2019) and the AUCSC Basic Corrosion Course (2024), are: Favourable (&gt;5.0, multiplier 0.20), Acceptable (2.0–5.0, multiplier 0.40), Moderate (0.5–2.0, multiplier 0.60), Unfavourable (0.1–0.5, multiplier 0.80), and Critical (&lt;0.1, multiplier 1.00).</w:t>
      </w:r>
    </w:p>
    <w:p>
      <w:pPr>
        <w:pStyle w:val="Heading2"/>
        <w:spacing w:after="160" w:before="320"/>
      </w:pPr>
      <w:r>
        <w:rPr>
          <w:rFonts w:ascii="Arial" w:cs="Arial" w:eastAsia="Arial" w:hAnsi="Arial"/>
          <w:b/>
          <w:bCs/>
          <w:color w:val="2E75B6"/>
          <w:sz w:val="28"/>
          <w:szCs w:val="28"/>
        </w:rPr>
        <w:t xml:space="preserve">3.5  PREN adequacy check</w:t>
      </w:r>
    </w:p>
    <w:p>
      <w:pPr>
        <w:spacing w:after="200" w:before="0"/>
        <w:jc w:val="both"/>
      </w:pPr>
      <w:r>
        <w:rPr>
          <w:rFonts w:ascii="Arial" w:cs="Arial" w:eastAsia="Arial" w:hAnsi="Arial"/>
          <w:sz w:val="22"/>
          <w:szCs w:val="22"/>
        </w:rPr>
        <w:t xml:space="preserve">For stainless steel materials, GC-001 performs an additional Pitting Resistance Equivalent Number (PREN) adequacy check alongside the galvanic voltage gap assessment. PREN is calculated using the IMOA Design Manual formula:</w:t>
      </w:r>
    </w:p>
    <w:p>
      <w:pPr>
        <w:spacing w:after="160" w:before="160"/>
        <w:jc w:val="center"/>
      </w:pPr>
      <w:r>
        <w:rPr>
          <w:rFonts w:ascii="Courier New" w:cs="Courier New" w:eastAsia="Courier New" w:hAnsi="Courier New"/>
          <w:b/>
          <w:bCs/>
          <w:color w:val="1F3864"/>
          <w:sz w:val="22"/>
          <w:szCs w:val="22"/>
        </w:rPr>
        <w:t xml:space="preserve">PREN = %Cr + 3.3 × %Mo + 16 × %N</w:t>
      </w:r>
    </w:p>
    <w:p>
      <w:pPr>
        <w:spacing w:after="200" w:before="0"/>
        <w:jc w:val="both"/>
      </w:pPr>
      <w:r>
        <w:rPr>
          <w:rFonts w:ascii="Arial" w:cs="Arial" w:eastAsia="Arial" w:hAnsi="Arial"/>
          <w:sz w:val="22"/>
          <w:szCs w:val="22"/>
        </w:rPr>
        <w:t xml:space="preserve">Minimum PREN thresholds by environment class are: E1–E2: PREN ≥ 18 (SS 304 adequate); E3–E4: PREN ≥ 25 (SS 316 required); E5–E7: PREN ≥ 32 (Duplex 2205 or higher required). Where a stainless steel grade is specified with a PREN below the threshold for its environment class, the engine flags a PREN inadequacy regardless of the galvanic voltage gap result. This check addresses the case where a material is galvanically noble but susceptible to pitting corrosion in its operating environment — a failure mode that the voltage gap check alone cannot detect.</w:t>
      </w:r>
    </w:p>
    <w:p>
      <w:pPr>
        <w:pStyle w:val="Heading2"/>
        <w:spacing w:after="160" w:before="320"/>
      </w:pPr>
      <w:r>
        <w:rPr>
          <w:rFonts w:ascii="Arial" w:cs="Arial" w:eastAsia="Arial" w:hAnsi="Arial"/>
          <w:b/>
          <w:bCs/>
          <w:color w:val="2E75B6"/>
          <w:sz w:val="28"/>
          <w:szCs w:val="28"/>
        </w:rPr>
        <w:t xml:space="preserve">3.6  Weighted composite scoring model</w:t>
      </w:r>
    </w:p>
    <w:p>
      <w:pPr>
        <w:spacing w:after="200" w:before="0"/>
        <w:jc w:val="both"/>
      </w:pPr>
      <w:r>
        <w:rPr>
          <w:rFonts w:ascii="Arial" w:cs="Arial" w:eastAsia="Arial" w:hAnsi="Arial"/>
          <w:sz w:val="22"/>
          <w:szCs w:val="22"/>
        </w:rPr>
        <w:t xml:space="preserve">GC-001 calculates a composite risk score for each element pair using a weighted combination of three sub-scores:</w:t>
      </w:r>
    </w:p>
    <w:p>
      <w:pPr>
        <w:spacing w:after="160" w:before="160"/>
        <w:jc w:val="center"/>
      </w:pPr>
      <w:r>
        <w:rPr>
          <w:rFonts w:ascii="Courier New" w:cs="Courier New" w:eastAsia="Courier New" w:hAnsi="Courier New"/>
          <w:b/>
          <w:bCs/>
          <w:color w:val="1F3864"/>
          <w:sz w:val="22"/>
          <w:szCs w:val="22"/>
        </w:rPr>
        <w:t xml:space="preserve">Score_GC = (0.50 × voltage_risk) + (0.30 × area_ratio_risk) + (0.20 × environment_multiplier)</w:t>
      </w:r>
    </w:p>
    <w:p>
      <w:pPr>
        <w:spacing w:after="200" w:before="0"/>
        <w:jc w:val="both"/>
      </w:pPr>
      <w:r>
        <w:rPr>
          <w:rFonts w:ascii="Arial" w:cs="Arial" w:eastAsia="Arial" w:hAnsi="Arial"/>
          <w:sz w:val="22"/>
          <w:szCs w:val="22"/>
        </w:rPr>
        <w:t xml:space="preserve">The voltage risk sub-score is normalised: a gap of zero produces 0.00 and a gap equal to or exceeding the environment threshold produces 1.00, with linear interpolation between. The area ratio risk sub-score uses the band multipliers defined in Section 3.4. The environment multiplier scales from 0.20 (E1) to 1.00 (E7), reflecting the increasing probability of electrolyte formation in progressively aggressive environments.</w:t>
      </w:r>
    </w:p>
    <w:p>
      <w:pPr>
        <w:spacing w:after="200" w:before="0"/>
        <w:jc w:val="both"/>
      </w:pPr>
      <w:r>
        <w:rPr>
          <w:rFonts w:ascii="Arial" w:cs="Arial" w:eastAsia="Arial" w:hAnsi="Arial"/>
          <w:sz w:val="22"/>
          <w:szCs w:val="22"/>
        </w:rPr>
        <w:t xml:space="preserve">The composite score maps to four risk bands: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413"/>
        <w:gridCol w:w="1813"/>
      </w:tblGrid>
      <w:tr>
        <w:trPr>
          <w:tblHeader/>
        </w:trPr>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Risk band</w:t>
            </w:r>
          </w:p>
        </w:tc>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Score range</w:t>
            </w:r>
          </w:p>
        </w:tc>
        <w:tc>
          <w:tcPr>
            <w:tcW w:type="dxa" w:w="24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BCF priority</w:t>
            </w:r>
          </w:p>
        </w:tc>
        <w:tc>
          <w:tcPr>
            <w:tcW w:type="dxa" w:w="18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Colour code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&lt; 0.35</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Minor</w:t>
            </w:r>
          </w:p>
        </w:tc>
        <w:tc>
          <w:tcPr>
            <w:tcW w:type="dxa" w:w="1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Green</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Medium</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0.35 – 0.65</w:t>
            </w:r>
          </w:p>
        </w:tc>
        <w:tc>
          <w:tcPr>
            <w:tcW w:type="dxa" w:w="2413"/>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Normal</w:t>
            </w:r>
          </w:p>
        </w:tc>
        <w:tc>
          <w:tcPr>
            <w:tcW w:type="dxa" w:w="1813"/>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Amber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High</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0.65 – 0.85</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Major</w:t>
            </w:r>
          </w:p>
        </w:tc>
        <w:tc>
          <w:tcPr>
            <w:tcW w:type="dxa" w:w="1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Orange</w:t>
            </w:r>
          </w:p>
        </w:tc>
      </w:tr>
      <w:tr>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Critical</w:t>
            </w:r>
          </w:p>
        </w:tc>
        <w:tc>
          <w:tcPr>
            <w:tcW w:type="dxa" w:w="2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&gt; 0.85</w:t>
            </w:r>
          </w:p>
        </w:tc>
        <w:tc>
          <w:tcPr>
            <w:tcW w:type="dxa" w:w="2413"/>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Critical</w:t>
            </w:r>
          </w:p>
        </w:tc>
        <w:tc>
          <w:tcPr>
            <w:tcW w:type="dxa" w:w="1813"/>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Red</w:t>
            </w:r>
          </w:p>
        </w:tc>
      </w:tr>
    </w:tbl>
    <w:p>
      <w:pPr>
        <w:spacing w:after="240" w:before="60"/>
        <w:jc w:val="center"/>
      </w:pPr>
      <w:r>
        <w:rPr>
          <w:rFonts w:ascii="Arial" w:cs="Arial" w:eastAsia="Arial" w:hAnsi="Arial"/>
          <w:i/>
          <w:iCs/>
          <w:color w:val="666666"/>
          <w:sz w:val="20"/>
          <w:szCs w:val="20"/>
        </w:rPr>
        <w:t xml:space="preserve">Table 3.4: GC-001 composite risk score bands</w:t>
      </w:r>
    </w:p>
    <w:p>
      <w:pPr>
        <w:spacing w:after="200" w:before="0"/>
        <w:jc w:val="both"/>
      </w:pPr>
      <w:r>
        <w:rPr>
          <w:rFonts w:ascii="Arial" w:cs="Arial" w:eastAsia="Arial" w:hAnsi="Arial"/>
          <w:sz w:val="22"/>
          <w:szCs w:val="22"/>
        </w:rPr>
        <w:t xml:space="preserve">BCF issues are generated for all Medium, High, and Critical results. Low results are recorded in the asset register but do not generate BCF issues unless the environment class is subsequently upgraded.</w:t>
      </w:r>
    </w:p>
    <w:p>
      <w:pPr>
        <w:pStyle w:val="Heading2"/>
        <w:spacing w:after="160" w:before="320"/>
      </w:pPr>
      <w:r>
        <w:rPr>
          <w:rFonts w:ascii="Arial" w:cs="Arial" w:eastAsia="Arial" w:hAnsi="Arial"/>
          <w:b/>
          <w:bCs/>
          <w:color w:val="2E75B6"/>
          <w:sz w:val="28"/>
          <w:szCs w:val="28"/>
        </w:rPr>
        <w:t xml:space="preserve">3.7  Validation approach</w:t>
      </w:r>
    </w:p>
    <w:p>
      <w:pPr>
        <w:spacing w:after="200" w:before="0"/>
        <w:jc w:val="both"/>
      </w:pPr>
      <w:r>
        <w:rPr>
          <w:rFonts w:ascii="Arial" w:cs="Arial" w:eastAsia="Arial" w:hAnsi="Arial"/>
          <w:sz w:val="22"/>
          <w:szCs w:val="22"/>
        </w:rPr>
        <w:t xml:space="preserve">GC-001 was validated against five designed test scenarios covering the range of expected real-world results: a copper-galvanised steel pairing in a humid plant room (expected Critical); an SS316–SS304 pairing in a controlled indoor environment (expected Low); a carbon steel–aluminium pairing in an external exposed environment (expected High); a titanium–SS316 pairing in a pool enclosure (expected Low, due to titanium nobility); and a brass–carbon steel pairing in a normal indoor environment (expected Medium). All five scenarios produced results consistent with engineering expectation, validating the scoring model against known outcomes before deployment on the full validation dataset.</w:t>
      </w:r>
    </w:p>
    <w:p>
      <w:pPr>
        <w:spacing w:after="0" w:before="0"/>
      </w:pPr>
      <w:r>
        <w:br w:type="page"/>
      </w:r>
    </w:p>
    <w:p>
      <w:pPr>
        <w:pStyle w:val="Heading1"/>
        <w:spacing w:after="240" w:before="480"/>
      </w:pPr>
      <w:r>
        <w:rPr>
          <w:rFonts w:ascii="Arial" w:cs="Arial" w:eastAsia="Arial" w:hAnsi="Arial"/>
          <w:b/>
          <w:bCs/>
          <w:color w:val="1F3864"/>
          <w:sz w:val="36"/>
          <w:szCs w:val="36"/>
        </w:rPr>
        <w:t xml:space="preserve">Chapter 4 — System Architecture</w:t>
      </w:r>
    </w:p>
    <w:p>
      <w:pPr>
        <w:pBdr>
          <w:bottom w:val="single" w:color="1F3864" w:sz="6" w:space="1"/>
        </w:pBdr>
        <w:spacing w:after="240" w:before="0"/>
      </w:pPr>
    </w:p>
    <w:p>
      <w:pPr>
        <w:pStyle w:val="Heading2"/>
        <w:spacing w:after="160" w:before="320"/>
      </w:pPr>
      <w:r>
        <w:rPr>
          <w:rFonts w:ascii="Arial" w:cs="Arial" w:eastAsia="Arial" w:hAnsi="Arial"/>
          <w:b/>
          <w:bCs/>
          <w:color w:val="2E75B6"/>
          <w:sz w:val="28"/>
          <w:szCs w:val="28"/>
        </w:rPr>
        <w:t xml:space="preserve">4.1  White Box Architecture rationale</w:t>
      </w:r>
    </w:p>
    <w:p>
      <w:pPr>
        <w:spacing w:after="200" w:before="0"/>
        <w:jc w:val="both"/>
      </w:pPr>
      <w:r>
        <w:rPr>
          <w:rFonts w:ascii="Arial" w:cs="Arial" w:eastAsia="Arial" w:hAnsi="Arial"/>
          <w:sz w:val="22"/>
          <w:szCs w:val="22"/>
        </w:rPr>
        <w:t xml:space="preserve">The BIMGUARD AI system is built on a White Box Architecture in which every compliance decision is traceable to a named standard, a specific threshold, and a version-controlled ruleset. This is a deliberate departure from the black-box machine learning approaches that dominate contemporary AI applications. In a compliance-checking context, transparency is not a preference but a requirement: a building owner, project team member, or regulatory inspector who receives a BIMGUARD risk flag must be able to follow the reasoning from the flag back to the engineering basis, without needing to understand the internal workings of a trained model. The White Box Architecture satisfies this requirement by encoding all thresholds and material data in human-readable JSON rulesets and maintaining a complete audit trail from each BCF issue to the specific ruleset version and standard reference that generated it.</w:t>
      </w:r>
    </w:p>
    <w:p>
      <w:pPr>
        <w:spacing w:after="200" w:before="0"/>
        <w:jc w:val="both"/>
      </w:pPr>
      <w:r>
        <w:rPr>
          <w:rFonts w:ascii="Arial" w:cs="Arial" w:eastAsia="Arial" w:hAnsi="Arial"/>
          <w:sz w:val="22"/>
          <w:szCs w:val="22"/>
        </w:rPr>
        <w:t xml:space="preserve">AI and large language model capabilities are used in BIMGUARD AI only as a natural language interface layer — for querying the NotebookLM knowledge base and for generating human-readable descriptions of risk findings. The risk scoring itself is performed entirely by the deterministic engines GC-001 and CC-001.</w:t>
      </w:r>
    </w:p>
    <w:p>
      <w:pPr>
        <w:pStyle w:val="Heading2"/>
        <w:spacing w:after="160" w:before="320"/>
      </w:pPr>
      <w:r>
        <w:rPr>
          <w:rFonts w:ascii="Arial" w:cs="Arial" w:eastAsia="Arial" w:hAnsi="Arial"/>
          <w:b/>
          <w:bCs/>
          <w:color w:val="2E75B6"/>
          <w:sz w:val="28"/>
          <w:szCs w:val="28"/>
        </w:rPr>
        <w:t xml:space="preserve">4.2  IFC parser module</w:t>
      </w:r>
    </w:p>
    <w:p>
      <w:pPr>
        <w:spacing w:after="200" w:before="0"/>
        <w:jc w:val="both"/>
      </w:pPr>
      <w:r>
        <w:rPr>
          <w:rFonts w:ascii="Arial" w:cs="Arial" w:eastAsia="Arial" w:hAnsi="Arial"/>
          <w:sz w:val="22"/>
          <w:szCs w:val="22"/>
        </w:rPr>
        <w:t xml:space="preserve">The IFC parser module (modules/ifc_parser.py) uses the ifcopenshell open source Python library to read IFC files conforming to either IFC 2x3 or IFC4 schema. For each IfcPipeSegment, IfcPipeFitting, IfcValve, and IfcFlowController element in the model, the parser extracts:</w:t>
      </w:r>
    </w:p>
    <w:p>
      <w:pPr>
        <w:pStyle w:val="ListParagraph"/>
        <w:numPr>
          <w:ilvl w:val="0"/>
          <w:numId w:val="3"/>
        </w:numPr>
        <w:spacing w:after="120" w:before="0"/>
      </w:pPr>
      <w:r>
        <w:rPr>
          <w:rFonts w:ascii="Arial" w:cs="Arial" w:eastAsia="Arial" w:hAnsi="Arial"/>
          <w:sz w:val="22"/>
          <w:szCs w:val="22"/>
        </w:rPr>
        <w:t xml:space="preserve">GlobalID — the unique element identifier used as the key for BCF issue generation</w:t>
      </w:r>
    </w:p>
    <w:p>
      <w:pPr>
        <w:pStyle w:val="ListParagraph"/>
        <w:numPr>
          <w:ilvl w:val="0"/>
          <w:numId w:val="3"/>
        </w:numPr>
        <w:spacing w:after="120" w:before="0"/>
      </w:pPr>
      <w:r>
        <w:rPr>
          <w:rFonts w:ascii="Arial" w:cs="Arial" w:eastAsia="Arial" w:hAnsi="Arial"/>
          <w:sz w:val="22"/>
          <w:szCs w:val="22"/>
        </w:rPr>
        <w:t xml:space="preserve">ObjectPlacement — Cartesian coordinates of the element centroid, used for BCF viewpoint generation</w:t>
      </w:r>
    </w:p>
    <w:p>
      <w:pPr>
        <w:pStyle w:val="ListParagraph"/>
        <w:numPr>
          <w:ilvl w:val="0"/>
          <w:numId w:val="3"/>
        </w:numPr>
        <w:spacing w:after="120" w:before="0"/>
      </w:pPr>
      <w:r>
        <w:rPr>
          <w:rFonts w:ascii="Arial" w:cs="Arial" w:eastAsia="Arial" w:hAnsi="Arial"/>
          <w:sz w:val="22"/>
          <w:szCs w:val="22"/>
        </w:rPr>
        <w:t xml:space="preserve">Material name — from Pset_MaterialCommon.Name or IfcMaterial.Name, normalised to the BIMGUARD material key system</w:t>
      </w:r>
    </w:p>
    <w:p>
      <w:pPr>
        <w:pStyle w:val="ListParagraph"/>
        <w:numPr>
          <w:ilvl w:val="0"/>
          <w:numId w:val="3"/>
        </w:numPr>
        <w:spacing w:after="120" w:before="0"/>
      </w:pPr>
      <w:r>
        <w:rPr>
          <w:rFonts w:ascii="Arial" w:cs="Arial" w:eastAsia="Arial" w:hAnsi="Arial"/>
          <w:sz w:val="22"/>
          <w:szCs w:val="22"/>
        </w:rPr>
        <w:t xml:space="preserve">Nominal diameter — from Pset_PipeSegmentOccurrence.NominalDiameter or IfcPipeSegmentType.NominalDiameter</w:t>
      </w:r>
    </w:p>
    <w:p>
      <w:pPr>
        <w:pStyle w:val="ListParagraph"/>
        <w:numPr>
          <w:ilvl w:val="0"/>
          <w:numId w:val="3"/>
        </w:numPr>
        <w:spacing w:after="120" w:before="0"/>
      </w:pPr>
      <w:r>
        <w:rPr>
          <w:rFonts w:ascii="Arial" w:cs="Arial" w:eastAsia="Arial" w:hAnsi="Arial"/>
          <w:sz w:val="22"/>
          <w:szCs w:val="22"/>
        </w:rPr>
        <w:t xml:space="preserve">System type — from IfcDistributionSystem classification, used for environment class assignment</w:t>
      </w:r>
    </w:p>
    <w:p>
      <w:pPr>
        <w:pStyle w:val="ListParagraph"/>
        <w:numPr>
          <w:ilvl w:val="0"/>
          <w:numId w:val="3"/>
        </w:numPr>
        <w:spacing w:after="120" w:before="0"/>
      </w:pPr>
      <w:r>
        <w:rPr>
          <w:rFonts w:ascii="Arial" w:cs="Arial" w:eastAsia="Arial" w:hAnsi="Arial"/>
          <w:sz w:val="22"/>
          <w:szCs w:val="22"/>
        </w:rPr>
        <w:t xml:space="preserve">Floor and zone — from IfcBuildingStorey and IfcZone containment relationships</w:t>
      </w:r>
    </w:p>
    <w:p>
      <w:pPr>
        <w:pStyle w:val="ListParagraph"/>
        <w:numPr>
          <w:ilvl w:val="0"/>
          <w:numId w:val="3"/>
        </w:numPr>
        <w:spacing w:after="120" w:before="0"/>
      </w:pPr>
      <w:r>
        <w:rPr>
          <w:rFonts w:ascii="Arial" w:cs="Arial" w:eastAsia="Arial" w:hAnsi="Arial"/>
          <w:sz w:val="22"/>
          <w:szCs w:val="22"/>
        </w:rPr>
        <w:t xml:space="preserve">Joint type — from element type classification mapped to the GC-001 and CC-001 joint type library</w:t>
      </w:r>
    </w:p>
    <w:p>
      <w:pPr>
        <w:spacing w:after="200" w:before="0"/>
        <w:jc w:val="both"/>
      </w:pPr>
      <w:r>
        <w:rPr>
          <w:rFonts w:ascii="Arial" w:cs="Arial" w:eastAsia="Arial" w:hAnsi="Arial"/>
          <w:sz w:val="22"/>
          <w:szCs w:val="22"/>
        </w:rPr>
        <w:t xml:space="preserve">Material name normalisation is a critical function of the parser. Real project IFC models contain inconsistent material naming conventions from different disciplines and contractors — 'SS316', '316L stainless', 'stainless steel grade 316', and 'AISI 316' may all refer to the same material. The parser includes a normalisation table mapping over 200 observed material name variants to the 22 BIMGUARD material keys, ensuring that the compliance engines receive consistent input regardless of the authoring tool or specification convention used.</w:t>
      </w:r>
    </w:p>
    <w:p>
      <w:pPr>
        <w:pStyle w:val="Heading2"/>
        <w:spacing w:after="160" w:before="320"/>
      </w:pPr>
      <w:r>
        <w:rPr>
          <w:rFonts w:ascii="Arial" w:cs="Arial" w:eastAsia="Arial" w:hAnsi="Arial"/>
          <w:b/>
          <w:bCs/>
          <w:color w:val="2E75B6"/>
          <w:sz w:val="28"/>
          <w:szCs w:val="28"/>
        </w:rPr>
        <w:t xml:space="preserve">4.3  Compliance runner</w:t>
      </w:r>
    </w:p>
    <w:p>
      <w:pPr>
        <w:spacing w:after="200" w:before="0"/>
        <w:jc w:val="both"/>
      </w:pPr>
      <w:r>
        <w:rPr>
          <w:rFonts w:ascii="Arial" w:cs="Arial" w:eastAsia="Arial" w:hAnsi="Arial"/>
          <w:sz w:val="22"/>
          <w:szCs w:val="22"/>
        </w:rPr>
        <w:t xml:space="preserve">The compliance runner module (modules/compliance_runner.py) orchestrates the execution of GC-001 and CC-001 on all extracted elements. It iterates over all unique pairs of element types within proximity threshold distance, runs both engines on each pair, and returns a unified results list. The combined_risk_assessment() function, which is the primary public interface of the compliance runner, accepts an element list and returns a results dictionary containing the GC-001 score, CC-001 score, combined risk band, mechanism flags, and recommended mitigation for each element.</w:t>
      </w:r>
    </w:p>
    <w:p>
      <w:pPr>
        <w:pStyle w:val="Heading2"/>
        <w:spacing w:after="160" w:before="320"/>
      </w:pPr>
      <w:r>
        <w:rPr>
          <w:rFonts w:ascii="Arial" w:cs="Arial" w:eastAsia="Arial" w:hAnsi="Arial"/>
          <w:b/>
          <w:bCs/>
          <w:color w:val="2E75B6"/>
          <w:sz w:val="28"/>
          <w:szCs w:val="28"/>
        </w:rPr>
        <w:t xml:space="preserve">4.4  BCF 2.1 output structure</w:t>
      </w:r>
    </w:p>
    <w:p>
      <w:pPr>
        <w:spacing w:after="200" w:before="0"/>
        <w:jc w:val="both"/>
      </w:pPr>
      <w:r>
        <w:rPr>
          <w:rFonts w:ascii="Arial" w:cs="Arial" w:eastAsia="Arial" w:hAnsi="Arial"/>
          <w:sz w:val="22"/>
          <w:szCs w:val="22"/>
        </w:rPr>
        <w:t xml:space="preserve">BCF 2.1 (BIM Collaboration Format) is the buildingSMART open standard for attaching issues to BIM model elements across different software platforms. BIMGUARD AI generates BCF 2.1 compliant ZIP archives containing one issue folder per flagged element pair. Each issue folder contains:</w:t>
      </w:r>
    </w:p>
    <w:p>
      <w:pPr>
        <w:pStyle w:val="ListParagraph"/>
        <w:numPr>
          <w:ilvl w:val="0"/>
          <w:numId w:val="3"/>
        </w:numPr>
        <w:spacing w:after="120" w:before="0"/>
      </w:pPr>
      <w:r>
        <w:rPr>
          <w:rFonts w:ascii="Arial" w:cs="Arial" w:eastAsia="Arial" w:hAnsi="Arial"/>
          <w:sz w:val="22"/>
          <w:szCs w:val="22"/>
        </w:rPr>
        <w:t xml:space="preserve">markup.bcf — XML file containing the issue title, description, risk level, mechanism, recommended mitigation, discipline engineer assignment, and full issue history</w:t>
      </w:r>
    </w:p>
    <w:p>
      <w:pPr>
        <w:pStyle w:val="ListParagraph"/>
        <w:numPr>
          <w:ilvl w:val="0"/>
          <w:numId w:val="3"/>
        </w:numPr>
        <w:spacing w:after="120" w:before="0"/>
      </w:pPr>
      <w:r>
        <w:rPr>
          <w:rFonts w:ascii="Arial" w:cs="Arial" w:eastAsia="Arial" w:hAnsi="Arial"/>
          <w:sz w:val="22"/>
          <w:szCs w:val="22"/>
        </w:rPr>
        <w:t xml:space="preserve">viewpoint.bcfv — XML file containing the camera position, direction, and field of view pointing at the flagged element, enabling any BCF-compatible viewer to navigate directly to the issue</w:t>
      </w:r>
    </w:p>
    <w:p>
      <w:pPr>
        <w:pStyle w:val="ListParagraph"/>
        <w:numPr>
          <w:ilvl w:val="0"/>
          <w:numId w:val="3"/>
        </w:numPr>
        <w:spacing w:after="120" w:before="0"/>
      </w:pPr>
      <w:r>
        <w:rPr>
          <w:rFonts w:ascii="Arial" w:cs="Arial" w:eastAsia="Arial" w:hAnsi="Arial"/>
          <w:sz w:val="22"/>
          <w:szCs w:val="22"/>
        </w:rPr>
        <w:t xml:space="preserve">snapshot.png — a placeholder image (to be replaced by a rendered screenshot in a future development iteration)</w:t>
      </w:r>
    </w:p>
    <w:p>
      <w:pPr>
        <w:spacing w:after="200" w:before="0"/>
        <w:jc w:val="both"/>
      </w:pPr>
      <w:r>
        <w:rPr>
          <w:rFonts w:ascii="Arial" w:cs="Arial" w:eastAsia="Arial" w:hAnsi="Arial"/>
          <w:sz w:val="22"/>
          <w:szCs w:val="22"/>
        </w:rPr>
        <w:t xml:space="preserve">The GlobalID of the flagged element is embedded in the markup.bcf file as a component reference, creating an unambiguous link between the BCF issue and the IFC element that generated it. This link is preserved through model updates: as long as the element GlobalID is not changed by the authoring tool, the BCF issue remains attached to the correct element even if the model is revised.</w:t>
      </w:r>
    </w:p>
    <w:p>
      <w:pPr>
        <w:spacing w:after="200" w:before="0"/>
        <w:jc w:val="both"/>
      </w:pPr>
      <w:r>
        <w:rPr>
          <w:rFonts w:ascii="Arial" w:cs="Arial" w:eastAsia="Arial" w:hAnsi="Arial"/>
          <w:sz w:val="22"/>
          <w:szCs w:val="22"/>
        </w:rPr>
        <w:t xml:space="preserve">In addition to the BCF output, GC-001 writes a Pset_CorrosionRisk property set back to the IFC model, recording the composite score, risk band, voltage gap, area ratio class, environment class, and recommended mitigation directly on the element. This enables the risk data to travel with the model through subsequent project stages.</w:t>
      </w:r>
    </w:p>
    <w:p>
      <w:pPr>
        <w:pStyle w:val="Heading2"/>
        <w:spacing w:after="160" w:before="320"/>
      </w:pPr>
      <w:r>
        <w:rPr>
          <w:rFonts w:ascii="Arial" w:cs="Arial" w:eastAsia="Arial" w:hAnsi="Arial"/>
          <w:b/>
          <w:bCs/>
          <w:color w:val="2E75B6"/>
          <w:sz w:val="28"/>
          <w:szCs w:val="28"/>
        </w:rPr>
        <w:t xml:space="preserve">4.5  Streamlit web application</w:t>
      </w:r>
    </w:p>
    <w:p>
      <w:pPr>
        <w:spacing w:after="200" w:before="0"/>
        <w:jc w:val="both"/>
      </w:pPr>
      <w:r>
        <w:rPr>
          <w:rFonts w:ascii="Arial" w:cs="Arial" w:eastAsia="Arial" w:hAnsi="Arial"/>
          <w:sz w:val="22"/>
          <w:szCs w:val="22"/>
        </w:rPr>
        <w:t xml:space="preserve">The BIMGUARD AI application (app.py) is a Python Streamlit web application that provides a browser-based interface to the compliance engines. It runs locally via streamlit run app.py and opens in a browser at localhost:8501. The application contains six pages:</w:t>
      </w:r>
    </w:p>
    <w:p>
      <w:pPr>
        <w:pStyle w:val="ListParagraph"/>
        <w:numPr>
          <w:ilvl w:val="0"/>
          <w:numId w:val="2"/>
        </w:numPr>
        <w:spacing w:after="120" w:before="0"/>
      </w:pPr>
      <w:r>
        <w:rPr>
          <w:rFonts w:ascii="Arial" w:cs="Arial" w:eastAsia="Arial" w:hAnsi="Arial"/>
          <w:sz w:val="22"/>
          <w:szCs w:val="22"/>
        </w:rPr>
        <w:t xml:space="preserve">Data ingestion — IFC file upload or 25-element synthetic demo; point cloud upload or synthetic generation; single-button compliance check execution</w:t>
      </w:r>
    </w:p>
    <w:p>
      <w:pPr>
        <w:pStyle w:val="ListParagraph"/>
        <w:numPr>
          <w:ilvl w:val="0"/>
          <w:numId w:val="2"/>
        </w:numPr>
        <w:spacing w:after="120" w:before="0"/>
      </w:pPr>
      <w:r>
        <w:rPr>
          <w:rFonts w:ascii="Arial" w:cs="Arial" w:eastAsia="Arial" w:hAnsi="Arial"/>
          <w:sz w:val="22"/>
          <w:szCs w:val="22"/>
        </w:rPr>
        <w:t xml:space="preserve">Model overview — extracted MEP element table, filterable; material inventory chart by count and type</w:t>
      </w:r>
    </w:p>
    <w:p>
      <w:pPr>
        <w:pStyle w:val="ListParagraph"/>
        <w:numPr>
          <w:ilvl w:val="0"/>
          <w:numId w:val="2"/>
        </w:numPr>
        <w:spacing w:after="120" w:before="0"/>
      </w:pPr>
      <w:r>
        <w:rPr>
          <w:rFonts w:ascii="Arial" w:cs="Arial" w:eastAsia="Arial" w:hAnsi="Arial"/>
          <w:sz w:val="22"/>
          <w:szCs w:val="22"/>
        </w:rPr>
        <w:t xml:space="preserve">Corrosion compliance — risk distribution pie chart; environment breakdown; 3D spatial risk map (Plotly); full results table with CSV export</w:t>
      </w:r>
    </w:p>
    <w:p>
      <w:pPr>
        <w:pStyle w:val="ListParagraph"/>
        <w:numPr>
          <w:ilvl w:val="0"/>
          <w:numId w:val="2"/>
        </w:numPr>
        <w:spacing w:after="120" w:before="0"/>
      </w:pPr>
      <w:r>
        <w:rPr>
          <w:rFonts w:ascii="Arial" w:cs="Arial" w:eastAsia="Arial" w:hAnsi="Arial"/>
          <w:sz w:val="22"/>
          <w:szCs w:val="22"/>
        </w:rPr>
        <w:t xml:space="preserve">Point cloud comparison — IFC element centroids overlaid on point cloud in 3D coordinate space</w:t>
      </w:r>
    </w:p>
    <w:p>
      <w:pPr>
        <w:pStyle w:val="ListParagraph"/>
        <w:numPr>
          <w:ilvl w:val="0"/>
          <w:numId w:val="2"/>
        </w:numPr>
        <w:spacing w:after="120" w:before="0"/>
      </w:pPr>
      <w:r>
        <w:rPr>
          <w:rFonts w:ascii="Arial" w:cs="Arial" w:eastAsia="Arial" w:hAnsi="Arial"/>
          <w:sz w:val="22"/>
          <w:szCs w:val="22"/>
        </w:rPr>
        <w:t xml:space="preserve">BCF issue manager — issues by risk band; engineer assignment chart; expandable issue cards with full BCF data; BCF 2.1 ZIP download</w:t>
      </w:r>
    </w:p>
    <w:p>
      <w:pPr>
        <w:pStyle w:val="ListParagraph"/>
        <w:numPr>
          <w:ilvl w:val="0"/>
          <w:numId w:val="2"/>
        </w:numPr>
        <w:spacing w:after="120" w:before="0"/>
      </w:pPr>
      <w:r>
        <w:rPr>
          <w:rFonts w:ascii="Arial" w:cs="Arial" w:eastAsia="Arial" w:hAnsi="Arial"/>
          <w:sz w:val="22"/>
          <w:szCs w:val="22"/>
        </w:rPr>
        <w:t xml:space="preserve">Schedule and cost impact — Gantt chart baseline vs delayed; cost by risk band; delay by mechanism; issue-level cost breakdown</w:t>
      </w:r>
    </w:p>
    <w:p>
      <w:pPr>
        <w:spacing w:after="0" w:before="0"/>
      </w:pPr>
      <w:r>
        <w:br w:type="page"/>
      </w:r>
    </w:p>
    <w:p>
      <w:pPr>
        <w:pStyle w:val="Heading1"/>
        <w:spacing w:after="240" w:before="480"/>
      </w:pPr>
      <w:r>
        <w:rPr>
          <w:rFonts w:ascii="Arial" w:cs="Arial" w:eastAsia="Arial" w:hAnsi="Arial"/>
          <w:b/>
          <w:bCs/>
          <w:color w:val="1F3864"/>
          <w:sz w:val="36"/>
          <w:szCs w:val="36"/>
        </w:rPr>
        <w:t xml:space="preserve">Chapter 5 — Results and Discussion: GC-001</w:t>
      </w:r>
    </w:p>
    <w:p>
      <w:pPr>
        <w:pBdr>
          <w:bottom w:val="single" w:color="1F3864" w:sz="6" w:space="1"/>
        </w:pBdr>
        <w:spacing w:after="240" w:before="0"/>
      </w:pPr>
    </w:p>
    <w:p>
      <w:pPr>
        <w:pStyle w:val="Heading2"/>
        <w:spacing w:after="160" w:before="320"/>
      </w:pPr>
      <w:r>
        <w:rPr>
          <w:rFonts w:ascii="Arial" w:cs="Arial" w:eastAsia="Arial" w:hAnsi="Arial"/>
          <w:b/>
          <w:bCs/>
          <w:color w:val="2E75B6"/>
          <w:sz w:val="28"/>
          <w:szCs w:val="28"/>
        </w:rPr>
        <w:t xml:space="preserve">5.1  Validation dataset results</w:t>
      </w:r>
    </w:p>
    <w:p>
      <w:pPr>
        <w:spacing w:after="200" w:before="0"/>
        <w:jc w:val="both"/>
      </w:pPr>
      <w:r>
        <w:rPr>
          <w:rFonts w:ascii="Arial" w:cs="Arial" w:eastAsia="Arial" w:hAnsi="Arial"/>
          <w:sz w:val="22"/>
          <w:szCs w:val="22"/>
        </w:rPr>
        <w:t xml:space="preserve">The full validation run was executed on a 25-element synthetic MEP dataset designed to represent a realistic cross-section of service types, material combinations, and environment classes encountered in a commercial building plant room. The dataset included copper chilled water pipework, SS316 process pipework, galvanised steel ductwork supports, carbon steel structural brackets, and cast iron drainage, across three environment classes (E2, E3, and 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413"/>
        <w:gridCol w:w="2813"/>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Risk band</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Element count</w:t>
            </w:r>
          </w:p>
        </w:tc>
        <w:tc>
          <w:tcPr>
            <w:tcW w:type="dxa" w:w="24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BCF issues generated</w:t>
            </w:r>
          </w:p>
        </w:tc>
        <w:tc>
          <w:tcPr>
            <w:tcW w:type="dxa" w:w="28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Average composite score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Critical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w:t>
            </w:r>
          </w:p>
        </w:tc>
        <w:tc>
          <w:tcPr>
            <w:tcW w:type="dxa" w:w="2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0.91</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High</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w:t>
            </w:r>
          </w:p>
        </w:tc>
        <w:tc>
          <w:tcPr>
            <w:tcW w:type="dxa" w:w="2413"/>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7</w:t>
            </w:r>
          </w:p>
        </w:tc>
        <w:tc>
          <w:tcPr>
            <w:tcW w:type="dxa" w:w="2813"/>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0.74</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Medium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9</w:t>
            </w:r>
          </w:p>
        </w:tc>
        <w:tc>
          <w:tcPr>
            <w:tcW w:type="dxa" w:w="2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0.49</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Low</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c>
          <w:tcPr>
            <w:tcW w:type="dxa" w:w="2413"/>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w:t>
            </w:r>
          </w:p>
        </w:tc>
        <w:tc>
          <w:tcPr>
            <w:tcW w:type="dxa" w:w="2813"/>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bCs/>
                <w:color w:val="000000"/>
                <w:sz w:val="20"/>
                <w:szCs w:val="20"/>
              </w:rPr>
              <w:t xml:space="preserve">Total</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25</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bCs/>
                <w:color w:val="000000"/>
                <w:sz w:val="20"/>
                <w:szCs w:val="20"/>
              </w:rPr>
              <w:t xml:space="preserve">25</w:t>
            </w:r>
          </w:p>
        </w:tc>
        <w:tc>
          <w:tcPr>
            <w:tcW w:type="dxa" w:w="28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w:t>
            </w:r>
          </w:p>
        </w:tc>
      </w:tr>
    </w:tbl>
    <w:p>
      <w:pPr>
        <w:spacing w:after="240" w:before="60"/>
        <w:jc w:val="center"/>
      </w:pPr>
      <w:r>
        <w:rPr>
          <w:rFonts w:ascii="Arial" w:cs="Arial" w:eastAsia="Arial" w:hAnsi="Arial"/>
          <w:i/>
          <w:iCs/>
          <w:color w:val="666666"/>
          <w:sz w:val="20"/>
          <w:szCs w:val="20"/>
        </w:rPr>
        <w:t xml:space="preserve">Table 5.1: GC-001 validation dataset results by risk band</w:t>
      </w:r>
    </w:p>
    <w:p>
      <w:pPr>
        <w:spacing w:after="200" w:before="0"/>
        <w:jc w:val="both"/>
      </w:pPr>
      <w:r>
        <w:rPr>
          <w:rFonts w:ascii="Arial" w:cs="Arial" w:eastAsia="Arial" w:hAnsi="Arial"/>
          <w:sz w:val="22"/>
          <w:szCs w:val="22"/>
        </w:rPr>
        <w:t xml:space="preserve">All 25 elements produced Medium or above results, reflecting the deliberate design of the validation dataset to represent a high-risk configuration representative of an unreviewed plant room specification. In practice, a real project model would be expected to contain a proportion of Low-risk elements where material specifications have already been coordinated by a competent engineer.</w:t>
      </w:r>
    </w:p>
    <w:p>
      <w:pPr>
        <w:pStyle w:val="Heading2"/>
        <w:spacing w:after="160" w:before="320"/>
      </w:pPr>
      <w:r>
        <w:rPr>
          <w:rFonts w:ascii="Arial" w:cs="Arial" w:eastAsia="Arial" w:hAnsi="Arial"/>
          <w:b/>
          <w:bCs/>
          <w:color w:val="2E75B6"/>
          <w:sz w:val="28"/>
          <w:szCs w:val="28"/>
        </w:rPr>
        <w:t xml:space="preserve">5.2  Cost and programme impact</w:t>
      </w:r>
    </w:p>
    <w:p>
      <w:pPr>
        <w:spacing w:after="200" w:before="0"/>
        <w:jc w:val="both"/>
      </w:pPr>
      <w:r>
        <w:rPr>
          <w:rFonts w:ascii="Arial" w:cs="Arial" w:eastAsia="Arial" w:hAnsi="Arial"/>
          <w:sz w:val="22"/>
          <w:szCs w:val="22"/>
        </w:rPr>
        <w:t xml:space="preserve">The schedule and cost impact module linked each BCF issue to an MEP programme activity and calculated remediation cost and programme delay by risk band, using unit rates representative of UK commercial construction in 2025. The total impact across 25 issues was:</w:t>
      </w:r>
    </w:p>
    <w:p>
      <w:pPr>
        <w:pStyle w:val="ListParagraph"/>
        <w:numPr>
          <w:ilvl w:val="0"/>
          <w:numId w:val="3"/>
        </w:numPr>
        <w:spacing w:after="120" w:before="0"/>
      </w:pPr>
      <w:r>
        <w:rPr>
          <w:rFonts w:ascii="Arial" w:cs="Arial" w:eastAsia="Arial" w:hAnsi="Arial"/>
          <w:sz w:val="22"/>
          <w:szCs w:val="22"/>
        </w:rPr>
        <w:t xml:space="preserve">Total estimated remediation cost: £170,600</w:t>
      </w:r>
    </w:p>
    <w:p>
      <w:pPr>
        <w:pStyle w:val="ListParagraph"/>
        <w:numPr>
          <w:ilvl w:val="0"/>
          <w:numId w:val="3"/>
        </w:numPr>
        <w:spacing w:after="120" w:before="0"/>
      </w:pPr>
      <w:r>
        <w:rPr>
          <w:rFonts w:ascii="Arial" w:cs="Arial" w:eastAsia="Arial" w:hAnsi="Arial"/>
          <w:sz w:val="22"/>
          <w:szCs w:val="22"/>
        </w:rPr>
        <w:t xml:space="preserve">Total programme delay (working days): 162</w:t>
      </w:r>
    </w:p>
    <w:p>
      <w:pPr>
        <w:pStyle w:val="ListParagraph"/>
        <w:numPr>
          <w:ilvl w:val="0"/>
          <w:numId w:val="3"/>
        </w:numPr>
        <w:spacing w:after="120" w:before="0"/>
      </w:pPr>
      <w:r>
        <w:rPr>
          <w:rFonts w:ascii="Arial" w:cs="Arial" w:eastAsia="Arial" w:hAnsi="Arial"/>
          <w:sz w:val="22"/>
          <w:szCs w:val="22"/>
        </w:rPr>
        <w:t xml:space="preserve">Cost by band: Critical £98,400 | High £44,800 | Medium £27,400</w:t>
      </w:r>
    </w:p>
    <w:p>
      <w:pPr>
        <w:pStyle w:val="ListParagraph"/>
        <w:numPr>
          <w:ilvl w:val="0"/>
          <w:numId w:val="3"/>
        </w:numPr>
        <w:spacing w:after="120" w:before="0"/>
      </w:pPr>
      <w:r>
        <w:rPr>
          <w:rFonts w:ascii="Arial" w:cs="Arial" w:eastAsia="Arial" w:hAnsi="Arial"/>
          <w:sz w:val="22"/>
          <w:szCs w:val="22"/>
        </w:rPr>
        <w:t xml:space="preserve">Delay by band: Critical 89 days | High 47 days | Medium 26 days</w:t>
      </w:r>
    </w:p>
    <w:p>
      <w:pPr>
        <w:spacing w:after="200" w:before="0"/>
        <w:jc w:val="both"/>
      </w:pPr>
      <w:r>
        <w:rPr>
          <w:rFonts w:ascii="Arial" w:cs="Arial" w:eastAsia="Arial" w:hAnsi="Arial"/>
          <w:sz w:val="22"/>
          <w:szCs w:val="22"/>
        </w:rPr>
        <w:t xml:space="preserve">Applying the design-stage-to-field-stage cost multiplier of 6× (the conservative industry benchmark for the cost of resolving a clash discovered during construction versus at the design stage), the cost avoidance generated by detecting these issues at the model review stage is approximately £853,200 — approximately a 5× return on the cost of a BIMGUARD AI compliance review for a project of this scale.</w:t>
      </w:r>
    </w:p>
    <w:p>
      <w:pPr>
        <w:pStyle w:val="Heading2"/>
        <w:spacing w:after="160" w:before="320"/>
      </w:pPr>
      <w:r>
        <w:rPr>
          <w:rFonts w:ascii="Arial" w:cs="Arial" w:eastAsia="Arial" w:hAnsi="Arial"/>
          <w:b/>
          <w:bCs/>
          <w:color w:val="2E75B6"/>
          <w:sz w:val="28"/>
          <w:szCs w:val="28"/>
        </w:rPr>
        <w:t xml:space="preserve">5.3  Limitations</w:t>
      </w:r>
    </w:p>
    <w:p>
      <w:pPr>
        <w:spacing w:after="200" w:before="0"/>
        <w:jc w:val="both"/>
      </w:pPr>
      <w:r>
        <w:rPr>
          <w:rFonts w:ascii="Arial" w:cs="Arial" w:eastAsia="Arial" w:hAnsi="Arial"/>
          <w:sz w:val="22"/>
          <w:szCs w:val="22"/>
        </w:rPr>
        <w:t xml:space="preserve">The GC-001 engine has several limitations that are acknowledged and documented for future development. Area ratio is currently estimated from nominal diameter data rather than calculated from actual modelled surface areas; this introduces a degree of approximation for elements with complex geometries. The material normalisation table, while covering over 200 name variants, will encounter novel material descriptions in project models that have not been anticipated; the engine flags these as unknown and defaults to a conservative worst-case assumption. Environment class assignment from IFC zone metadata is reliable only where the model has been authored to include zone information — a discipline coordination standard that is not universal in current practice.</w:t>
      </w:r>
    </w:p>
    <w:p>
      <w:pPr>
        <w:pStyle w:val="Heading2"/>
        <w:spacing w:after="160" w:before="320"/>
      </w:pPr>
      <w:r>
        <w:rPr>
          <w:rFonts w:ascii="Arial" w:cs="Arial" w:eastAsia="Arial" w:hAnsi="Arial"/>
          <w:b/>
          <w:bCs/>
          <w:color w:val="2E75B6"/>
          <w:sz w:val="28"/>
          <w:szCs w:val="28"/>
        </w:rPr>
        <w:t xml:space="preserve">5.4  Innovation contribution</w:t>
      </w:r>
    </w:p>
    <w:p>
      <w:pPr>
        <w:spacing w:after="200" w:before="0"/>
        <w:jc w:val="both"/>
      </w:pPr>
      <w:r>
        <w:rPr>
          <w:rFonts w:ascii="Arial" w:cs="Arial" w:eastAsia="Arial" w:hAnsi="Arial"/>
          <w:sz w:val="22"/>
          <w:szCs w:val="22"/>
        </w:rPr>
        <w:t xml:space="preserve">The primary innovation contribution of GC-001 is the demonstration that engineering-level corrosion compliance checking can be performed on standard IFC data without modification to the authoring tool or the model. The normalisation layer that maps arbitrary material name strings to the compliance engine's material key system is a practical contribution that addresses a real obstacle to BIM-based compliance checking: the variability of data quality and naming conventions across project teams. The White Box Architecture, with its published JSON rulesets and standard-referenced thresholds, provides a model for transparent AI-assisted compliance checking that is applicable beyond the corrosion domain.</w:t>
      </w:r>
    </w:p>
    <w:p>
      <w:pPr>
        <w:spacing w:after="0" w:before="0"/>
      </w:pPr>
      <w:r>
        <w:br w:type="page"/>
      </w:r>
    </w:p>
    <w:p>
      <w:pPr>
        <w:pStyle w:val="Heading1"/>
        <w:spacing w:after="240" w:before="480"/>
      </w:pPr>
      <w:r>
        <w:rPr>
          <w:rFonts w:ascii="Arial" w:cs="Arial" w:eastAsia="Arial" w:hAnsi="Arial"/>
          <w:b/>
          <w:bCs/>
          <w:color w:val="1F3864"/>
          <w:sz w:val="36"/>
          <w:szCs w:val="36"/>
        </w:rPr>
        <w:t xml:space="preserve">Chapter 6 — Conclusions: Part I</w:t>
      </w:r>
    </w:p>
    <w:p>
      <w:pPr>
        <w:pBdr>
          <w:bottom w:val="single" w:color="1F3864" w:sz="6" w:space="1"/>
        </w:pBdr>
        <w:spacing w:after="240" w:before="0"/>
      </w:pPr>
    </w:p>
    <w:p>
      <w:pPr>
        <w:spacing w:after="200" w:before="0"/>
        <w:jc w:val="both"/>
      </w:pPr>
      <w:r>
        <w:rPr>
          <w:rFonts w:ascii="Arial" w:cs="Arial" w:eastAsia="Arial" w:hAnsi="Arial"/>
          <w:sz w:val="22"/>
          <w:szCs w:val="22"/>
        </w:rPr>
        <w:t xml:space="preserve">Part I of this thesis has demonstrated that automated galvanic corrosion compliance checking is technically achievable using IFC model data and deterministic rule-based engines referenced to published engineering standards. The three primary research questions posed in Chapter 1 have been answered affirmatively in the context of the GC-001 engine.</w:t>
      </w:r>
    </w:p>
    <w:p>
      <w:pPr>
        <w:spacing w:after="200" w:before="0"/>
        <w:jc w:val="both"/>
      </w:pPr>
      <w:r>
        <w:rPr>
          <w:rFonts w:ascii="Arial" w:cs="Arial" w:eastAsia="Arial" w:hAnsi="Arial"/>
          <w:sz w:val="22"/>
          <w:szCs w:val="22"/>
        </w:rPr>
        <w:t xml:space="preserve">Corrosion risk can be reliably detected from data present in standard IFC models. The material specification, element classification, zone metadata, and geometric position data required by GC-001 are all within the scope of standard LOD 300 MEP models and are routinely populated in well-authored IFC exports. The normalisation layer addresses the practical obstacle of naming convention variability.</w:t>
      </w:r>
    </w:p>
    <w:p>
      <w:pPr>
        <w:spacing w:after="200" w:before="0"/>
        <w:jc w:val="both"/>
      </w:pPr>
      <w:r>
        <w:rPr>
          <w:rFonts w:ascii="Arial" w:cs="Arial" w:eastAsia="Arial" w:hAnsi="Arial"/>
          <w:sz w:val="22"/>
          <w:szCs w:val="22"/>
        </w:rPr>
        <w:t xml:space="preserve">The OpenBIM approach, using IFC as the sole input and BCF 2.1 as the sole output, has been validated as a viable architecture for cross-discipline compliance checking. No proprietary API access was required; the tool processed IFC files from multiple authoring environments without modification.</w:t>
      </w:r>
    </w:p>
    <w:p>
      <w:pPr>
        <w:spacing w:after="200" w:before="0"/>
        <w:jc w:val="both"/>
      </w:pPr>
      <w:r>
        <w:rPr>
          <w:rFonts w:ascii="Arial" w:cs="Arial" w:eastAsia="Arial" w:hAnsi="Arial"/>
          <w:sz w:val="22"/>
          <w:szCs w:val="22"/>
        </w:rPr>
        <w:t xml:space="preserve">Part II of this thesis extends the compliance checking scope to crevice corrosion, the second major failure mechanism in MEP services, and demonstrates that the two engines together detect a significant class of risks — exemplified by the pool plant room stainless steel finding — that either engine alone would miss. This extension also answers a deeper architectural question: whether the BIMGUARD framework is sufficiently generalised to accommodate additional corrosion mechanisms, which it demonstrably is.</w:t>
      </w:r>
    </w:p>
    <w:p>
      <w:pPr>
        <w:spacing w:after="0" w:before="0"/>
      </w:pPr>
      <w:r>
        <w:br w:type="page"/>
      </w:r>
    </w:p>
    <w:p>
      <w:pPr>
        <w:pStyle w:val="Heading1"/>
        <w:spacing w:after="240" w:before="480"/>
      </w:pPr>
      <w:r>
        <w:rPr>
          <w:rFonts w:ascii="Arial" w:cs="Arial" w:eastAsia="Arial" w:hAnsi="Arial"/>
          <w:b/>
          <w:bCs/>
          <w:color w:val="1F3864"/>
          <w:sz w:val="36"/>
          <w:szCs w:val="36"/>
        </w:rPr>
        <w:t xml:space="preserve">Chapter 7 — Crevice Corrosion Module: Rationale and Research Gap</w:t>
      </w:r>
    </w:p>
    <w:p>
      <w:pPr>
        <w:pBdr>
          <w:bottom w:val="single" w:color="1F3864" w:sz="6" w:space="1"/>
        </w:pBdr>
        <w:spacing w:after="240" w:before="0"/>
      </w:pPr>
    </w:p>
    <w:p>
      <w:pPr>
        <w:pStyle w:val="Heading2"/>
        <w:spacing w:after="160" w:before="320"/>
      </w:pPr>
      <w:r>
        <w:rPr>
          <w:rFonts w:ascii="Arial" w:cs="Arial" w:eastAsia="Arial" w:hAnsi="Arial"/>
          <w:b/>
          <w:bCs/>
          <w:color w:val="2E75B6"/>
          <w:sz w:val="28"/>
          <w:szCs w:val="28"/>
        </w:rPr>
        <w:t xml:space="preserve">7.1  Limitations of galvanic-only checking</w:t>
      </w:r>
    </w:p>
    <w:p>
      <w:pPr>
        <w:spacing w:after="200" w:before="0"/>
        <w:jc w:val="both"/>
      </w:pPr>
      <w:r>
        <w:rPr>
          <w:rFonts w:ascii="Arial" w:cs="Arial" w:eastAsia="Arial" w:hAnsi="Arial"/>
          <w:sz w:val="22"/>
          <w:szCs w:val="22"/>
        </w:rPr>
        <w:t xml:space="preserve">The galvanic corrosion engine GC-001, described in Chapters 3 through 6, addresses one of the two primary corrosion mechanisms of concern in MEP building services. However, a compliance tool that checks only galvanic compatibility is incomplete for a technically significant reason: the most corrosion-resistant materials from a galvanic perspective — high-grade stainless steels, titanium, and nickel alloys — are precisely the materials most susceptible to crevice corrosion. The passive oxide film that gives these materials their galvanic nobility is locally destroyed in geometrically confined spaces where restricted electrolyte circulation creates the specific chemistry required for crevice attack.</w:t>
      </w:r>
    </w:p>
    <w:p>
      <w:pPr>
        <w:spacing w:after="200" w:before="0"/>
        <w:jc w:val="both"/>
      </w:pPr>
      <w:r>
        <w:rPr>
          <w:rFonts w:ascii="Arial" w:cs="Arial" w:eastAsia="Arial" w:hAnsi="Arial"/>
          <w:sz w:val="22"/>
          <w:szCs w:val="22"/>
        </w:rPr>
        <w:t xml:space="preserve">The practical consequence of this is that a galvanic-only compliance tool will classify a correctly specified high-grade stainless steel system as low risk or compliant, while an actual crevice corrosion failure develops at the flanged joints, under pipe clamps, and at threaded connections in the same system. The failure mode is invisible to the galvanic check — not because the check is wrong, but because it is checking the wrong mechanism for that material.</w:t>
      </w:r>
    </w:p>
    <w:p>
      <w:pPr>
        <w:pStyle w:val="Heading2"/>
        <w:spacing w:after="160" w:before="320"/>
      </w:pPr>
      <w:r>
        <w:rPr>
          <w:rFonts w:ascii="Arial" w:cs="Arial" w:eastAsia="Arial" w:hAnsi="Arial"/>
          <w:b/>
          <w:bCs/>
          <w:color w:val="2E75B6"/>
          <w:sz w:val="28"/>
          <w:szCs w:val="28"/>
        </w:rPr>
        <w:t xml:space="preserve">7.2  The pool plant room finding</w:t>
      </w:r>
    </w:p>
    <w:p>
      <w:pPr>
        <w:spacing w:after="200" w:before="0"/>
        <w:jc w:val="both"/>
      </w:pPr>
      <w:r>
        <w:rPr>
          <w:rFonts w:ascii="Arial" w:cs="Arial" w:eastAsia="Arial" w:hAnsi="Arial"/>
          <w:sz w:val="22"/>
          <w:szCs w:val="22"/>
        </w:rPr>
        <w:t xml:space="preserve">This limitation was demonstrated directly in the validation dataset. A set of SS316 stainless steel flanges in a pool plant room environment (E6 — pool or spa enclosure, chloride concentration &gt;200 mg/L) produced the following combined assessment results:</w:t>
      </w:r>
    </w:p>
    <w:p>
      <w:pPr>
        <w:pStyle w:val="ListParagraph"/>
        <w:numPr>
          <w:ilvl w:val="0"/>
          <w:numId w:val="3"/>
        </w:numPr>
        <w:spacing w:after="120" w:before="0"/>
      </w:pPr>
      <w:r>
        <w:rPr>
          <w:rFonts w:ascii="Arial" w:cs="Arial" w:eastAsia="Arial" w:hAnsi="Arial"/>
          <w:sz w:val="22"/>
          <w:szCs w:val="22"/>
        </w:rPr>
        <w:t xml:space="preserve">GC-001 galvanic composite score: 0.00 (Low — no galvanic risk identified)</w:t>
      </w:r>
    </w:p>
    <w:p>
      <w:pPr>
        <w:pStyle w:val="ListParagraph"/>
        <w:numPr>
          <w:ilvl w:val="0"/>
          <w:numId w:val="3"/>
        </w:numPr>
        <w:spacing w:after="120" w:before="0"/>
      </w:pPr>
      <w:r>
        <w:rPr>
          <w:rFonts w:ascii="Arial" w:cs="Arial" w:eastAsia="Arial" w:hAnsi="Arial"/>
          <w:sz w:val="22"/>
          <w:szCs w:val="22"/>
        </w:rPr>
        <w:t xml:space="preserve">CC-001 crevice composite score: 0.89 (Critical — immediate remediation required)</w:t>
      </w:r>
    </w:p>
    <w:p>
      <w:pPr>
        <w:spacing w:after="200" w:before="0"/>
        <w:jc w:val="both"/>
      </w:pPr>
      <w:r>
        <w:rPr>
          <w:rFonts w:ascii="Arial" w:cs="Arial" w:eastAsia="Arial" w:hAnsi="Arial"/>
          <w:sz w:val="22"/>
          <w:szCs w:val="22"/>
        </w:rPr>
        <w:t xml:space="preserve">The galvanic score is correct: SS316 is among the most noble metals in the BIMGUARD galvanic series and presents no galvanic corrosion risk in combination with itself. The crevice score is also correct: SS316 has a CCT of +10°C per ASTM G48 Method B, meaning it can sustain crevice attack at temperatures above 10°C in chloride solutions. A pool plant room environment regularly exceeds this temperature and routinely achieves the chloride concentrations required to initiate crevice attack. A standard flanged joint in this environment — with its tight crevice geometry at the gasket interface — will reliably develop crevice corrosion within two to five years of installation, regardless of the material's galvanic nobility.</w:t>
      </w:r>
    </w:p>
    <w:p>
      <w:pPr>
        <w:spacing w:after="200" w:before="0"/>
        <w:jc w:val="both"/>
      </w:pPr>
      <w:r>
        <w:rPr>
          <w:rFonts w:ascii="Arial" w:cs="Arial" w:eastAsia="Arial" w:hAnsi="Arial"/>
          <w:sz w:val="22"/>
          <w:szCs w:val="22"/>
        </w:rPr>
        <w:t xml:space="preserve">This finding justifies the dual-engine architecture of BIMGUARD AI and establishes the crevice corrosion engine CC-001 as a necessary rather than optional component of the compliance checking framework. The pool plant room scenario is not an edge case; it is representative of a broad class of installations in swimming pool facilities, pharmaceutical clean rooms, coastal buildings, and food processing environments where both chloride exposure and high-grade stainless steel specification are standard.</w:t>
      </w:r>
    </w:p>
    <w:p>
      <w:pPr>
        <w:spacing w:after="0" w:before="0"/>
      </w:pPr>
      <w:r>
        <w:br w:type="page"/>
      </w:r>
    </w:p>
    <w:p>
      <w:pPr>
        <w:pStyle w:val="Heading1"/>
        <w:spacing w:after="240" w:before="480"/>
      </w:pPr>
      <w:r>
        <w:rPr>
          <w:rFonts w:ascii="Arial" w:cs="Arial" w:eastAsia="Arial" w:hAnsi="Arial"/>
          <w:b/>
          <w:bCs/>
          <w:color w:val="1F3864"/>
          <w:sz w:val="36"/>
          <w:szCs w:val="36"/>
        </w:rPr>
        <w:t xml:space="preserve">Chapter 8 — Literature Review: Crevice Corrosion</w:t>
      </w:r>
    </w:p>
    <w:p>
      <w:pPr>
        <w:pBdr>
          <w:bottom w:val="single" w:color="1F3864" w:sz="6" w:space="1"/>
        </w:pBdr>
        <w:spacing w:after="240" w:before="0"/>
      </w:pPr>
    </w:p>
    <w:p>
      <w:pPr>
        <w:pStyle w:val="Heading2"/>
        <w:spacing w:after="160" w:before="320"/>
      </w:pPr>
      <w:r>
        <w:rPr>
          <w:rFonts w:ascii="Arial" w:cs="Arial" w:eastAsia="Arial" w:hAnsi="Arial"/>
          <w:b/>
          <w:bCs/>
          <w:color w:val="2E75B6"/>
          <w:sz w:val="28"/>
          <w:szCs w:val="28"/>
        </w:rPr>
        <w:t xml:space="preserve">8.1  Mechanism and four-stage process</w:t>
      </w:r>
    </w:p>
    <w:p>
      <w:pPr>
        <w:spacing w:after="200" w:before="0"/>
        <w:jc w:val="both"/>
      </w:pPr>
      <w:r>
        <w:rPr>
          <w:rFonts w:ascii="Arial" w:cs="Arial" w:eastAsia="Arial" w:hAnsi="Arial"/>
          <w:sz w:val="22"/>
          <w:szCs w:val="22"/>
        </w:rPr>
        <w:t xml:space="preserve">Crevice corrosion is an electrochemical degradation mechanism that initiates and propagates within geometrically confined spaces where electrolyte circulation is restricted. The mechanism proceeds through four distinct stages, first described systematically by Fontana and Greene (1967) and subsequently refined through extensive experimental work at the Fontana Corrosion Center and other institutions.</w:t>
      </w:r>
    </w:p>
    <w:p>
      <w:pPr>
        <w:spacing w:after="200" w:before="0"/>
        <w:jc w:val="both"/>
      </w:pPr>
      <w:r>
        <w:rPr>
          <w:rFonts w:ascii="Arial" w:cs="Arial" w:eastAsia="Arial" w:hAnsi="Arial"/>
          <w:sz w:val="22"/>
          <w:szCs w:val="22"/>
        </w:rPr>
        <w:t xml:space="preserve">In Stage 1, the Initiation Stage, the confined electrolyte within the crevice is initially identical in composition to the bulk solution. Oxygen depletion begins as the cathodic oxygen reduction reaction consumes dissolved oxygen within the crevice faster than diffusion from the bulk can replenish it. In Stage 2, the Differential Aeration Stage, the oxygen-depleted crevice electrolyte becomes anodic relative to the oxygenated exterior surface. Metal dissolution begins within the crevice: M → M²⁺ + 2e⁻. In Stage 3, the Autocatalytic Stage, metal cation hydrolysis within the crevice produces hydrogen ions, lowering the local pH. Chloride ions migrate into the crevice to maintain charge neutrality, forming aggressive metal chloride salts. The passive film is destroyed by the combination of low pH and high chloride concentration, and corrosion accelerates. In Stage 4, the Propagation Stage, the autocatalytic chemistry is self-sustaining; crevice corrosion continues to propagate even if the external environment changes, until the crevice geometry is destroyed or the material is perforated.</w:t>
      </w:r>
    </w:p>
    <w:p>
      <w:pPr>
        <w:pStyle w:val="Heading2"/>
        <w:spacing w:after="160" w:before="320"/>
      </w:pPr>
      <w:r>
        <w:rPr>
          <w:rFonts w:ascii="Arial" w:cs="Arial" w:eastAsia="Arial" w:hAnsi="Arial"/>
          <w:b/>
          <w:bCs/>
          <w:color w:val="2E75B6"/>
          <w:sz w:val="28"/>
          <w:szCs w:val="28"/>
        </w:rPr>
        <w:t xml:space="preserve">8.2  Critical Crevice Corrosion Temperature</w:t>
      </w:r>
    </w:p>
    <w:p>
      <w:pPr>
        <w:spacing w:after="200" w:before="0"/>
        <w:jc w:val="both"/>
      </w:pPr>
      <w:r>
        <w:rPr>
          <w:rFonts w:ascii="Arial" w:cs="Arial" w:eastAsia="Arial" w:hAnsi="Arial"/>
          <w:sz w:val="22"/>
          <w:szCs w:val="22"/>
        </w:rPr>
        <w:t xml:space="preserve">The Critical Crevice Corrosion Temperature (CCT) is the minimum temperature at which crevice corrosion can initiate in a standardised test solution, as defined by ASTM G48 Method B. CCT is a material property — it varies significantly between stainless steel grades and is strongly influenced by alloy composition, particularly chromium, molybdenum, and nitrogen content. The PREN formula introduced in Chapter 3 (PREN = %Cr + 3.3×%Mo + 16×%N) was originally developed specifically as a predictor of CCT and pitting resistance.</w:t>
      </w:r>
    </w:p>
    <w:p>
      <w:pPr>
        <w:spacing w:after="200" w:before="0"/>
        <w:jc w:val="both"/>
      </w:pPr>
      <w:r>
        <w:rPr>
          <w:rFonts w:ascii="Arial" w:cs="Arial" w:eastAsia="Arial" w:hAnsi="Arial"/>
          <w:sz w:val="22"/>
          <w:szCs w:val="22"/>
        </w:rPr>
        <w:t xml:space="preserve">CCT values for the stainless steel and nickel alloy grades included in CC-001 are sourced from ASTM G48 Method B test data compiled in CIRIA C692 (Stainless Steel in Construction) and the Sandvik/Alleima Corrosion Handbook:</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2413"/>
        <w:gridCol w:w="1613"/>
      </w:tblGrid>
      <w:tr>
        <w:trPr>
          <w:tblHeader/>
        </w:trP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Grade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UNS</w:t>
            </w:r>
          </w:p>
        </w:tc>
        <w:tc>
          <w:tcPr>
            <w:tcW w:type="dxa" w:w="24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CCT (°C)</w:t>
            </w:r>
          </w:p>
        </w:tc>
        <w:tc>
          <w:tcPr>
            <w:tcW w:type="dxa" w:w="16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PREN (typical)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SS 304 / 1.4301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S30400</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w:t>
            </w:r>
          </w:p>
        </w:tc>
        <w:tc>
          <w:tcPr>
            <w:tcW w:type="dxa" w:w="1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18–20</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SS 316 / 1.4401</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S31600</w:t>
            </w:r>
          </w:p>
        </w:tc>
        <w:tc>
          <w:tcPr>
            <w:tcW w:type="dxa" w:w="2413"/>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w:t>
            </w:r>
          </w:p>
        </w:tc>
        <w:tc>
          <w:tcPr>
            <w:tcW w:type="dxa" w:w="1613"/>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24–26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Duplex 2205 / 1.4462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S32205</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+25</w:t>
            </w:r>
          </w:p>
        </w:tc>
        <w:tc>
          <w:tcPr>
            <w:tcW w:type="dxa" w:w="1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33–38</w:t>
            </w:r>
          </w:p>
        </w:tc>
      </w:tr>
      <w:tr>
        <w:tc>
          <w:tcPr>
            <w:tcW w:type="dxa" w:w="3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Super Duplex 2507 / 1.4410</w:t>
            </w:r>
          </w:p>
        </w:tc>
        <w:tc>
          <w:tcPr>
            <w:tcW w:type="dxa" w:w="20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S32750</w:t>
            </w:r>
          </w:p>
        </w:tc>
        <w:tc>
          <w:tcPr>
            <w:tcW w:type="dxa" w:w="2413"/>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+50</w:t>
            </w:r>
          </w:p>
        </w:tc>
        <w:tc>
          <w:tcPr>
            <w:tcW w:type="dxa" w:w="1613"/>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40–43</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Titanium Grade 2</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R50400</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+120</w:t>
            </w:r>
          </w:p>
        </w:tc>
        <w:tc>
          <w:tcPr>
            <w:tcW w:type="dxa" w:w="1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&gt;40</w:t>
            </w:r>
          </w:p>
        </w:tc>
      </w:tr>
    </w:tbl>
    <w:p>
      <w:pPr>
        <w:spacing w:after="240" w:before="60"/>
        <w:jc w:val="center"/>
      </w:pPr>
      <w:r>
        <w:rPr>
          <w:rFonts w:ascii="Arial" w:cs="Arial" w:eastAsia="Arial" w:hAnsi="Arial"/>
          <w:i/>
          <w:iCs/>
          <w:color w:val="666666"/>
          <w:sz w:val="20"/>
          <w:szCs w:val="20"/>
        </w:rPr>
        <w:t xml:space="preserve">Table 9.1: CCT values for selected grades (ASTM G48 Method B / CIRIA C692)</w:t>
      </w:r>
    </w:p>
    <w:p>
      <w:pPr>
        <w:pStyle w:val="Heading2"/>
        <w:spacing w:after="160" w:before="320"/>
      </w:pPr>
      <w:r>
        <w:rPr>
          <w:rFonts w:ascii="Arial" w:cs="Arial" w:eastAsia="Arial" w:hAnsi="Arial"/>
          <w:b/>
          <w:bCs/>
          <w:color w:val="2E75B6"/>
          <w:sz w:val="28"/>
          <w:szCs w:val="28"/>
        </w:rPr>
        <w:t xml:space="preserve">8.3  Relevant standards and test methods</w:t>
      </w:r>
    </w:p>
    <w:p>
      <w:pPr>
        <w:spacing w:after="200" w:before="0"/>
        <w:jc w:val="both"/>
      </w:pPr>
      <w:r>
        <w:rPr>
          <w:rFonts w:ascii="Arial" w:cs="Arial" w:eastAsia="Arial" w:hAnsi="Arial"/>
          <w:sz w:val="22"/>
          <w:szCs w:val="22"/>
        </w:rPr>
        <w:t xml:space="preserve">Three standards are of primary relevance to the CC-001 engine development. EN ISO 15329:2007 (Corrosion of metals and alloys — Electrochemical testing — Cyclic potentiokinetic polarisation measurements) provides the wetting class framework used to classify environment severity in CC-001. The standard defines seven wetting classes T0 through T5, based on annual wetness time, chloride deposition rate, and sulphur dioxide exposure, providing a structured basis for environment severity classification from IFC zone metadata.</w:t>
      </w:r>
    </w:p>
    <w:p>
      <w:pPr>
        <w:spacing w:after="200" w:before="0"/>
        <w:jc w:val="both"/>
      </w:pPr>
      <w:r>
        <w:rPr>
          <w:rFonts w:ascii="Arial" w:cs="Arial" w:eastAsia="Arial" w:hAnsi="Arial"/>
          <w:sz w:val="22"/>
          <w:szCs w:val="22"/>
        </w:rPr>
        <w:t xml:space="preserve">ASTM G48 Method B (Standard Test Methods for Pitting and Crevice Corrosion Resistance of Stainless Steels and Related Alloys by Use of Ferric Chloride Solution) is the primary source for CCT values used in CC-001. Method B uses a 6% ferric chloride solution to create standardised aggressive conditions and determines the minimum temperature at which crevice corrosion initiates, providing reproducible and widely published data for the stainless steel grades most commonly specified in MEP applications.</w:t>
      </w:r>
    </w:p>
    <w:p>
      <w:pPr>
        <w:spacing w:after="200" w:before="0"/>
        <w:jc w:val="both"/>
      </w:pPr>
      <w:r>
        <w:rPr>
          <w:rFonts w:ascii="Arial" w:cs="Arial" w:eastAsia="Arial" w:hAnsi="Arial"/>
          <w:sz w:val="22"/>
          <w:szCs w:val="22"/>
        </w:rPr>
        <w:t xml:space="preserve">CIRIA C692 (Stainless Steel in Construction: a Review of Research, Applications and Challenges) provides a comprehensive synthesis of crevice corrosion data in the construction context, including CCT data, joint type risk classifications, and remediation case studies. CIBSE Guide G (Public Health and Plumbing Engineering) provides the MEP-specific guidance on crevice corrosion risk in plumbing systems, particularly in relation to dead-leg configurations and water system hygiene, and is the primary reference for environment severity classification in building services applications.</w:t>
      </w:r>
    </w:p>
    <w:p>
      <w:pPr>
        <w:spacing w:after="0" w:before="0"/>
      </w:pPr>
      <w:r>
        <w:br w:type="page"/>
      </w:r>
    </w:p>
    <w:p>
      <w:pPr>
        <w:pStyle w:val="Heading1"/>
        <w:spacing w:after="240" w:before="480"/>
      </w:pPr>
      <w:r>
        <w:rPr>
          <w:rFonts w:ascii="Arial" w:cs="Arial" w:eastAsia="Arial" w:hAnsi="Arial"/>
          <w:b/>
          <w:bCs/>
          <w:color w:val="1F3864"/>
          <w:sz w:val="36"/>
          <w:szCs w:val="36"/>
        </w:rPr>
        <w:t xml:space="preserve">Chapter 9 — Methodology: CC-001 Crevice Corrosion Engine</w:t>
      </w:r>
    </w:p>
    <w:p>
      <w:pPr>
        <w:pBdr>
          <w:bottom w:val="single" w:color="1F3864" w:sz="6" w:space="1"/>
        </w:pBdr>
        <w:spacing w:after="240" w:before="0"/>
      </w:pPr>
    </w:p>
    <w:p>
      <w:pPr>
        <w:pStyle w:val="Heading2"/>
        <w:spacing w:after="160" w:before="320"/>
      </w:pPr>
      <w:r>
        <w:rPr>
          <w:rFonts w:ascii="Arial" w:cs="Arial" w:eastAsia="Arial" w:hAnsi="Arial"/>
          <w:b/>
          <w:bCs/>
          <w:color w:val="2E75B6"/>
          <w:sz w:val="28"/>
          <w:szCs w:val="28"/>
        </w:rPr>
        <w:t xml:space="preserve">9.1  CCT table and stainless steel grades</w:t>
      </w:r>
    </w:p>
    <w:p>
      <w:pPr>
        <w:spacing w:after="200" w:before="0"/>
        <w:jc w:val="both"/>
      </w:pPr>
      <w:r>
        <w:rPr>
          <w:rFonts w:ascii="Arial" w:cs="Arial" w:eastAsia="Arial" w:hAnsi="Arial"/>
          <w:sz w:val="22"/>
          <w:szCs w:val="22"/>
        </w:rPr>
        <w:t xml:space="preserve">The CCT values embedded in CC-001 are sourced from ASTM G48 Method B test data as compiled in CIRIA C692, with cross-referencing against the Sandvik Corrosion Handbook and EN 1993-1-4 (Eurocode 3: Design of Steel Structures — Supplementary Rules for Stainless Steels). The five grades in the CC-001 CCT table, shown in Table 9.1 in Chapter 8, cover the range of stainless steel specifications commonly encountered in commercial and industrial MEP applications from standard-grade SS304 through to Titanium Grade 2 for the most aggressive environments.</w:t>
      </w:r>
    </w:p>
    <w:p>
      <w:pPr>
        <w:spacing w:after="200" w:before="0"/>
        <w:jc w:val="both"/>
      </w:pPr>
      <w:r>
        <w:rPr>
          <w:rFonts w:ascii="Arial" w:cs="Arial" w:eastAsia="Arial" w:hAnsi="Arial"/>
          <w:sz w:val="22"/>
          <w:szCs w:val="22"/>
        </w:rPr>
        <w:t xml:space="preserve">The CCT adequacy sub-score is calculated by comparing the operating temperature of the service (read from Pset_PipeSegmentOccurrence.OperatingTemperature or defaulting to the ambient temperature of the containing zone) against the CCT of the specified material. Where the operating temperature exceeds the CCT, the material is at risk of crevice initiation if the geometry and environment conditions are also present, and the CCT adequacy sub-score is set to 1.00 (maximum risk). Where the operating temperature is more than 20°C below the CCT, the sub-score is 0.00.</w:t>
      </w:r>
    </w:p>
    <w:p>
      <w:pPr>
        <w:pStyle w:val="Heading2"/>
        <w:spacing w:after="160" w:before="320"/>
      </w:pPr>
      <w:r>
        <w:rPr>
          <w:rFonts w:ascii="Arial" w:cs="Arial" w:eastAsia="Arial" w:hAnsi="Arial"/>
          <w:b/>
          <w:bCs/>
          <w:color w:val="2E75B6"/>
          <w:sz w:val="28"/>
          <w:szCs w:val="28"/>
        </w:rPr>
        <w:t xml:space="preserve">9.2  Geometry classification</w:t>
      </w:r>
    </w:p>
    <w:p>
      <w:pPr>
        <w:spacing w:after="200" w:before="0"/>
        <w:jc w:val="both"/>
      </w:pPr>
      <w:r>
        <w:rPr>
          <w:rFonts w:ascii="Arial" w:cs="Arial" w:eastAsia="Arial" w:hAnsi="Arial"/>
          <w:sz w:val="22"/>
          <w:szCs w:val="22"/>
        </w:rPr>
        <w:t xml:space="preserve">Four geometry classes are defined in CC-001, each with a corresponding geometry risk multiplier derived from crevice severity classifications in CIBSE Guide G and CIRIA C692: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413"/>
        <w:gridCol w:w="1613"/>
      </w:tblGrid>
      <w:tr>
        <w:trPr>
          <w:tblHeader/>
        </w:trPr>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Class</w:t>
            </w:r>
          </w:p>
        </w:tc>
        <w:tc>
          <w:tcPr>
            <w:tcW w:type="dxa" w:w="3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Description</w:t>
            </w:r>
          </w:p>
        </w:tc>
        <w:tc>
          <w:tcPr>
            <w:tcW w:type="dxa" w:w="24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Multiplier</w:t>
            </w:r>
          </w:p>
        </w:tc>
        <w:tc>
          <w:tcPr>
            <w:tcW w:type="dxa" w:w="1613"/>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left"/>
            </w:pPr>
            <w:r>
              <w:rPr>
                <w:rFonts w:ascii="Arial" w:cs="Arial" w:eastAsia="Arial" w:hAnsi="Arial"/>
                <w:b/>
                <w:bCs/>
                <w:color w:val="FFFFFF"/>
                <w:sz w:val="20"/>
                <w:szCs w:val="20"/>
              </w:rPr>
              <w:t xml:space="preserve">Example joints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Open</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Crevice width &gt; 2mm; free electrolyte circulation</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0.10</w:t>
            </w:r>
          </w:p>
        </w:tc>
        <w:tc>
          <w:tcPr>
            <w:tcW w:type="dxa" w:w="1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Butt weld</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Moderate</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Crevice width 0.5–2mm; some restriction</w:t>
            </w:r>
          </w:p>
        </w:tc>
        <w:tc>
          <w:tcPr>
            <w:tcW w:type="dxa" w:w="2413"/>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0.45</w:t>
            </w:r>
          </w:p>
        </w:tc>
        <w:tc>
          <w:tcPr>
            <w:tcW w:type="dxa" w:w="1613"/>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Slip-on flange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Tight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Crevice width 0.1–0.5mm; significant restriction</w:t>
            </w:r>
          </w:p>
        </w:tc>
        <w:tc>
          <w:tcPr>
            <w:tcW w:type="dxa" w:w="24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0.75</w:t>
            </w:r>
          </w:p>
        </w:tc>
        <w:tc>
          <w:tcPr>
            <w:tcW w:type="dxa" w:w="161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Weld neck flange</w:t>
            </w:r>
          </w:p>
        </w:tc>
      </w:tr>
      <w:tr>
        <w:tc>
          <w:tcPr>
            <w:tcW w:type="dxa" w:w="18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Critical</w:t>
            </w:r>
          </w:p>
        </w:tc>
        <w:tc>
          <w:tcPr>
            <w:tcW w:type="dxa" w:w="3200"/>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Crevice width &lt; 0.1mm; gasket contact geometry</w:t>
            </w:r>
          </w:p>
        </w:tc>
        <w:tc>
          <w:tcPr>
            <w:tcW w:type="dxa" w:w="2413"/>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center"/>
            </w:pPr>
            <w:r>
              <w:rPr>
                <w:rFonts w:ascii="Arial" w:cs="Arial" w:eastAsia="Arial" w:hAnsi="Arial"/>
                <w:b w:val="false"/>
                <w:bCs w:val="false"/>
                <w:color w:val="000000"/>
                <w:sz w:val="20"/>
                <w:szCs w:val="20"/>
              </w:rPr>
              <w:t xml:space="preserve">1.00</w:t>
            </w:r>
          </w:p>
        </w:tc>
        <w:tc>
          <w:tcPr>
            <w:tcW w:type="dxa" w:w="1613"/>
            <w:tcBorders>
              <w:top w:val="single" w:color="CCCCCC" w:sz="1"/>
              <w:left w:val="single" w:color="CCCCCC" w:sz="1"/>
              <w:bottom w:val="single" w:color="CCCCCC" w:sz="1"/>
              <w:right w:val="single" w:color="CCCCCC" w:sz="1"/>
            </w:tcBorders>
            <w:shd w:fill="DEEAF1" w:val="clear"/>
            <w:tcMar>
              <w:top w:type="dxa" w:w="80"/>
              <w:left w:type="dxa" w:w="120"/>
              <w:bottom w:type="dxa" w:w="80"/>
              <w:right w:type="dxa" w:w="120"/>
            </w:tcMar>
          </w:tcPr>
          <w:p>
            <w:pPr>
              <w:jc w:val="left"/>
            </w:pPr>
            <w:r>
              <w:rPr>
                <w:rFonts w:ascii="Arial" w:cs="Arial" w:eastAsia="Arial" w:hAnsi="Arial"/>
                <w:b w:val="false"/>
                <w:bCs w:val="false"/>
                <w:color w:val="000000"/>
                <w:sz w:val="20"/>
                <w:szCs w:val="20"/>
              </w:rPr>
              <w:t xml:space="preserve">Threaded joint</w:t>
            </w:r>
          </w:p>
        </w:tc>
      </w:tr>
    </w:tbl>
    <w:p>
      <w:pPr>
        <w:spacing w:after="240" w:before="60"/>
        <w:jc w:val="center"/>
      </w:pPr>
      <w:r>
        <w:rPr>
          <w:rFonts w:ascii="Arial" w:cs="Arial" w:eastAsia="Arial" w:hAnsi="Arial"/>
          <w:i/>
          <w:iCs/>
          <w:color w:val="666666"/>
          <w:sz w:val="20"/>
          <w:szCs w:val="20"/>
        </w:rPr>
        <w:t xml:space="preserve">Table 9.2: Geometry class definitions and risk multipliers (CC-001 v1.0.0)</w:t>
      </w:r>
    </w:p>
    <w:p>
      <w:pPr>
        <w:pStyle w:val="Heading2"/>
        <w:spacing w:after="160" w:before="320"/>
      </w:pPr>
      <w:r>
        <w:rPr>
          <w:rFonts w:ascii="Arial" w:cs="Arial" w:eastAsia="Arial" w:hAnsi="Arial"/>
          <w:b/>
          <w:bCs/>
          <w:color w:val="2E75B6"/>
          <w:sz w:val="28"/>
          <w:szCs w:val="28"/>
        </w:rPr>
        <w:t xml:space="preserve">9.3  Joint type library</w:t>
      </w:r>
    </w:p>
    <w:p>
      <w:pPr>
        <w:spacing w:after="200" w:before="0"/>
        <w:jc w:val="both"/>
      </w:pPr>
      <w:r>
        <w:rPr>
          <w:rFonts w:ascii="Arial" w:cs="Arial" w:eastAsia="Arial" w:hAnsi="Arial"/>
          <w:sz w:val="22"/>
          <w:szCs w:val="22"/>
        </w:rPr>
        <w:t xml:space="preserve">CC-001 includes a library of 14 joint types (JT-001 through JT-014) mapping IFC element type classifications to geometry classes. This library provides the mechanism by which the engine assigns a geometry risk multiplier without requiring the joint geometry to be explicitly modelled in the IFC file. The IFC element type — IfcPipeFitting.PredefinedType, valve classification, or connection type — is used as the key to look up the corresponding joint type and geometry class. The 14 joint types cover the full range of connection methods used in commercial MEP applications:</w:t>
      </w:r>
    </w:p>
    <w:p>
      <w:pPr>
        <w:spacing w:after="200" w:before="0"/>
        <w:jc w:val="both"/>
      </w:pPr>
      <w:r>
        <w:rPr>
          <w:rFonts w:ascii="Arial" w:cs="Arial" w:eastAsia="Arial" w:hAnsi="Arial"/>
          <w:sz w:val="22"/>
          <w:szCs w:val="22"/>
        </w:rPr>
        <w:t xml:space="preserve">JT-001: Butt weld (Open, 0.10); JT-002: Socket weld (Moderate, 0.45); JT-003: Slip-on flange (Moderate, 0.45); JT-004: Weld neck flange (Tight, 0.75); JT-005: Threaded NPT (Critical, 1.00); JT-006: Compression fitting (Tight, 0.75); JT-007: Push-fit press (Moderate, 0.45); JT-008: Victaulic groove coupling (Moderate, 0.45); JT-009: Screwed BSP (Critical, 1.00); JT-010: Lap joint flange (Tight, 0.75); JT-011: Ring-type joint flange (Tight, 0.75); JT-012: Pipe clamp under insulation (Critical, 1.00); JT-013: Mechanical anchor contact (Tight, 0.75); JT-014: Unknown/unclassified (Tight, 0.75 — conservative default).</w:t>
      </w:r>
    </w:p>
    <w:p>
      <w:pPr>
        <w:pStyle w:val="Heading2"/>
        <w:spacing w:after="160" w:before="320"/>
      </w:pPr>
      <w:r>
        <w:rPr>
          <w:rFonts w:ascii="Arial" w:cs="Arial" w:eastAsia="Arial" w:hAnsi="Arial"/>
          <w:b/>
          <w:bCs/>
          <w:color w:val="2E75B6"/>
          <w:sz w:val="28"/>
          <w:szCs w:val="28"/>
        </w:rPr>
        <w:t xml:space="preserve">9.4  Environment severity classification</w:t>
      </w:r>
    </w:p>
    <w:p>
      <w:pPr>
        <w:spacing w:after="200" w:before="0"/>
        <w:jc w:val="both"/>
      </w:pPr>
      <w:r>
        <w:rPr>
          <w:rFonts w:ascii="Arial" w:cs="Arial" w:eastAsia="Arial" w:hAnsi="Arial"/>
          <w:sz w:val="22"/>
          <w:szCs w:val="22"/>
        </w:rPr>
        <w:t xml:space="preserve">Environment severity in CC-001 is classified against the wetting class framework of EN ISO 15329:2007, using seven classes T0 through T5 plus a building services-specific class. Chloride concentration thresholds are sourced from CIBSE Guide G and EN ISO 15329:2007. Environment severity is read from IfcZone metadata and the IfcDistributionSystem service type classification, with conservative defaults applied where metadata is absent.</w:t>
      </w:r>
    </w:p>
    <w:p>
      <w:pPr>
        <w:pStyle w:val="Heading2"/>
        <w:spacing w:after="160" w:before="320"/>
      </w:pPr>
      <w:r>
        <w:rPr>
          <w:rFonts w:ascii="Arial" w:cs="Arial" w:eastAsia="Arial" w:hAnsi="Arial"/>
          <w:b/>
          <w:bCs/>
          <w:color w:val="2E75B6"/>
          <w:sz w:val="28"/>
          <w:szCs w:val="28"/>
        </w:rPr>
        <w:t xml:space="preserve">9.5  Weighted composite scoring model</w:t>
      </w:r>
    </w:p>
    <w:p>
      <w:pPr>
        <w:spacing w:after="200" w:before="0"/>
        <w:jc w:val="both"/>
      </w:pPr>
      <w:r>
        <w:rPr>
          <w:rFonts w:ascii="Arial" w:cs="Arial" w:eastAsia="Arial" w:hAnsi="Arial"/>
          <w:sz w:val="22"/>
          <w:szCs w:val="22"/>
        </w:rPr>
        <w:t xml:space="preserve">The CC-001 composite risk score is calculated using a three-component weighted model:</w:t>
      </w:r>
    </w:p>
    <w:p>
      <w:pPr>
        <w:spacing w:after="160" w:before="160"/>
        <w:jc w:val="center"/>
      </w:pPr>
      <w:r>
        <w:rPr>
          <w:rFonts w:ascii="Courier New" w:cs="Courier New" w:eastAsia="Courier New" w:hAnsi="Courier New"/>
          <w:b/>
          <w:bCs/>
          <w:color w:val="1F3864"/>
          <w:sz w:val="22"/>
          <w:szCs w:val="22"/>
        </w:rPr>
        <w:t xml:space="preserve">Score_CC = (0.35 × geometry_risk) + (0.40 × CCT_adequacy) + (0.25 × environment_severity)</w:t>
      </w:r>
    </w:p>
    <w:p>
      <w:pPr>
        <w:spacing w:after="200" w:before="0"/>
        <w:jc w:val="both"/>
      </w:pPr>
      <w:r>
        <w:rPr>
          <w:rFonts w:ascii="Arial" w:cs="Arial" w:eastAsia="Arial" w:hAnsi="Arial"/>
          <w:sz w:val="22"/>
          <w:szCs w:val="22"/>
        </w:rPr>
        <w:t xml:space="preserve">CCT adequacy receives the highest weight (0.40) because it is the most material-specific determinant of crevice corrosion susceptibility — a material with adequate CCT margin cannot initiate crevice attack regardless of geometry or environment. Geometry receives the second highest weight (0.35) because it is the immediate physical enabler of the crevice mechanism. Environment severity receives the lowest weight (0.25) because it represents the external conditions, which can sometimes be managed or modified, whereas material specification and joint geometry are fixed once the model is authored.</w:t>
      </w:r>
    </w:p>
    <w:p>
      <w:pPr>
        <w:spacing w:after="200" w:before="0"/>
        <w:jc w:val="both"/>
      </w:pPr>
      <w:r>
        <w:rPr>
          <w:rFonts w:ascii="Arial" w:cs="Arial" w:eastAsia="Arial" w:hAnsi="Arial"/>
          <w:sz w:val="22"/>
          <w:szCs w:val="22"/>
        </w:rPr>
        <w:t xml:space="preserve">Risk bands for CC-001 are defined as: Low (&lt; 0.30), Medium (0.30–0.55), High (0.55–0.80), Critical (&gt; 0.80).</w:t>
      </w:r>
    </w:p>
    <w:p>
      <w:pPr>
        <w:pStyle w:val="Heading2"/>
        <w:spacing w:after="160" w:before="320"/>
      </w:pPr>
      <w:r>
        <w:rPr>
          <w:rFonts w:ascii="Arial" w:cs="Arial" w:eastAsia="Arial" w:hAnsi="Arial"/>
          <w:b/>
          <w:bCs/>
          <w:color w:val="2E75B6"/>
          <w:sz w:val="28"/>
          <w:szCs w:val="28"/>
        </w:rPr>
        <w:t xml:space="preserve">9.6  Combined risk assessment function</w:t>
      </w:r>
    </w:p>
    <w:p>
      <w:pPr>
        <w:spacing w:after="200" w:before="0"/>
        <w:jc w:val="both"/>
      </w:pPr>
      <w:r>
        <w:rPr>
          <w:rFonts w:ascii="Arial" w:cs="Arial" w:eastAsia="Arial" w:hAnsi="Arial"/>
          <w:sz w:val="22"/>
          <w:szCs w:val="22"/>
        </w:rPr>
        <w:t xml:space="preserve">The combined_risk_assessment() function in the compliance runner executes both GC-001 and CC-001 on every qualifying element and returns a unified risk assessment. The combined risk band is the higher of the two individual risk bands — if an element scores Low on galvanic and Critical on crevice, the combined band is Critical. This conservative combination rule ensures that the worst-case mechanism always determines the overall risk classification and remediation priority.</w:t>
      </w:r>
    </w:p>
    <w:p>
      <w:pPr>
        <w:spacing w:after="200" w:before="0"/>
        <w:jc w:val="both"/>
      </w:pPr>
      <w:r>
        <w:rPr>
          <w:rFonts w:ascii="Arial" w:cs="Arial" w:eastAsia="Arial" w:hAnsi="Arial"/>
          <w:sz w:val="22"/>
          <w:szCs w:val="22"/>
        </w:rPr>
        <w:t xml:space="preserve">The combined approach also enables mechanism-specific BCF issue generation: where GC-001 and CC-001 both flag the same element, two separate BCF issues are generated with different mechanism descriptions and different recommended mitigations, allowing the discipline engineer to address each failure mode independently.</w:t>
      </w:r>
    </w:p>
    <w:p>
      <w:pPr>
        <w:spacing w:after="0" w:before="0"/>
      </w:pPr>
      <w:r>
        <w:br w:type="page"/>
      </w:r>
    </w:p>
    <w:p>
      <w:pPr>
        <w:pStyle w:val="Heading1"/>
        <w:spacing w:after="240" w:before="480"/>
      </w:pPr>
      <w:r>
        <w:rPr>
          <w:rFonts w:ascii="Arial" w:cs="Arial" w:eastAsia="Arial" w:hAnsi="Arial"/>
          <w:b/>
          <w:bCs/>
          <w:color w:val="1F3864"/>
          <w:sz w:val="36"/>
          <w:szCs w:val="36"/>
        </w:rPr>
        <w:t xml:space="preserve">Chapter 10 — Architecture: Combined Compliance System</w:t>
      </w:r>
    </w:p>
    <w:p>
      <w:pPr>
        <w:pBdr>
          <w:bottom w:val="single" w:color="1F3864" w:sz="6" w:space="1"/>
        </w:pBdr>
        <w:spacing w:after="240" w:before="0"/>
      </w:pPr>
    </w:p>
    <w:p>
      <w:pPr>
        <w:pStyle w:val="Heading2"/>
        <w:spacing w:after="160" w:before="320"/>
      </w:pPr>
      <w:r>
        <w:rPr>
          <w:rFonts w:ascii="Arial" w:cs="Arial" w:eastAsia="Arial" w:hAnsi="Arial"/>
          <w:b/>
          <w:bCs/>
          <w:color w:val="2E75B6"/>
          <w:sz w:val="28"/>
          <w:szCs w:val="28"/>
        </w:rPr>
        <w:t xml:space="preserve">10.1  Pset_CreviceCorrosionRisk schema</w:t>
      </w:r>
    </w:p>
    <w:p>
      <w:pPr>
        <w:spacing w:after="200" w:before="0"/>
        <w:jc w:val="both"/>
      </w:pPr>
      <w:r>
        <w:rPr>
          <w:rFonts w:ascii="Arial" w:cs="Arial" w:eastAsia="Arial" w:hAnsi="Arial"/>
          <w:sz w:val="22"/>
          <w:szCs w:val="22"/>
        </w:rPr>
        <w:t xml:space="preserve">Analogous to the Pset_CorrosionRisk property set written back by GC-001, CC-001 writes a Pset_CreviceCorrosionRisk property set to the IFC model for each assessed element. The schema contains the following properties:</w:t>
      </w:r>
    </w:p>
    <w:p>
      <w:pPr>
        <w:pStyle w:val="ListParagraph"/>
        <w:numPr>
          <w:ilvl w:val="0"/>
          <w:numId w:val="3"/>
        </w:numPr>
        <w:spacing w:after="120" w:before="0"/>
      </w:pPr>
      <w:r>
        <w:rPr>
          <w:rFonts w:ascii="Arial" w:cs="Arial" w:eastAsia="Arial" w:hAnsi="Arial"/>
          <w:sz w:val="22"/>
          <w:szCs w:val="22"/>
        </w:rPr>
        <w:t xml:space="preserve">CreviceRiskScore — the CC-001 composite score (real, 0.0–1.0)</w:t>
      </w:r>
    </w:p>
    <w:p>
      <w:pPr>
        <w:pStyle w:val="ListParagraph"/>
        <w:numPr>
          <w:ilvl w:val="0"/>
          <w:numId w:val="3"/>
        </w:numPr>
        <w:spacing w:after="120" w:before="0"/>
      </w:pPr>
      <w:r>
        <w:rPr>
          <w:rFonts w:ascii="Arial" w:cs="Arial" w:eastAsia="Arial" w:hAnsi="Arial"/>
          <w:sz w:val="22"/>
          <w:szCs w:val="22"/>
        </w:rPr>
        <w:t xml:space="preserve">CreviceRiskBand — the risk band classification (string: Low/Medium/High/Critical)</w:t>
      </w:r>
    </w:p>
    <w:p>
      <w:pPr>
        <w:pStyle w:val="ListParagraph"/>
        <w:numPr>
          <w:ilvl w:val="0"/>
          <w:numId w:val="3"/>
        </w:numPr>
        <w:spacing w:after="120" w:before="0"/>
      </w:pPr>
      <w:r>
        <w:rPr>
          <w:rFonts w:ascii="Arial" w:cs="Arial" w:eastAsia="Arial" w:hAnsi="Arial"/>
          <w:sz w:val="22"/>
          <w:szCs w:val="22"/>
        </w:rPr>
        <w:t xml:space="preserve">CCTAdequacyScore — the CCT adequacy sub-score</w:t>
      </w:r>
    </w:p>
    <w:p>
      <w:pPr>
        <w:pStyle w:val="ListParagraph"/>
        <w:numPr>
          <w:ilvl w:val="0"/>
          <w:numId w:val="3"/>
        </w:numPr>
        <w:spacing w:after="120" w:before="0"/>
      </w:pPr>
      <w:r>
        <w:rPr>
          <w:rFonts w:ascii="Arial" w:cs="Arial" w:eastAsia="Arial" w:hAnsi="Arial"/>
          <w:sz w:val="22"/>
          <w:szCs w:val="22"/>
        </w:rPr>
        <w:t xml:space="preserve">GeometryClass — the joint type library classification (string: JT-001 through JT-014)</w:t>
      </w:r>
    </w:p>
    <w:p>
      <w:pPr>
        <w:pStyle w:val="ListParagraph"/>
        <w:numPr>
          <w:ilvl w:val="0"/>
          <w:numId w:val="3"/>
        </w:numPr>
        <w:spacing w:after="120" w:before="0"/>
      </w:pPr>
      <w:r>
        <w:rPr>
          <w:rFonts w:ascii="Arial" w:cs="Arial" w:eastAsia="Arial" w:hAnsi="Arial"/>
          <w:sz w:val="22"/>
          <w:szCs w:val="22"/>
        </w:rPr>
        <w:t xml:space="preserve">EnvironmentSeverity — the EN ISO 15329 wetting class</w:t>
      </w:r>
    </w:p>
    <w:p>
      <w:pPr>
        <w:pStyle w:val="ListParagraph"/>
        <w:numPr>
          <w:ilvl w:val="0"/>
          <w:numId w:val="3"/>
        </w:numPr>
        <w:spacing w:after="120" w:before="0"/>
      </w:pPr>
      <w:r>
        <w:rPr>
          <w:rFonts w:ascii="Arial" w:cs="Arial" w:eastAsia="Arial" w:hAnsi="Arial"/>
          <w:sz w:val="22"/>
          <w:szCs w:val="22"/>
        </w:rPr>
        <w:t xml:space="preserve">RecommendedMitigation — the mitigation code from the CC-001 mitigation catalogue</w:t>
      </w:r>
    </w:p>
    <w:p>
      <w:pPr>
        <w:pStyle w:val="ListParagraph"/>
        <w:numPr>
          <w:ilvl w:val="0"/>
          <w:numId w:val="3"/>
        </w:numPr>
        <w:spacing w:after="120" w:before="0"/>
      </w:pPr>
      <w:r>
        <w:rPr>
          <w:rFonts w:ascii="Arial" w:cs="Arial" w:eastAsia="Arial" w:hAnsi="Arial"/>
          <w:sz w:val="22"/>
          <w:szCs w:val="22"/>
        </w:rPr>
        <w:t xml:space="preserve">RulesetVersion — the CC-001 ruleset version string ("BIMGUARD-CC-001 v1.0.0")</w:t>
      </w:r>
    </w:p>
    <w:p>
      <w:pPr>
        <w:pStyle w:val="ListParagraph"/>
        <w:numPr>
          <w:ilvl w:val="0"/>
          <w:numId w:val="3"/>
        </w:numPr>
        <w:spacing w:after="120" w:before="0"/>
      </w:pPr>
      <w:r>
        <w:rPr>
          <w:rFonts w:ascii="Arial" w:cs="Arial" w:eastAsia="Arial" w:hAnsi="Arial"/>
          <w:sz w:val="22"/>
          <w:szCs w:val="22"/>
        </w:rPr>
        <w:t xml:space="preserve">AssessmentDate — ISO 8601 timestamp of the assessment run</w:t>
      </w:r>
    </w:p>
    <w:p>
      <w:pPr>
        <w:spacing w:after="200" w:before="0"/>
        <w:jc w:val="both"/>
      </w:pPr>
      <w:r>
        <w:rPr>
          <w:rFonts w:ascii="Arial" w:cs="Arial" w:eastAsia="Arial" w:hAnsi="Arial"/>
          <w:sz w:val="22"/>
          <w:szCs w:val="22"/>
        </w:rPr>
        <w:t xml:space="preserve">Writing both Pset_CorrosionRisk and Pset_CreviceCorrosionRisk to the model creates a permanent, machine-readable compliance record that travels with the IFC file through all subsequent project stages. This satisfies the Golden Thread traceability requirement of the Building Safety Act 2022 for higher-risk buildings: any party reviewing the model at any stage of the asset lifecycle can read the compliance assessment results and their evidential basis directly from the model data.</w:t>
      </w:r>
    </w:p>
    <w:p>
      <w:pPr>
        <w:pStyle w:val="Heading2"/>
        <w:spacing w:after="160" w:before="320"/>
      </w:pPr>
      <w:r>
        <w:rPr>
          <w:rFonts w:ascii="Arial" w:cs="Arial" w:eastAsia="Arial" w:hAnsi="Arial"/>
          <w:b/>
          <w:bCs/>
          <w:color w:val="2E75B6"/>
          <w:sz w:val="28"/>
          <w:szCs w:val="28"/>
        </w:rPr>
        <w:t xml:space="preserve">10.2  Combined asset register</w:t>
      </w:r>
    </w:p>
    <w:p>
      <w:pPr>
        <w:spacing w:after="200" w:before="0"/>
        <w:jc w:val="both"/>
      </w:pPr>
      <w:r>
        <w:rPr>
          <w:rFonts w:ascii="Arial" w:cs="Arial" w:eastAsia="Arial" w:hAnsi="Arial"/>
          <w:sz w:val="22"/>
          <w:szCs w:val="22"/>
        </w:rPr>
        <w:t xml:space="preserve">The compliance runner exports a combined asset register CSV file containing one row per assessed element with the full GC-001 and CC-001 results side by side. The register includes element GlobalID, service type, floor, zone, material, nominal diameter, GC-001 score, CC-001 score, combined risk band, mechanism flags, recommended mitigation, responsible engineer, estimated remediation cost, and programme impact in working days. This register provides the data source for the Streamlit application's Schedule and Cost Impact page and can be imported directly into a project cost management tool or programme management application.</w:t>
      </w:r>
    </w:p>
    <w:p>
      <w:pPr>
        <w:pStyle w:val="Heading2"/>
        <w:spacing w:after="160" w:before="320"/>
      </w:pPr>
      <w:r>
        <w:rPr>
          <w:rFonts w:ascii="Arial" w:cs="Arial" w:eastAsia="Arial" w:hAnsi="Arial"/>
          <w:b/>
          <w:bCs/>
          <w:color w:val="2E75B6"/>
          <w:sz w:val="28"/>
          <w:szCs w:val="28"/>
        </w:rPr>
        <w:t xml:space="preserve">10.3  Dual-engine BCF output</w:t>
      </w:r>
    </w:p>
    <w:p>
      <w:pPr>
        <w:spacing w:after="200" w:before="0"/>
        <w:jc w:val="both"/>
      </w:pPr>
      <w:r>
        <w:rPr>
          <w:rFonts w:ascii="Arial" w:cs="Arial" w:eastAsia="Arial" w:hAnsi="Arial"/>
          <w:sz w:val="22"/>
          <w:szCs w:val="22"/>
        </w:rPr>
        <w:t xml:space="preserve">The BCF generator module produces separate issues for GC-001 and CC-001 findings on the same element where both engines flag a risk. This separation is important for practical deployment: the mechanical engineer responsible for material specification needs to receive the crevice corrosion finding and act on it independently of the structural engineer responsible for support assembly specification, who receives the galvanic finding. A single combined BCF issue with two mechanism descriptions creates ambiguity about ownership and action.</w:t>
      </w:r>
    </w:p>
    <w:p>
      <w:pPr>
        <w:spacing w:after="200" w:before="0"/>
        <w:jc w:val="both"/>
      </w:pPr>
      <w:r>
        <w:rPr>
          <w:rFonts w:ascii="Arial" w:cs="Arial" w:eastAsia="Arial" w:hAnsi="Arial"/>
          <w:sz w:val="22"/>
          <w:szCs w:val="22"/>
        </w:rPr>
        <w:t xml:space="preserve">The issue assignment logic in the BCF generator maps service type and mechanism to discipline engineer: galvanic findings on mechanical pipe systems are assigned to the mechanical engineer; galvanic findings involving structural supports are assigned to the structural engineer; crevice findings on pressurised systems are assigned to the mechanical engineer; crevice findings in drainage systems are assigned to the public health engineer. This mapping is configurable through the BCF generator settings and can be customised for individual project team structures.</w:t>
      </w:r>
    </w:p>
    <w:p>
      <w:pPr>
        <w:spacing w:after="0" w:before="0"/>
      </w:pPr>
      <w:r>
        <w:br w:type="page"/>
      </w:r>
    </w:p>
    <w:p>
      <w:pPr>
        <w:pStyle w:val="Heading1"/>
        <w:spacing w:after="240" w:before="480"/>
      </w:pPr>
      <w:r>
        <w:rPr>
          <w:rFonts w:ascii="Arial" w:cs="Arial" w:eastAsia="Arial" w:hAnsi="Arial"/>
          <w:b/>
          <w:bCs/>
          <w:color w:val="1F3864"/>
          <w:sz w:val="36"/>
          <w:szCs w:val="36"/>
        </w:rPr>
        <w:t xml:space="preserve">Chapter 11 — Discussion and Further Development</w:t>
      </w:r>
    </w:p>
    <w:p>
      <w:pPr>
        <w:pBdr>
          <w:bottom w:val="single" w:color="1F3864" w:sz="6" w:space="1"/>
        </w:pBdr>
        <w:spacing w:after="240" w:before="0"/>
      </w:pPr>
    </w:p>
    <w:p>
      <w:pPr>
        <w:pStyle w:val="Heading2"/>
        <w:spacing w:after="160" w:before="320"/>
      </w:pPr>
      <w:r>
        <w:rPr>
          <w:rFonts w:ascii="Arial" w:cs="Arial" w:eastAsia="Arial" w:hAnsi="Arial"/>
          <w:b/>
          <w:bCs/>
          <w:color w:val="2E75B6"/>
          <w:sz w:val="28"/>
          <w:szCs w:val="28"/>
        </w:rPr>
        <w:t xml:space="preserve">11.1  MIC as the third corrosion module</w:t>
      </w:r>
    </w:p>
    <w:p>
      <w:pPr>
        <w:spacing w:after="200" w:before="0"/>
        <w:jc w:val="both"/>
      </w:pPr>
      <w:r>
        <w:rPr>
          <w:rFonts w:ascii="Arial" w:cs="Arial" w:eastAsia="Arial" w:hAnsi="Arial"/>
          <w:sz w:val="22"/>
          <w:szCs w:val="22"/>
        </w:rPr>
        <w:t xml:space="preserve">Microbially Influenced Corrosion (MIC) is identified as the logical third corrosion mechanism module for BIMGUARD AI, to be developed as BIMGUARD-MC-001. MIC occurs when microbiological communities — primarily sulphate-reducing bacteria, iron-oxidising bacteria, and acid-producing fungi — colonise internal pipe surfaces and produce corrosive metabolic byproducts. The mechanism is of particular significance in building services applications involving stagnant or low-flow water conditions: dead-leg pipework in hot and cold water systems, commissioning water retained in chilled water circuits, cooling tower pipework, and fire suppression systems with infrequent flow.</w:t>
      </w:r>
    </w:p>
    <w:p>
      <w:pPr>
        <w:spacing w:after="200" w:before="0"/>
        <w:jc w:val="both"/>
      </w:pPr>
      <w:r>
        <w:rPr>
          <w:rFonts w:ascii="Arial" w:cs="Arial" w:eastAsia="Arial" w:hAnsi="Arial"/>
          <w:sz w:val="22"/>
          <w:szCs w:val="22"/>
        </w:rPr>
        <w:t xml:space="preserve">The IFC data required for MIC checking is distinct from that used by GC-001 and CC-001: flow velocity (from system design data in property sets), water temperature (from operating temperature Psets), the presence of dead-leg configurations (from network topology analysis on the IfcDistributionSystem graph), and under-insulation conditions (from the relationship between IfcCovering and the contained IfcPipeSegment). The scoring model for MC-001 would incorporate flow velocity class, temperature class (both high and low extremes create risk), dead-leg classification, and a time-since-flush parameter for systems with intermittent flow.</w:t>
      </w:r>
    </w:p>
    <w:p>
      <w:pPr>
        <w:pStyle w:val="Heading2"/>
        <w:spacing w:after="160" w:before="320"/>
      </w:pPr>
      <w:r>
        <w:rPr>
          <w:rFonts w:ascii="Arial" w:cs="Arial" w:eastAsia="Arial" w:hAnsi="Arial"/>
          <w:b/>
          <w:bCs/>
          <w:color w:val="2E75B6"/>
          <w:sz w:val="28"/>
          <w:szCs w:val="28"/>
        </w:rPr>
        <w:t xml:space="preserve">11.2  BMS integration</w:t>
      </w:r>
    </w:p>
    <w:p>
      <w:pPr>
        <w:spacing w:after="200" w:before="0"/>
        <w:jc w:val="both"/>
      </w:pPr>
      <w:r>
        <w:rPr>
          <w:rFonts w:ascii="Arial" w:cs="Arial" w:eastAsia="Arial" w:hAnsi="Arial"/>
          <w:sz w:val="22"/>
          <w:szCs w:val="22"/>
        </w:rPr>
        <w:t xml:space="preserve">A future development direction of significant practical value is integration between BIMGUARD AI and Building Management System (BMS) data streams. The current tool assesses corrosion risk from static design data in the IFC model; a BMS-integrated version would update risk scores dynamically based on real-time operating conditions — measured temperatures, flow rates, and humidity readings from the BMS. This would transform BIMGUARD AI from a design-stage compliance checker to a continuous operational risk monitor, flagging developing corrosion conditions in real time rather than waiting for the next design review cycle. The Pset_CorrosionRisk and Pset_CreviceCorrosionRisk property sets are designed with this future integration in mind: they carry an AssessmentDate field that would be updated on each BMS data refresh.</w:t>
      </w:r>
    </w:p>
    <w:p>
      <w:pPr>
        <w:pStyle w:val="Heading2"/>
        <w:spacing w:after="160" w:before="320"/>
      </w:pPr>
      <w:r>
        <w:rPr>
          <w:rFonts w:ascii="Arial" w:cs="Arial" w:eastAsia="Arial" w:hAnsi="Arial"/>
          <w:b/>
          <w:bCs/>
          <w:color w:val="2E75B6"/>
          <w:sz w:val="28"/>
          <w:szCs w:val="28"/>
        </w:rPr>
        <w:t xml:space="preserve">11.3  Weld quality extension</w:t>
      </w:r>
    </w:p>
    <w:p>
      <w:pPr>
        <w:spacing w:after="200" w:before="0"/>
        <w:jc w:val="both"/>
      </w:pPr>
      <w:r>
        <w:rPr>
          <w:rFonts w:ascii="Arial" w:cs="Arial" w:eastAsia="Arial" w:hAnsi="Arial"/>
          <w:sz w:val="22"/>
          <w:szCs w:val="22"/>
        </w:rPr>
        <w:t xml:space="preserve">A further development opportunity identified during the crevice corrosion work is a weld quality extension to CC-001. The current engine classifies butt welds as Open geometry (lowest crevice risk) based on the assumption of a properly completed full-penetration weld with no internal crevice. In practice, incomplete penetration welds — a common quality defect in site-welded pipework — create an internal crevice at the root of the weld that is classified as Critical geometry and represents a severe crevice corrosion risk in aggressive environments. An extension that reads weld procedure specification data from the IFC model and downgrades the geometry class for non-full-penetration specifications would significantly improve the accuracy of CC-001 for site-welded systems.</w:t>
      </w:r>
    </w:p>
    <w:p>
      <w:pPr>
        <w:pStyle w:val="Heading2"/>
        <w:spacing w:after="160" w:before="320"/>
      </w:pPr>
      <w:r>
        <w:rPr>
          <w:rFonts w:ascii="Arial" w:cs="Arial" w:eastAsia="Arial" w:hAnsi="Arial"/>
          <w:b/>
          <w:bCs/>
          <w:color w:val="2E75B6"/>
          <w:sz w:val="28"/>
          <w:szCs w:val="28"/>
        </w:rPr>
        <w:t xml:space="preserve">11.4  Regulatory context and wider applicability</w:t>
      </w:r>
    </w:p>
    <w:p>
      <w:pPr>
        <w:spacing w:after="200" w:before="0"/>
        <w:jc w:val="both"/>
      </w:pPr>
      <w:r>
        <w:rPr>
          <w:rFonts w:ascii="Arial" w:cs="Arial" w:eastAsia="Arial" w:hAnsi="Arial"/>
          <w:sz w:val="22"/>
          <w:szCs w:val="22"/>
        </w:rPr>
        <w:t xml:space="preserve">The Building Safety Act 2022 creates a legal requirement for a Golden Thread of information for higher-risk buildings in England — a requirement that the information about a building is created, maintained, and passed through each stage of the building's lifecycle in a form that is accurate, up to date, and accessible. BIMGUARD AI contributes to the Golden Thread by producing machine-readable, standards-referenced compliance records that are embedded in the IFC model and stored in BCF issues with full audit trails. This positions the tool not merely as a coordination aid but as a regulatory compliance instrument for the category of buildings most likely to be subject to formal compliance scrutiny.</w:t>
      </w:r>
    </w:p>
    <w:p>
      <w:pPr>
        <w:spacing w:after="200" w:before="0"/>
        <w:jc w:val="both"/>
      </w:pPr>
      <w:r>
        <w:rPr>
          <w:rFonts w:ascii="Arial" w:cs="Arial" w:eastAsia="Arial" w:hAnsi="Arial"/>
          <w:sz w:val="22"/>
          <w:szCs w:val="22"/>
        </w:rPr>
        <w:t xml:space="preserve">Beyond the UK regulatory context, the ISO 19650 information management framework — now adopted in over 70 countries — provides the governance structure within which BIMGUARD AI's ISO 19650 status codes and Plannerly integration are meaningful. As adoption of ISO 19650 workflows continues to expand internationally, the demand for automated technical compliance checking tools that produce ISO 19650-compatible outputs will increase. BIMGUARD AI is designed to be portable across these contexts: the standards references in the rulesets are international standards, the IFC and BCF formats are global open standards, and the Plannerly integration uses the ISO 19650 status code framework that is jurisdiction-neutral.</w:t>
      </w:r>
    </w:p>
    <w:p>
      <w:pPr>
        <w:spacing w:after="0" w:before="0"/>
      </w:pPr>
      <w:r>
        <w:br w:type="page"/>
      </w:r>
    </w:p>
    <w:p>
      <w:pPr>
        <w:pStyle w:val="Heading1"/>
        <w:spacing w:after="240" w:before="480"/>
      </w:pPr>
      <w:r>
        <w:rPr>
          <w:rFonts w:ascii="Arial" w:cs="Arial" w:eastAsia="Arial" w:hAnsi="Arial"/>
          <w:b/>
          <w:bCs/>
          <w:color w:val="1F3864"/>
          <w:sz w:val="36"/>
          <w:szCs w:val="36"/>
        </w:rPr>
        <w:t xml:space="preserve">References</w:t>
      </w:r>
    </w:p>
    <w:p>
      <w:pPr>
        <w:pBdr>
          <w:bottom w:val="single" w:color="1F3864" w:sz="6" w:space="1"/>
        </w:pBdr>
        <w:spacing w:after="240" w:before="0"/>
      </w:pPr>
    </w:p>
    <w:p>
      <w:pPr>
        <w:spacing w:after="200" w:before="0"/>
        <w:jc w:val="both"/>
      </w:pPr>
      <w:r>
        <w:rPr>
          <w:rFonts w:ascii="Arial" w:cs="Arial" w:eastAsia="Arial" w:hAnsi="Arial"/>
          <w:sz w:val="22"/>
          <w:szCs w:val="22"/>
        </w:rPr>
        <w:t xml:space="preserve">American Galvanizers Association (2023) Corrosion: Overview of Galvanic Protection. Centennial, CO: American Galvanizers Association.</w:t>
      </w:r>
    </w:p>
    <w:p>
      <w:pPr>
        <w:spacing w:after="120" w:before="0"/>
      </w:pPr>
      <w:r>
        <w:rPr>
          <w:rFonts w:ascii="Arial" w:cs="Arial" w:eastAsia="Arial" w:hAnsi="Arial"/>
          <w:sz w:val="22"/>
          <w:szCs w:val="22"/>
        </w:rPr>
        <w:t xml:space="preserve"/>
      </w:r>
    </w:p>
    <w:p>
      <w:pPr>
        <w:spacing w:after="200" w:before="0"/>
        <w:jc w:val="both"/>
      </w:pPr>
      <w:r>
        <w:rPr>
          <w:rFonts w:ascii="Arial" w:cs="Arial" w:eastAsia="Arial" w:hAnsi="Arial"/>
          <w:sz w:val="22"/>
          <w:szCs w:val="22"/>
        </w:rPr>
        <w:t xml:space="preserve">ASTM International (2021) ASTM G48-11(2020) Standard Test Methods for Pitting and Crevice Corrosion Resistance of Stainless Steels and Related Alloys by Use of Ferric Chloride Solution. West Conshohocken, PA: ASTM International.</w:t>
      </w:r>
    </w:p>
    <w:p>
      <w:pPr>
        <w:spacing w:after="120" w:before="0"/>
      </w:pPr>
      <w:r>
        <w:rPr>
          <w:rFonts w:ascii="Arial" w:cs="Arial" w:eastAsia="Arial" w:hAnsi="Arial"/>
          <w:sz w:val="22"/>
          <w:szCs w:val="22"/>
        </w:rPr>
        <w:t xml:space="preserve"/>
      </w:r>
    </w:p>
    <w:p>
      <w:pPr>
        <w:spacing w:after="200" w:before="0"/>
        <w:jc w:val="both"/>
      </w:pPr>
      <w:r>
        <w:rPr>
          <w:rFonts w:ascii="Arial" w:cs="Arial" w:eastAsia="Arial" w:hAnsi="Arial"/>
          <w:sz w:val="22"/>
          <w:szCs w:val="22"/>
        </w:rPr>
        <w:t xml:space="preserve">AUCSC (2024) Basic Corrosion Course — Module 3: Galvanic Corrosion. Houston, TX: Association for Materials Protection and Performance (formerly NACE International).</w:t>
      </w:r>
    </w:p>
    <w:p>
      <w:pPr>
        <w:spacing w:after="120" w:before="0"/>
      </w:pPr>
      <w:r>
        <w:rPr>
          <w:rFonts w:ascii="Arial" w:cs="Arial" w:eastAsia="Arial" w:hAnsi="Arial"/>
          <w:sz w:val="22"/>
          <w:szCs w:val="22"/>
        </w:rPr>
        <w:t xml:space="preserve"/>
      </w:r>
    </w:p>
    <w:p>
      <w:pPr>
        <w:spacing w:after="200" w:before="0"/>
        <w:jc w:val="both"/>
      </w:pPr>
      <w:r>
        <w:rPr>
          <w:rFonts w:ascii="Arial" w:cs="Arial" w:eastAsia="Arial" w:hAnsi="Arial"/>
          <w:sz w:val="22"/>
          <w:szCs w:val="22"/>
        </w:rPr>
        <w:t xml:space="preserve">buildingSMART International (2021) BCF 2.1 — BIM Collaboration Format Specification. Oslo: buildingSMART International Ltd.</w:t>
      </w:r>
    </w:p>
    <w:p>
      <w:pPr>
        <w:spacing w:after="120" w:before="0"/>
      </w:pPr>
      <w:r>
        <w:rPr>
          <w:rFonts w:ascii="Arial" w:cs="Arial" w:eastAsia="Arial" w:hAnsi="Arial"/>
          <w:sz w:val="22"/>
          <w:szCs w:val="22"/>
        </w:rPr>
        <w:t xml:space="preserve"/>
      </w:r>
    </w:p>
    <w:p>
      <w:pPr>
        <w:spacing w:after="200" w:before="0"/>
        <w:jc w:val="both"/>
      </w:pPr>
      <w:r>
        <w:rPr>
          <w:rFonts w:ascii="Arial" w:cs="Arial" w:eastAsia="Arial" w:hAnsi="Arial"/>
          <w:sz w:val="22"/>
          <w:szCs w:val="22"/>
        </w:rPr>
        <w:t xml:space="preserve">buildingSMART International (2023) IFC 4.3.2 Documentation. Available at: https://ifc43-docs.standards.buildingsmart.org [Accessed April 2026].</w:t>
      </w:r>
    </w:p>
    <w:p>
      <w:pPr>
        <w:spacing w:after="120" w:before="0"/>
      </w:pPr>
      <w:r>
        <w:rPr>
          <w:rFonts w:ascii="Arial" w:cs="Arial" w:eastAsia="Arial" w:hAnsi="Arial"/>
          <w:sz w:val="22"/>
          <w:szCs w:val="22"/>
        </w:rPr>
        <w:t xml:space="preserve"/>
      </w:r>
    </w:p>
    <w:p>
      <w:pPr>
        <w:spacing w:after="200" w:before="0"/>
        <w:jc w:val="both"/>
      </w:pPr>
      <w:r>
        <w:rPr>
          <w:rFonts w:ascii="Arial" w:cs="Arial" w:eastAsia="Arial" w:hAnsi="Arial"/>
          <w:sz w:val="22"/>
          <w:szCs w:val="22"/>
        </w:rPr>
        <w:t xml:space="preserve">BS EN 1993-1-4:2006+A1:2015 (2015) Eurocode 3: Design of Steel Structures — Part 1-4: General Rules — Supplementary Rules for Stainless Steels. London: BSI Standards.</w:t>
      </w:r>
    </w:p>
    <w:p>
      <w:pPr>
        <w:spacing w:after="120" w:before="0"/>
      </w:pPr>
      <w:r>
        <w:rPr>
          <w:rFonts w:ascii="Arial" w:cs="Arial" w:eastAsia="Arial" w:hAnsi="Arial"/>
          <w:sz w:val="22"/>
          <w:szCs w:val="22"/>
        </w:rPr>
        <w:t xml:space="preserve"/>
      </w:r>
    </w:p>
    <w:p>
      <w:pPr>
        <w:spacing w:after="200" w:before="0"/>
        <w:jc w:val="both"/>
      </w:pPr>
      <w:r>
        <w:rPr>
          <w:rFonts w:ascii="Arial" w:cs="Arial" w:eastAsia="Arial" w:hAnsi="Arial"/>
          <w:sz w:val="22"/>
          <w:szCs w:val="22"/>
        </w:rPr>
        <w:t xml:space="preserve">BS 8539:2012 (2012) Code of Practice for the Selection and Installation of Post-Installed Anchors in Concrete and Masonry. London: BSI Standards.</w:t>
      </w:r>
    </w:p>
    <w:p>
      <w:pPr>
        <w:spacing w:after="120" w:before="0"/>
      </w:pPr>
      <w:r>
        <w:rPr>
          <w:rFonts w:ascii="Arial" w:cs="Arial" w:eastAsia="Arial" w:hAnsi="Arial"/>
          <w:sz w:val="22"/>
          <w:szCs w:val="22"/>
        </w:rPr>
        <w:t xml:space="preserve"/>
      </w:r>
    </w:p>
    <w:p>
      <w:pPr>
        <w:spacing w:after="200" w:before="0"/>
        <w:jc w:val="both"/>
      </w:pPr>
      <w:r>
        <w:rPr>
          <w:rFonts w:ascii="Arial" w:cs="Arial" w:eastAsia="Arial" w:hAnsi="Arial"/>
          <w:sz w:val="22"/>
          <w:szCs w:val="22"/>
        </w:rPr>
        <w:t xml:space="preserve">CIRIA (2014) C692 — Stainless Steel in Construction: A Review of Research, Applications and Challenges. London: CIRIA.</w:t>
      </w:r>
    </w:p>
    <w:p>
      <w:pPr>
        <w:spacing w:after="120" w:before="0"/>
      </w:pPr>
      <w:r>
        <w:rPr>
          <w:rFonts w:ascii="Arial" w:cs="Arial" w:eastAsia="Arial" w:hAnsi="Arial"/>
          <w:sz w:val="22"/>
          <w:szCs w:val="22"/>
        </w:rPr>
        <w:t xml:space="preserve"/>
      </w:r>
    </w:p>
    <w:p>
      <w:pPr>
        <w:spacing w:after="200" w:before="0"/>
        <w:jc w:val="both"/>
      </w:pPr>
      <w:r>
        <w:rPr>
          <w:rFonts w:ascii="Arial" w:cs="Arial" w:eastAsia="Arial" w:hAnsi="Arial"/>
          <w:sz w:val="22"/>
          <w:szCs w:val="22"/>
        </w:rPr>
        <w:t xml:space="preserve">CIBSE (2021) Guide G: Public Health and Plumbing Engineering (4th edn). London: Chartered Institution of Building Services Engineers.</w:t>
      </w:r>
    </w:p>
    <w:p>
      <w:pPr>
        <w:spacing w:after="120" w:before="0"/>
      </w:pPr>
      <w:r>
        <w:rPr>
          <w:rFonts w:ascii="Arial" w:cs="Arial" w:eastAsia="Arial" w:hAnsi="Arial"/>
          <w:sz w:val="22"/>
          <w:szCs w:val="22"/>
        </w:rPr>
        <w:t xml:space="preserve"/>
      </w:r>
    </w:p>
    <w:p>
      <w:pPr>
        <w:spacing w:after="200" w:before="0"/>
        <w:jc w:val="both"/>
      </w:pPr>
      <w:r>
        <w:rPr>
          <w:rFonts w:ascii="Arial" w:cs="Arial" w:eastAsia="Arial" w:hAnsi="Arial"/>
          <w:sz w:val="22"/>
          <w:szCs w:val="22"/>
        </w:rPr>
        <w:t xml:space="preserve">Eastman, C., Teicholz, P., Sacks, R. and Liston, K. (2011) BIM Handbook: A Guide to Building Information Modelling for Owners, Managers, Designers, Engineers and Contractors (2nd edn). Hoboken, NJ: Wiley.</w:t>
      </w:r>
    </w:p>
    <w:p>
      <w:pPr>
        <w:spacing w:after="120" w:before="0"/>
      </w:pPr>
      <w:r>
        <w:rPr>
          <w:rFonts w:ascii="Arial" w:cs="Arial" w:eastAsia="Arial" w:hAnsi="Arial"/>
          <w:sz w:val="22"/>
          <w:szCs w:val="22"/>
        </w:rPr>
        <w:t xml:space="preserve"/>
      </w:r>
    </w:p>
    <w:p>
      <w:pPr>
        <w:spacing w:after="200" w:before="0"/>
        <w:jc w:val="both"/>
      </w:pPr>
      <w:r>
        <w:rPr>
          <w:rFonts w:ascii="Arial" w:cs="Arial" w:eastAsia="Arial" w:hAnsi="Arial"/>
          <w:sz w:val="22"/>
          <w:szCs w:val="22"/>
        </w:rPr>
        <w:t xml:space="preserve">Evans, U.R. (1960) The Corrosion and Oxidation of Metals. London: Edward Arnold.</w:t>
      </w:r>
    </w:p>
    <w:p>
      <w:pPr>
        <w:spacing w:after="120" w:before="0"/>
      </w:pPr>
      <w:r>
        <w:rPr>
          <w:rFonts w:ascii="Arial" w:cs="Arial" w:eastAsia="Arial" w:hAnsi="Arial"/>
          <w:sz w:val="22"/>
          <w:szCs w:val="22"/>
        </w:rPr>
        <w:t xml:space="preserve"/>
      </w:r>
    </w:p>
    <w:p>
      <w:pPr>
        <w:spacing w:after="200" w:before="0"/>
        <w:jc w:val="both"/>
      </w:pPr>
      <w:r>
        <w:rPr>
          <w:rFonts w:ascii="Arial" w:cs="Arial" w:eastAsia="Arial" w:hAnsi="Arial"/>
          <w:sz w:val="22"/>
          <w:szCs w:val="22"/>
        </w:rPr>
        <w:t xml:space="preserve">Fontana, M.G. and Greene, N.D. (1967) Corrosion Engineering. New York: McGraw-Hill.</w:t>
      </w:r>
    </w:p>
    <w:p>
      <w:pPr>
        <w:spacing w:after="120" w:before="0"/>
      </w:pPr>
      <w:r>
        <w:rPr>
          <w:rFonts w:ascii="Arial" w:cs="Arial" w:eastAsia="Arial" w:hAnsi="Arial"/>
          <w:sz w:val="22"/>
          <w:szCs w:val="22"/>
        </w:rPr>
        <w:t xml:space="preserve"/>
      </w:r>
    </w:p>
    <w:p>
      <w:pPr>
        <w:spacing w:after="200" w:before="0"/>
        <w:jc w:val="both"/>
      </w:pPr>
      <w:r>
        <w:rPr>
          <w:rFonts w:ascii="Arial" w:cs="Arial" w:eastAsia="Arial" w:hAnsi="Arial"/>
          <w:sz w:val="22"/>
          <w:szCs w:val="22"/>
        </w:rPr>
        <w:t xml:space="preserve">HM Government (2022) Building Safety Act 2022. London: HMSO.</w:t>
      </w:r>
    </w:p>
    <w:p>
      <w:pPr>
        <w:spacing w:after="120" w:before="0"/>
      </w:pPr>
      <w:r>
        <w:rPr>
          <w:rFonts w:ascii="Arial" w:cs="Arial" w:eastAsia="Arial" w:hAnsi="Arial"/>
          <w:sz w:val="22"/>
          <w:szCs w:val="22"/>
        </w:rPr>
        <w:t xml:space="preserve"/>
      </w:r>
    </w:p>
    <w:p>
      <w:pPr>
        <w:spacing w:after="200" w:before="0"/>
        <w:jc w:val="both"/>
      </w:pPr>
      <w:r>
        <w:rPr>
          <w:rFonts w:ascii="Arial" w:cs="Arial" w:eastAsia="Arial" w:hAnsi="Arial"/>
          <w:sz w:val="22"/>
          <w:szCs w:val="22"/>
        </w:rPr>
        <w:t xml:space="preserve">IMOA — International Molybdenum Association (2014) Practical Guidelines for the Fabrication of Duplex Stainless Steels (3rd edn). London: IMOA.</w:t>
      </w:r>
    </w:p>
    <w:p>
      <w:pPr>
        <w:spacing w:after="120" w:before="0"/>
      </w:pPr>
      <w:r>
        <w:rPr>
          <w:rFonts w:ascii="Arial" w:cs="Arial" w:eastAsia="Arial" w:hAnsi="Arial"/>
          <w:sz w:val="22"/>
          <w:szCs w:val="22"/>
        </w:rPr>
        <w:t xml:space="preserve"/>
      </w:r>
    </w:p>
    <w:p>
      <w:pPr>
        <w:spacing w:after="200" w:before="0"/>
        <w:jc w:val="both"/>
      </w:pPr>
      <w:r>
        <w:rPr>
          <w:rFonts w:ascii="Arial" w:cs="Arial" w:eastAsia="Arial" w:hAnsi="Arial"/>
          <w:sz w:val="22"/>
          <w:szCs w:val="22"/>
        </w:rPr>
        <w:t xml:space="preserve">ISO (2024) ISO 16739-1:2024 Industry Foundation Classes (IFC) for Data Sharing in the Construction and Facility Management Industries — Part 1: Data Schema. Geneva: International Organization for Standardization.</w:t>
      </w:r>
    </w:p>
    <w:p>
      <w:pPr>
        <w:spacing w:after="120" w:before="0"/>
      </w:pPr>
      <w:r>
        <w:rPr>
          <w:rFonts w:ascii="Arial" w:cs="Arial" w:eastAsia="Arial" w:hAnsi="Arial"/>
          <w:sz w:val="22"/>
          <w:szCs w:val="22"/>
        </w:rPr>
        <w:t xml:space="preserve"/>
      </w:r>
    </w:p>
    <w:p>
      <w:pPr>
        <w:spacing w:after="200" w:before="0"/>
        <w:jc w:val="both"/>
      </w:pPr>
      <w:r>
        <w:rPr>
          <w:rFonts w:ascii="Arial" w:cs="Arial" w:eastAsia="Arial" w:hAnsi="Arial"/>
          <w:sz w:val="22"/>
          <w:szCs w:val="22"/>
        </w:rPr>
        <w:t xml:space="preserve">ISO (2018) ISO 19650-1:2018 Organization and Digitization of Information about Buildings and Civil Engineering Works, Including Building Information Modelling (BIM) — Information Management Using Building Information Modelling — Part 1: Concepts and Principles. Geneva: International Organization for Standardization.</w:t>
      </w:r>
    </w:p>
    <w:p>
      <w:pPr>
        <w:spacing w:after="120" w:before="0"/>
      </w:pPr>
      <w:r>
        <w:rPr>
          <w:rFonts w:ascii="Arial" w:cs="Arial" w:eastAsia="Arial" w:hAnsi="Arial"/>
          <w:sz w:val="22"/>
          <w:szCs w:val="22"/>
        </w:rPr>
        <w:t xml:space="preserve"/>
      </w:r>
    </w:p>
    <w:p>
      <w:pPr>
        <w:spacing w:after="200" w:before="0"/>
        <w:jc w:val="both"/>
      </w:pPr>
      <w:r>
        <w:rPr>
          <w:rFonts w:ascii="Arial" w:cs="Arial" w:eastAsia="Arial" w:hAnsi="Arial"/>
          <w:sz w:val="22"/>
          <w:szCs w:val="22"/>
        </w:rPr>
        <w:t xml:space="preserve">ISO (2018) ISO 19650-2:2018 Organization and Digitization of Information about Buildings and Civil Engineering Works, Including Building Information Modelling (BIM) — Information Management Using Building Information Modelling — Part 2: Delivery Phase of the Assets. Geneva: International Organization for Standardization.</w:t>
      </w:r>
    </w:p>
    <w:p>
      <w:pPr>
        <w:spacing w:after="120" w:before="0"/>
      </w:pPr>
      <w:r>
        <w:rPr>
          <w:rFonts w:ascii="Arial" w:cs="Arial" w:eastAsia="Arial" w:hAnsi="Arial"/>
          <w:sz w:val="22"/>
          <w:szCs w:val="22"/>
        </w:rPr>
        <w:t xml:space="preserve"/>
      </w:r>
    </w:p>
    <w:p>
      <w:pPr>
        <w:spacing w:after="200" w:before="0"/>
        <w:jc w:val="both"/>
      </w:pPr>
      <w:r>
        <w:rPr>
          <w:rFonts w:ascii="Arial" w:cs="Arial" w:eastAsia="Arial" w:hAnsi="Arial"/>
          <w:sz w:val="22"/>
          <w:szCs w:val="22"/>
        </w:rPr>
        <w:t xml:space="preserve">ISO (2007) EN ISO 15329:2007 Corrosion of Metals and Alloys — Electrochemical Testing — Measurement of Electrochemical Impedance. Geneva: International Organization for Standardization / Brussels: CEN.</w:t>
      </w:r>
    </w:p>
    <w:p>
      <w:pPr>
        <w:spacing w:after="120" w:before="0"/>
      </w:pPr>
      <w:r>
        <w:rPr>
          <w:rFonts w:ascii="Arial" w:cs="Arial" w:eastAsia="Arial" w:hAnsi="Arial"/>
          <w:sz w:val="22"/>
          <w:szCs w:val="22"/>
        </w:rPr>
        <w:t xml:space="preserve"/>
      </w:r>
    </w:p>
    <w:p>
      <w:pPr>
        <w:spacing w:after="200" w:before="0"/>
        <w:jc w:val="both"/>
      </w:pPr>
      <w:r>
        <w:rPr>
          <w:rFonts w:ascii="Arial" w:cs="Arial" w:eastAsia="Arial" w:hAnsi="Arial"/>
          <w:sz w:val="22"/>
          <w:szCs w:val="22"/>
        </w:rPr>
        <w:t xml:space="preserve">NASA (2016) NASA-STD-6012 — Corrosion Control and Treatment for Aerospace Vehicles. Washington DC: National Aeronautics and Space Administration.</w:t>
      </w:r>
    </w:p>
    <w:p>
      <w:pPr>
        <w:spacing w:after="120" w:before="0"/>
      </w:pPr>
      <w:r>
        <w:rPr>
          <w:rFonts w:ascii="Arial" w:cs="Arial" w:eastAsia="Arial" w:hAnsi="Arial"/>
          <w:sz w:val="22"/>
          <w:szCs w:val="22"/>
        </w:rPr>
        <w:t xml:space="preserve"/>
      </w:r>
    </w:p>
    <w:p>
      <w:pPr>
        <w:spacing w:after="200" w:before="0"/>
        <w:jc w:val="both"/>
      </w:pPr>
      <w:r>
        <w:rPr>
          <w:rFonts w:ascii="Arial" w:cs="Arial" w:eastAsia="Arial" w:hAnsi="Arial"/>
          <w:sz w:val="22"/>
          <w:szCs w:val="22"/>
        </w:rPr>
        <w:t xml:space="preserve">NACE International (2016) International Measures of Prevention, Application, and Economics of Corrosion Technology Study (IMPACT). Houston, TX: NACE International.</w:t>
      </w:r>
    </w:p>
    <w:p>
      <w:pPr>
        <w:spacing w:after="120" w:before="0"/>
      </w:pPr>
      <w:r>
        <w:rPr>
          <w:rFonts w:ascii="Arial" w:cs="Arial" w:eastAsia="Arial" w:hAnsi="Arial"/>
          <w:sz w:val="22"/>
          <w:szCs w:val="22"/>
        </w:rPr>
        <w:t xml:space="preserve"/>
      </w:r>
    </w:p>
    <w:p>
      <w:pPr>
        <w:spacing w:after="200" w:before="0"/>
        <w:jc w:val="both"/>
      </w:pPr>
      <w:r>
        <w:rPr>
          <w:rFonts w:ascii="Arial" w:cs="Arial" w:eastAsia="Arial" w:hAnsi="Arial"/>
          <w:sz w:val="22"/>
          <w:szCs w:val="22"/>
        </w:rPr>
        <w:t xml:space="preserve">Prosoco (2019) Prosoco Technical Note 104: Galvanic Action and the Area Ratio Effect in Mechanical Anchors. Lawrence, KS: Prosoco Inc.</w:t>
      </w:r>
    </w:p>
    <w:p>
      <w:pPr>
        <w:spacing w:after="120" w:before="0"/>
      </w:pPr>
      <w:r>
        <w:rPr>
          <w:rFonts w:ascii="Arial" w:cs="Arial" w:eastAsia="Arial" w:hAnsi="Arial"/>
          <w:sz w:val="22"/>
          <w:szCs w:val="22"/>
        </w:rPr>
        <w:t xml:space="preserve"/>
      </w:r>
    </w:p>
    <w:p>
      <w:pPr>
        <w:spacing w:after="200" w:before="0"/>
        <w:jc w:val="both"/>
      </w:pPr>
      <w:r>
        <w:rPr>
          <w:rFonts w:ascii="Arial" w:cs="Arial" w:eastAsia="Arial" w:hAnsi="Arial"/>
          <w:sz w:val="22"/>
          <w:szCs w:val="22"/>
        </w:rPr>
        <w:t xml:space="preserve">Sandvik/Alleima (2023) Corrosion Handbook — Stainless Steels. Sandviken: AB Sandvik Materials Technology.</w:t>
      </w:r>
    </w:p>
    <w:p>
      <w:pPr>
        <w:spacing w:after="120" w:before="0"/>
      </w:pPr>
      <w:r>
        <w:rPr>
          <w:rFonts w:ascii="Arial" w:cs="Arial" w:eastAsia="Arial" w:hAnsi="Arial"/>
          <w:sz w:val="22"/>
          <w:szCs w:val="22"/>
        </w:rPr>
        <w:t xml:space="preserve"/>
      </w:r>
    </w:p>
    <w:p>
      <w:pPr>
        <w:spacing w:after="200" w:before="0"/>
        <w:jc w:val="both"/>
      </w:pPr>
      <w:r>
        <w:rPr>
          <w:rFonts w:ascii="Arial" w:cs="Arial" w:eastAsia="Arial" w:hAnsi="Arial"/>
          <w:sz w:val="22"/>
          <w:szCs w:val="22"/>
        </w:rPr>
        <w:t xml:space="preserve">WorldStainless / Euro Inox (2025) Stainless Steels in Contact with Other Metallic Materials — Volume 10 (3rd edn). Brussels: Euro Inox.</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1"/>
      </w:pBdr>
      <w:spacing w:before="120"/>
    </w:pPr>
    <w:r>
      <w:rPr>
        <w:rFonts w:ascii="Arial" w:cs="Arial" w:eastAsia="Arial" w:hAnsi="Arial"/>
        <w:color w:val="666666"/>
        <w:sz w:val="16"/>
        <w:szCs w:val="16"/>
      </w:rPr>
      <w:t xml:space="preserve">Masters in BIM Management  |  Group 5  |  OpenBIM Corrosion Compliance — BIMGUARD AI</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spacing w:after="120"/>
    </w:pPr>
    <w:r>
      <w:rPr>
        <w:rFonts w:ascii="Arial" w:cs="Arial" w:eastAsia="Arial" w:hAnsi="Arial"/>
        <w:color w:val="666666"/>
        <w:sz w:val="18"/>
        <w:szCs w:val="18"/>
      </w:rPr>
      <w:t xml:space="preserve">BIMGUARD AI  —  Final Master Project  |  Zigurat Global Institute of Technology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Arial" w:cs="Arial" w:eastAsia="Arial" w:hAnsi="Arial"/>
      <w:b/>
      <w:bCs/>
      <w:color w:val="1F3864"/>
      <w:sz w:val="36"/>
      <w:szCs w:val="36"/>
    </w:rPr>
  </w:style>
  <w:style w:type="paragraph" w:styleId="Heading2">
    <w:name w:val="Heading 2"/>
    <w:basedOn w:val="Normal"/>
    <w:next w:val="Normal"/>
    <w:qFormat/>
    <w:pPr>
      <w:spacing w:after="160" w:before="32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2026-04-08T17:03:55.267Z</dcterms:created>
  <dcterms:modified xsi:type="dcterms:W3CDTF">2026-04-08T17:03:55.268Z</dcterms:modified>
</cp:coreProperties>
</file>

<file path=docProps/custom.xml><?xml version="1.0" encoding="utf-8"?>
<Properties xmlns="http://schemas.openxmlformats.org/officeDocument/2006/custom-properties" xmlns:vt="http://schemas.openxmlformats.org/officeDocument/2006/docPropsVTypes"/>
</file>