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pPr>
      <w:r>
        <w:rPr>
          <w:rFonts w:ascii="Arial" w:cs="Arial" w:eastAsia="Arial" w:hAnsi="Arial"/>
          <w:sz w:val="22"/>
          <w:szCs w:val="22"/>
        </w:rPr>
        <w:t xml:space="preserve"/>
      </w:r>
    </w:p>
    <w:p>
      <w:pPr>
        <w:spacing w:after="160" w:before="0"/>
        <w:jc w:val="center"/>
      </w:pPr>
      <w:r>
        <w:rPr>
          <w:rFonts w:ascii="Arial" w:cs="Arial" w:eastAsia="Arial" w:hAnsi="Arial"/>
          <w:b/>
          <w:bCs/>
          <w:color w:val="1F3864"/>
          <w:sz w:val="72"/>
          <w:szCs w:val="72"/>
        </w:rPr>
        <w:t xml:space="preserve">BIMGUARD AI</w:t>
      </w:r>
    </w:p>
    <w:p>
      <w:pPr>
        <w:spacing w:after="80" w:before="0"/>
        <w:jc w:val="center"/>
      </w:pPr>
      <w:r>
        <w:rPr>
          <w:rFonts w:ascii="Arial" w:cs="Arial" w:eastAsia="Arial" w:hAnsi="Arial"/>
          <w:i/>
          <w:iCs/>
          <w:color w:val="2E75B6"/>
          <w:sz w:val="36"/>
          <w:szCs w:val="36"/>
        </w:rPr>
        <w:t xml:space="preserve">Client Q&amp;A Scripts</w:t>
      </w:r>
    </w:p>
    <w:p>
      <w:pPr>
        <w:spacing w:after="480" w:before="0"/>
        <w:jc w:val="center"/>
      </w:pPr>
      <w:r>
        <w:rPr>
          <w:rFonts w:ascii="Arial" w:cs="Arial" w:eastAsia="Arial" w:hAnsi="Arial"/>
          <w:color w:val="666666"/>
          <w:sz w:val="22"/>
          <w:szCs w:val="22"/>
        </w:rPr>
        <w:t xml:space="preserve">20 questions — with recommended answers and key points</w:t>
      </w:r>
    </w:p>
    <w:p>
      <w:pPr>
        <w:pBdr>
          <w:bottom w:val="single" w:color="1F3864" w:sz="6" w:space="1"/>
        </w:pBdr>
        <w:spacing w:after="240" w:before="0"/>
      </w:pPr>
    </w:p>
    <w:p>
      <w:pPr>
        <w:spacing w:after="160" w:before="240"/>
      </w:pPr>
      <w:r>
        <w:rPr>
          <w:rFonts w:ascii="Arial" w:cs="Arial" w:eastAsia="Arial" w:hAnsi="Arial"/>
          <w:sz w:val="22"/>
          <w:szCs w:val="22"/>
        </w:rPr>
        <w:t xml:space="preserve"/>
      </w:r>
    </w:p>
    <w:p>
      <w:pPr>
        <w:spacing w:after="120" w:before="0"/>
      </w:pPr>
      <w:r>
        <w:rPr>
          <w:rFonts w:ascii="Arial" w:cs="Arial" w:eastAsia="Arial" w:hAnsi="Arial"/>
          <w:b/>
          <w:bCs/>
          <w:color w:val="1F3864"/>
          <w:sz w:val="24"/>
          <w:szCs w:val="24"/>
        </w:rPr>
        <w:t xml:space="preserve">How to use this document</w:t>
      </w:r>
    </w:p>
    <w:p>
      <w:pPr>
        <w:spacing w:after="200" w:before="0"/>
        <w:jc w:val="both"/>
      </w:pPr>
      <w:r>
        <w:rPr>
          <w:rFonts w:ascii="Arial" w:cs="Arial" w:eastAsia="Arial" w:hAnsi="Arial"/>
          <w:sz w:val="22"/>
          <w:szCs w:val="22"/>
        </w:rPr>
        <w:t xml:space="preserve">Each question represents something a client, project manager, technical director, or examiner is likely to ask when evaluating BIMGUARD AI. The recommended answer is scripted in a conversational professional register — use it as a basis, not a script to read verbatim. The key points at the end of each card are the two or three things you must land regardless of how the conversation flows.</w:t>
      </w:r>
    </w:p>
    <w:p>
      <w:pPr>
        <w:spacing w:after="200" w:before="0"/>
        <w:jc w:val="both"/>
      </w:pPr>
      <w:r>
        <w:rPr>
          <w:rFonts w:ascii="Arial" w:cs="Arial" w:eastAsia="Arial" w:hAnsi="Arial"/>
          <w:sz w:val="22"/>
          <w:szCs w:val="22"/>
        </w:rPr>
        <w:t xml:space="preserve">Questions are grouped by category:</w:t>
      </w:r>
    </w:p>
    <w:p>
      <w:pPr>
        <w:pStyle w:val="ListParagraph"/>
        <w:numPr>
          <w:ilvl w:val="0"/>
          <w:numId w:val="2"/>
        </w:numPr>
        <w:spacing w:after="80" w:before="0"/>
      </w:pPr>
      <w:r>
        <w:rPr>
          <w:rFonts w:ascii="Arial" w:cs="Arial" w:eastAsia="Arial" w:hAnsi="Arial"/>
          <w:b/>
          <w:bCs/>
          <w:sz w:val="22"/>
          <w:szCs w:val="22"/>
        </w:rPr>
        <w:t xml:space="preserve">Technical: </w:t>
      </w:r>
      <w:r>
        <w:rPr>
          <w:rFonts w:ascii="Arial" w:cs="Arial" w:eastAsia="Arial" w:hAnsi="Arial"/>
          <w:sz w:val="22"/>
          <w:szCs w:val="22"/>
        </w:rPr>
        <w:t xml:space="preserve">How the tool works — the engineering and data detail</w:t>
      </w:r>
    </w:p>
    <w:p>
      <w:pPr>
        <w:pStyle w:val="ListParagraph"/>
        <w:numPr>
          <w:ilvl w:val="0"/>
          <w:numId w:val="2"/>
        </w:numPr>
        <w:spacing w:after="80" w:before="0"/>
      </w:pPr>
      <w:r>
        <w:rPr>
          <w:rFonts w:ascii="Arial" w:cs="Arial" w:eastAsia="Arial" w:hAnsi="Arial"/>
          <w:b/>
          <w:bCs/>
          <w:sz w:val="22"/>
          <w:szCs w:val="22"/>
        </w:rPr>
        <w:t xml:space="preserve">Commercial: </w:t>
      </w:r>
      <w:r>
        <w:rPr>
          <w:rFonts w:ascii="Arial" w:cs="Arial" w:eastAsia="Arial" w:hAnsi="Arial"/>
          <w:sz w:val="22"/>
          <w:szCs w:val="22"/>
        </w:rPr>
        <w:t xml:space="preserve">Return on investment, cost justification, procurement</w:t>
      </w:r>
    </w:p>
    <w:p>
      <w:pPr>
        <w:pStyle w:val="ListParagraph"/>
        <w:numPr>
          <w:ilvl w:val="0"/>
          <w:numId w:val="2"/>
        </w:numPr>
        <w:spacing w:after="80" w:before="0"/>
      </w:pPr>
      <w:r>
        <w:rPr>
          <w:rFonts w:ascii="Arial" w:cs="Arial" w:eastAsia="Arial" w:hAnsi="Arial"/>
          <w:b/>
          <w:bCs/>
          <w:sz w:val="22"/>
          <w:szCs w:val="22"/>
        </w:rPr>
        <w:t xml:space="preserve">Regulatory: </w:t>
      </w:r>
      <w:r>
        <w:rPr>
          <w:rFonts w:ascii="Arial" w:cs="Arial" w:eastAsia="Arial" w:hAnsi="Arial"/>
          <w:sz w:val="22"/>
          <w:szCs w:val="22"/>
        </w:rPr>
        <w:t xml:space="preserve">Standards, compliance, Building Safety Act, Legionella</w:t>
      </w:r>
    </w:p>
    <w:p>
      <w:pPr>
        <w:pStyle w:val="ListParagraph"/>
        <w:numPr>
          <w:ilvl w:val="0"/>
          <w:numId w:val="2"/>
        </w:numPr>
        <w:spacing w:after="80" w:before="0"/>
      </w:pPr>
      <w:r>
        <w:rPr>
          <w:rFonts w:ascii="Arial" w:cs="Arial" w:eastAsia="Arial" w:hAnsi="Arial"/>
          <w:b/>
          <w:bCs/>
          <w:sz w:val="22"/>
          <w:szCs w:val="22"/>
        </w:rPr>
        <w:t xml:space="preserve">Operational: </w:t>
      </w:r>
      <w:r>
        <w:rPr>
          <w:rFonts w:ascii="Arial" w:cs="Arial" w:eastAsia="Arial" w:hAnsi="Arial"/>
          <w:sz w:val="22"/>
          <w:szCs w:val="22"/>
        </w:rPr>
        <w:t xml:space="preserve">Workflow, integration, day-to-day use</w:t>
      </w:r>
    </w:p>
    <w:p>
      <w:pPr>
        <w:pStyle w:val="ListParagraph"/>
        <w:numPr>
          <w:ilvl w:val="0"/>
          <w:numId w:val="2"/>
        </w:numPr>
        <w:spacing w:after="80" w:before="0"/>
      </w:pPr>
      <w:r>
        <w:rPr>
          <w:rFonts w:ascii="Arial" w:cs="Arial" w:eastAsia="Arial" w:hAnsi="Arial"/>
          <w:b/>
          <w:bCs/>
          <w:sz w:val="22"/>
          <w:szCs w:val="22"/>
        </w:rPr>
        <w:t xml:space="preserve">Strategic: </w:t>
      </w:r>
      <w:r>
        <w:rPr>
          <w:rFonts w:ascii="Arial" w:cs="Arial" w:eastAsia="Arial" w:hAnsi="Arial"/>
          <w:sz w:val="22"/>
          <w:szCs w:val="22"/>
        </w:rPr>
        <w:t xml:space="preserve">Use cases, roadmap, long-term positioning</w:t>
      </w:r>
    </w:p>
    <w:p>
      <w:pPr>
        <w:spacing w:after="0" w:before="0"/>
      </w:pPr>
      <w:r>
        <w:br w:type="page"/>
      </w:r>
    </w:p>
    <w:p>
      <w:pPr>
        <w:spacing w:after="80" w:before="0"/>
      </w:pPr>
      <w:r>
        <w:rPr>
          <w:rFonts w:ascii="Arial" w:cs="Arial" w:eastAsia="Arial" w:hAnsi="Arial"/>
          <w:b/>
          <w:bCs/>
          <w:color w:val="FFFFFF"/>
          <w:sz w:val="18"/>
          <w:szCs w:val="18"/>
          <w:shd w:fill="2E75B6" w:color="2E75B6" w:val="clear"/>
        </w:rPr>
        <w:t xml:space="preserve">  TECHNICAL  </w:t>
      </w:r>
      <w:r>
        <w:rPr>
          <w:rFonts w:ascii="Arial" w:cs="Arial" w:eastAsia="Arial" w:hAnsi="Arial"/>
          <w:color w:val="666666"/>
          <w:sz w:val="18"/>
          <w:szCs w:val="18"/>
        </w:rPr>
        <w:t xml:space="preserve">   Question 1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What exactly does BIMGUARD AI check that our existing BIM tools don't?</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The client has Navisworks or similar and wants to understand the gap before investing attention.</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Your existing BIM coordination tools are excellent at finding geometric conflicts — a pipe occupying the same space as a beam, a duct clashing with a structural connection. But they only check what is physically modelled in 3D.</w:t>
      </w:r>
    </w:p>
    <w:p>
      <w:pPr>
        <w:spacing w:after="200" w:before="0"/>
        <w:jc w:val="both"/>
      </w:pPr>
      <w:r>
        <w:rPr>
          <w:rFonts w:ascii="Arial" w:cs="Arial" w:eastAsia="Arial" w:hAnsi="Arial"/>
          <w:sz w:val="22"/>
          <w:szCs w:val="22"/>
        </w:rPr>
        <w:t xml:space="preserve">BIMGUARD AI checks something fundamentally different: it reads the metadata inside your IFC file — the material specifications, the property sets, the zone classifications — and asks whether two correctly-positioned pipes will corrode each other because of their material pairing, their joint geometry, or the environment they're sitting in.</w:t>
      </w:r>
    </w:p>
    <w:p>
      <w:pPr>
        <w:spacing w:after="200" w:before="0"/>
        <w:jc w:val="both"/>
      </w:pPr>
      <w:r>
        <w:rPr>
          <w:rFonts w:ascii="Arial" w:cs="Arial" w:eastAsia="Arial" w:hAnsi="Arial"/>
          <w:sz w:val="22"/>
          <w:szCs w:val="22"/>
        </w:rPr>
        <w:t xml:space="preserve">A copper condensate pipe and a galvanised steel support bracket can be routed perfectly cleanly in Navisworks — zero clashes reported — and still produce a guaranteed galvanic corrosion failure within two to five years in a humid plant room, because the electrochemical potential difference between copper and zinc exceeds the safe threshold for that environment. BIMGUARD AI catches that. Navisworks cannot.</w:t>
      </w:r>
    </w:p>
    <w:p>
      <w:pPr>
        <w:spacing w:after="200" w:before="0"/>
        <w:jc w:val="both"/>
      </w:pPr>
      <w:r>
        <w:rPr>
          <w:rFonts w:ascii="Arial" w:cs="Arial" w:eastAsia="Arial" w:hAnsi="Arial"/>
          <w:sz w:val="22"/>
          <w:szCs w:val="22"/>
        </w:rPr>
        <w:t xml:space="preserve">To put it simply: Navisworks checks whether pipes fit. BIMGUARD AI checks whether they'll last.</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Geometric clash detection and corrosion compliance checking are completely different problems</w:t>
            </w:r>
          </w:p>
          <w:p>
            <w:pPr>
              <w:pStyle w:val="ListParagraph"/>
              <w:numPr>
                <w:ilvl w:val="0"/>
                <w:numId w:val="2"/>
              </w:numPr>
              <w:spacing w:after="60" w:before="0"/>
            </w:pPr>
            <w:r>
              <w:rPr>
                <w:rFonts w:ascii="Arial" w:cs="Arial" w:eastAsia="Arial" w:hAnsi="Arial"/>
                <w:sz w:val="20"/>
                <w:szCs w:val="20"/>
              </w:rPr>
              <w:t xml:space="preserve">BIMGUARD reads property set metadata — not just 3D geometry</w:t>
            </w:r>
          </w:p>
          <w:p>
            <w:pPr>
              <w:pStyle w:val="ListParagraph"/>
              <w:numPr>
                <w:ilvl w:val="0"/>
                <w:numId w:val="2"/>
              </w:numPr>
              <w:spacing w:after="60" w:before="0"/>
            </w:pPr>
            <w:r>
              <w:rPr>
                <w:rFonts w:ascii="Arial" w:cs="Arial" w:eastAsia="Arial" w:hAnsi="Arial"/>
                <w:sz w:val="20"/>
                <w:szCs w:val="20"/>
              </w:rPr>
              <w:t xml:space="preserve">The copper/galvanised steel case is a real, common, and expensive failure that current tools miss</w:t>
            </w:r>
          </w:p>
          <w:p>
            <w:pPr>
              <w:pStyle w:val="ListParagraph"/>
              <w:numPr>
                <w:ilvl w:val="0"/>
                <w:numId w:val="2"/>
              </w:numPr>
              <w:spacing w:after="60" w:before="0"/>
            </w:pPr>
            <w:r>
              <w:rPr>
                <w:rFonts w:ascii="Arial" w:cs="Arial" w:eastAsia="Arial" w:hAnsi="Arial"/>
                <w:sz w:val="20"/>
                <w:szCs w:val="20"/>
              </w:rPr>
              <w:t xml:space="preserve">Use the phrase: 'Navisworks checks if pipes fit — BIMGUARD checks if they'll last'</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80" w:before="0"/>
      </w:pPr>
      <w:r>
        <w:rPr>
          <w:rFonts w:ascii="Arial" w:cs="Arial" w:eastAsia="Arial" w:hAnsi="Arial"/>
          <w:b/>
          <w:bCs/>
          <w:color w:val="FFFFFF"/>
          <w:sz w:val="18"/>
          <w:szCs w:val="18"/>
          <w:shd w:fill="2E75B6" w:color="2E75B6" w:val="clear"/>
        </w:rPr>
        <w:t xml:space="preserve">  TECHNICAL  </w:t>
      </w:r>
      <w:r>
        <w:rPr>
          <w:rFonts w:ascii="Arial" w:cs="Arial" w:eastAsia="Arial" w:hAnsi="Arial"/>
          <w:color w:val="666666"/>
          <w:sz w:val="18"/>
          <w:szCs w:val="18"/>
        </w:rPr>
        <w:t xml:space="preserve">   Question 2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What file format does it use? Do we need to buy any new software or plugins?</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They want to know the procurement and IT overhead before they commit further attention.</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None at all. BIMGUARD AI is an OpenBIM tool — it works with IFC files, which is the international open standard for BIM data exchange defined in ISO 16739-1. Every major BIM authoring tool — Revit, ArchiCAD, Tekla, Vectorworks — exports IFC. You export the file, give it to BIMGUARD AI, and the compliance check runs.</w:t>
      </w:r>
    </w:p>
    <w:p>
      <w:pPr>
        <w:spacing w:after="200" w:before="0"/>
        <w:jc w:val="both"/>
      </w:pPr>
      <w:r>
        <w:rPr>
          <w:rFonts w:ascii="Arial" w:cs="Arial" w:eastAsia="Arial" w:hAnsi="Arial"/>
          <w:sz w:val="22"/>
          <w:szCs w:val="22"/>
        </w:rPr>
        <w:t xml:space="preserve">The output is a BCF 2.1 file — the buildingSMART open standard for issue tracking. You open that file in whatever tool your engineers are already using: Revit, Navisworks, BIMcollab, or any BCF-compatible viewer. There is no new software to install on their machines, no licence to manage, and no proprietary plugin required.</w:t>
      </w:r>
    </w:p>
    <w:p>
      <w:pPr>
        <w:spacing w:after="200" w:before="0"/>
        <w:jc w:val="both"/>
      </w:pPr>
      <w:r>
        <w:rPr>
          <w:rFonts w:ascii="Arial" w:cs="Arial" w:eastAsia="Arial" w:hAnsi="Arial"/>
          <w:sz w:val="22"/>
          <w:szCs w:val="22"/>
        </w:rPr>
        <w:t xml:space="preserve">We specifically designed the tool around open standards for this reason. Your mechanical contractor might use Revit, your structural engineer might use Tekla, and your MEP coordinator might use ArchiCAD. BIMGUARD AI works with all of them because it doesn't care which tool the IFC came from — it only reads the standard.</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IFC input — ISO 16739-1 — exports from any BIM tool</w:t>
            </w:r>
          </w:p>
          <w:p>
            <w:pPr>
              <w:pStyle w:val="ListParagraph"/>
              <w:numPr>
                <w:ilvl w:val="0"/>
                <w:numId w:val="2"/>
              </w:numPr>
              <w:spacing w:after="60" w:before="0"/>
            </w:pPr>
            <w:r>
              <w:rPr>
                <w:rFonts w:ascii="Arial" w:cs="Arial" w:eastAsia="Arial" w:hAnsi="Arial"/>
                <w:sz w:val="20"/>
                <w:szCs w:val="20"/>
              </w:rPr>
              <w:t xml:space="preserve">BCF 2.1 output — opens in any BIM platform, no new software needed</w:t>
            </w:r>
          </w:p>
          <w:p>
            <w:pPr>
              <w:pStyle w:val="ListParagraph"/>
              <w:numPr>
                <w:ilvl w:val="0"/>
                <w:numId w:val="2"/>
              </w:numPr>
              <w:spacing w:after="60" w:before="0"/>
            </w:pPr>
            <w:r>
              <w:rPr>
                <w:rFonts w:ascii="Arial" w:cs="Arial" w:eastAsia="Arial" w:hAnsi="Arial"/>
                <w:sz w:val="20"/>
                <w:szCs w:val="20"/>
              </w:rPr>
              <w:t xml:space="preserve">OpenBIM = no vendor lock-in, no proprietary plugins</w:t>
            </w:r>
          </w:p>
          <w:p>
            <w:pPr>
              <w:pStyle w:val="ListParagraph"/>
              <w:numPr>
                <w:ilvl w:val="0"/>
                <w:numId w:val="2"/>
              </w:numPr>
              <w:spacing w:after="60" w:before="0"/>
            </w:pPr>
            <w:r>
              <w:rPr>
                <w:rFonts w:ascii="Arial" w:cs="Arial" w:eastAsia="Arial" w:hAnsi="Arial"/>
                <w:sz w:val="20"/>
                <w:szCs w:val="20"/>
              </w:rPr>
              <w:t xml:space="preserve">Works across mixed-software project teams</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80" w:before="0"/>
      </w:pPr>
      <w:r>
        <w:rPr>
          <w:rFonts w:ascii="Arial" w:cs="Arial" w:eastAsia="Arial" w:hAnsi="Arial"/>
          <w:b/>
          <w:bCs/>
          <w:color w:val="FFFFFF"/>
          <w:sz w:val="18"/>
          <w:szCs w:val="18"/>
          <w:shd w:fill="2E75B6" w:color="2E75B6" w:val="clear"/>
        </w:rPr>
        <w:t xml:space="preserve">  TECHNICAL  </w:t>
      </w:r>
      <w:r>
        <w:rPr>
          <w:rFonts w:ascii="Arial" w:cs="Arial" w:eastAsia="Arial" w:hAnsi="Arial"/>
          <w:color w:val="666666"/>
          <w:sz w:val="18"/>
          <w:szCs w:val="18"/>
        </w:rPr>
        <w:t xml:space="preserve">   Question 3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What are the two types of corrosion it checks for, and why does it need two engines?</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A technically engaged client — engineer, PM, or quality manager — wants to understand the science.</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The first engine, GC-001, checks for galvanic corrosion. This happens when two metals with different electrochemical potentials are in contact in a wet environment — think copper pipe touching a steel bracket, or a stainless steel pipe clamped to galvanised steelwork. The potential difference drives an electrical current that causes the less noble metal to corrode preferentially. It's the same mechanism as a battery, and it can produce through-wall pipe failure within years rather than decades.</w:t>
      </w:r>
    </w:p>
    <w:p>
      <w:pPr>
        <w:spacing w:after="200" w:before="0"/>
        <w:jc w:val="both"/>
      </w:pPr>
      <w:r>
        <w:rPr>
          <w:rFonts w:ascii="Arial" w:cs="Arial" w:eastAsia="Arial" w:hAnsi="Arial"/>
          <w:sz w:val="22"/>
          <w:szCs w:val="22"/>
        </w:rPr>
        <w:t xml:space="preserve">The second engine, CC-001, checks for crevice corrosion. This is mechanistically completely different. It happens at geometrically confined spaces — flanged joints, threaded connections, under pipe clamps — where restricted electrolyte circulation creates an aggressive local chemistry that destroys the passive film on stainless steel. Critically, stainless steel is the material most at risk from crevice corrosion, precisely because it's so resistant to everything else.</w:t>
      </w:r>
    </w:p>
    <w:p>
      <w:pPr>
        <w:spacing w:after="200" w:before="0"/>
        <w:jc w:val="both"/>
      </w:pPr>
      <w:r>
        <w:rPr>
          <w:rFonts w:ascii="Arial" w:cs="Arial" w:eastAsia="Arial" w:hAnsi="Arial"/>
          <w:sz w:val="22"/>
          <w:szCs w:val="22"/>
        </w:rPr>
        <w:t xml:space="preserve">We need both engines because the two mechanisms are independent and can produce opposite results on the same element. Our key validation finding demonstrates this exactly: SS316 stainless steel flanges in a pool plant room score zero on galvanic risk — SS316 is among the most noble metals, nothing to worry about galvanically — but score 0.89 Critical on crevice risk, because the operating temperature exceeds the material's Critical Crevice Corrosion Temperature in a chloride-rich environment.</w:t>
      </w:r>
    </w:p>
    <w:p>
      <w:pPr>
        <w:spacing w:after="200" w:before="0"/>
        <w:jc w:val="both"/>
      </w:pPr>
      <w:r>
        <w:rPr>
          <w:rFonts w:ascii="Arial" w:cs="Arial" w:eastAsia="Arial" w:hAnsi="Arial"/>
          <w:sz w:val="22"/>
          <w:szCs w:val="22"/>
        </w:rPr>
        <w:t xml:space="preserve">A tool that only checks galvanic compatibility would classify that installation as fully compliant. BIMGUARD AI correctly identifies it as a critical risk requiring immediate remediation. That is why both engines are necessary.</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GC-001: galvanic corrosion — electrochemical potential difference between dissimilar metals</w:t>
            </w:r>
          </w:p>
          <w:p>
            <w:pPr>
              <w:pStyle w:val="ListParagraph"/>
              <w:numPr>
                <w:ilvl w:val="0"/>
                <w:numId w:val="2"/>
              </w:numPr>
              <w:spacing w:after="60" w:before="0"/>
            </w:pPr>
            <w:r>
              <w:rPr>
                <w:rFonts w:ascii="Arial" w:cs="Arial" w:eastAsia="Arial" w:hAnsi="Arial"/>
                <w:sz w:val="20"/>
                <w:szCs w:val="20"/>
              </w:rPr>
              <w:t xml:space="preserve">CC-001: crevice corrosion — confined geometry chemistry destroys passive film on stainless steel</w:t>
            </w:r>
          </w:p>
          <w:p>
            <w:pPr>
              <w:pStyle w:val="ListParagraph"/>
              <w:numPr>
                <w:ilvl w:val="0"/>
                <w:numId w:val="2"/>
              </w:numPr>
              <w:spacing w:after="60" w:before="0"/>
            </w:pPr>
            <w:r>
              <w:rPr>
                <w:rFonts w:ascii="Arial" w:cs="Arial" w:eastAsia="Arial" w:hAnsi="Arial"/>
                <w:sz w:val="20"/>
                <w:szCs w:val="20"/>
              </w:rPr>
              <w:t xml:space="preserve">The two mechanisms are independent — one can be zero while the other is Critical</w:t>
            </w:r>
          </w:p>
          <w:p>
            <w:pPr>
              <w:pStyle w:val="ListParagraph"/>
              <w:numPr>
                <w:ilvl w:val="0"/>
                <w:numId w:val="2"/>
              </w:numPr>
              <w:spacing w:after="60" w:before="0"/>
            </w:pPr>
            <w:r>
              <w:rPr>
                <w:rFonts w:ascii="Arial" w:cs="Arial" w:eastAsia="Arial" w:hAnsi="Arial"/>
                <w:sz w:val="20"/>
                <w:szCs w:val="20"/>
              </w:rPr>
              <w:t xml:space="preserve">The SS316 pool plant room finding is the definitive proof that both engines are needed</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80" w:before="0"/>
      </w:pPr>
      <w:r>
        <w:rPr>
          <w:rFonts w:ascii="Arial" w:cs="Arial" w:eastAsia="Arial" w:hAnsi="Arial"/>
          <w:b/>
          <w:bCs/>
          <w:color w:val="FFFFFF"/>
          <w:sz w:val="18"/>
          <w:szCs w:val="18"/>
          <w:shd w:fill="0F6E56" w:color="0F6E56" w:val="clear"/>
        </w:rPr>
        <w:t xml:space="preserve">  COMMERCIAL  </w:t>
      </w:r>
      <w:r>
        <w:rPr>
          <w:rFonts w:ascii="Arial" w:cs="Arial" w:eastAsia="Arial" w:hAnsi="Arial"/>
          <w:color w:val="666666"/>
          <w:sz w:val="18"/>
          <w:szCs w:val="18"/>
        </w:rPr>
        <w:t xml:space="preserve">   Question 4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What is the return on investment? How do you justify the cost?</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The client is a project manager or commercial director focused on budget.</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The ROI case is straightforward and conservative. A corrosion issue resolved at the design stage — in the BIM model, before a single pipe has been procured or installed — costs approximately the value of the reroute or material substitution. The same issue discovered during construction costs six to ten times more, because you're adding abortive work, scaffold, programme disruption, potential contractual claims, and specialist remediation to the base material cost.</w:t>
      </w:r>
    </w:p>
    <w:p>
      <w:pPr>
        <w:spacing w:after="200" w:before="0"/>
        <w:jc w:val="both"/>
      </w:pPr>
      <w:r>
        <w:rPr>
          <w:rFonts w:ascii="Arial" w:cs="Arial" w:eastAsia="Arial" w:hAnsi="Arial"/>
          <w:sz w:val="22"/>
          <w:szCs w:val="22"/>
        </w:rPr>
        <w:t xml:space="preserve">On our 25-element validation dataset, BIMGUARD AI identified issues with a design-stage remediation cost of £170,600. Applying a conservative 6× field multiplier gives a field-stage equivalent of over £1,000,000. The cost avoidance is approximately £852,000.</w:t>
      </w:r>
    </w:p>
    <w:p>
      <w:pPr>
        <w:spacing w:after="200" w:before="0"/>
        <w:jc w:val="both"/>
      </w:pPr>
      <w:r>
        <w:rPr>
          <w:rFonts w:ascii="Arial" w:cs="Arial" w:eastAsia="Arial" w:hAnsi="Arial"/>
          <w:sz w:val="22"/>
          <w:szCs w:val="22"/>
        </w:rPr>
        <w:t xml:space="preserve">That's from 25 elements. A typical commercial building plant room contains hundreds of MEP service elements. A Semiconductor Fab sub-fab might contain thousands. The cost avoidance scales with the complexity and density of the services.</w:t>
      </w:r>
    </w:p>
    <w:p>
      <w:pPr>
        <w:spacing w:after="200" w:before="0"/>
        <w:jc w:val="both"/>
      </w:pPr>
      <w:r>
        <w:rPr>
          <w:rFonts w:ascii="Arial" w:cs="Arial" w:eastAsia="Arial" w:hAnsi="Arial"/>
          <w:sz w:val="22"/>
          <w:szCs w:val="22"/>
        </w:rPr>
        <w:t xml:space="preserve">There is also a second-order cost that is harder to quantify but potentially larger: the cost of a corrosion failure during operation. A pipe failure in a pharmaceutical clean room, a pool plant room, or a data centre can shut down production for days or weeks. The remediation cost of that failure — emergency access, contamination control, tenant disruption, insurance claims — can exceed the entire project MEP value.</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6× cost multiplier between design-stage and field-stage resolution is a conservative industry benchmark</w:t>
            </w:r>
          </w:p>
          <w:p>
            <w:pPr>
              <w:pStyle w:val="ListParagraph"/>
              <w:numPr>
                <w:ilvl w:val="0"/>
                <w:numId w:val="2"/>
              </w:numPr>
              <w:spacing w:after="60" w:before="0"/>
            </w:pPr>
            <w:r>
              <w:rPr>
                <w:rFonts w:ascii="Arial" w:cs="Arial" w:eastAsia="Arial" w:hAnsi="Arial"/>
                <w:sz w:val="20"/>
                <w:szCs w:val="20"/>
              </w:rPr>
              <w:t xml:space="preserve">£170,600 design-stage cost → £852,000 cost avoidance on a 25-element dataset</w:t>
            </w:r>
          </w:p>
          <w:p>
            <w:pPr>
              <w:pStyle w:val="ListParagraph"/>
              <w:numPr>
                <w:ilvl w:val="0"/>
                <w:numId w:val="2"/>
              </w:numPr>
              <w:spacing w:after="60" w:before="0"/>
            </w:pPr>
            <w:r>
              <w:rPr>
                <w:rFonts w:ascii="Arial" w:cs="Arial" w:eastAsia="Arial" w:hAnsi="Arial"/>
                <w:sz w:val="20"/>
                <w:szCs w:val="20"/>
              </w:rPr>
              <w:t xml:space="preserve">The multiplier is higher on Semiconductor Fab and pharmaceutical projects — often 10–20×</w:t>
            </w:r>
          </w:p>
          <w:p>
            <w:pPr>
              <w:pStyle w:val="ListParagraph"/>
              <w:numPr>
                <w:ilvl w:val="0"/>
                <w:numId w:val="2"/>
              </w:numPr>
              <w:spacing w:after="60" w:before="0"/>
            </w:pPr>
            <w:r>
              <w:rPr>
                <w:rFonts w:ascii="Arial" w:cs="Arial" w:eastAsia="Arial" w:hAnsi="Arial"/>
                <w:sz w:val="20"/>
                <w:szCs w:val="20"/>
              </w:rPr>
              <w:t xml:space="preserve">Operational failure costs are additional and often exceed construction remediation costs</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80" w:before="0"/>
      </w:pPr>
      <w:r>
        <w:rPr>
          <w:rFonts w:ascii="Arial" w:cs="Arial" w:eastAsia="Arial" w:hAnsi="Arial"/>
          <w:b/>
          <w:bCs/>
          <w:color w:val="FFFFFF"/>
          <w:sz w:val="18"/>
          <w:szCs w:val="18"/>
          <w:shd w:fill="854F0B" w:color="854F0B" w:val="clear"/>
        </w:rPr>
        <w:t xml:space="preserve">  OPERATIONAL  </w:t>
      </w:r>
      <w:r>
        <w:rPr>
          <w:rFonts w:ascii="Arial" w:cs="Arial" w:eastAsia="Arial" w:hAnsi="Arial"/>
          <w:color w:val="666666"/>
          <w:sz w:val="18"/>
          <w:szCs w:val="18"/>
        </w:rPr>
        <w:t xml:space="preserve">   Question 5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How long does a compliance check take to run?</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They want to know whether this is a one-off exercise or something that can be run regularly.</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On a standard project laptop, a compliance check on a typical MEP model of 200–500 elements takes between thirty seconds and three minutes, depending on the number of element pairs assessed and the complexity of the IFC topology. The 25-element validation dataset runs in under ten seconds.</w:t>
      </w:r>
    </w:p>
    <w:p>
      <w:pPr>
        <w:spacing w:after="200" w:before="0"/>
        <w:jc w:val="both"/>
      </w:pPr>
      <w:r>
        <w:rPr>
          <w:rFonts w:ascii="Arial" w:cs="Arial" w:eastAsia="Arial" w:hAnsi="Arial"/>
          <w:sz w:val="22"/>
          <w:szCs w:val="22"/>
        </w:rPr>
        <w:t xml:space="preserve">More importantly, the check is designed to be run iteratively throughout the design process, not just once at coordination sign-off. We recommend running it at three points: at LOD 300 when the initial MEP coordination model is issued, after each major design revision, and before the model is published to the Shared zone in your Common Data Environment as part of the ISO 19650 quality gate.</w:t>
      </w:r>
    </w:p>
    <w:p>
      <w:pPr>
        <w:spacing w:after="200" w:before="0"/>
        <w:jc w:val="both"/>
      </w:pPr>
      <w:r>
        <w:rPr>
          <w:rFonts w:ascii="Arial" w:cs="Arial" w:eastAsia="Arial" w:hAnsi="Arial"/>
          <w:sz w:val="22"/>
          <w:szCs w:val="22"/>
        </w:rPr>
        <w:t xml:space="preserve">The tool integrates with the Plannerly CDE workflow, so the check can be triggered automatically when a model is uploaded for coordination review — it doesn't require a separate manual step. The discipline engineer submits their IFC, BIMGUARD AI runs, and the results appear in the dashboard alongside the ISO 19650 status update.</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Seconds to minutes per run — not hours</w:t>
            </w:r>
          </w:p>
          <w:p>
            <w:pPr>
              <w:pStyle w:val="ListParagraph"/>
              <w:numPr>
                <w:ilvl w:val="0"/>
                <w:numId w:val="2"/>
              </w:numPr>
              <w:spacing w:after="60" w:before="0"/>
            </w:pPr>
            <w:r>
              <w:rPr>
                <w:rFonts w:ascii="Arial" w:cs="Arial" w:eastAsia="Arial" w:hAnsi="Arial"/>
                <w:sz w:val="20"/>
                <w:szCs w:val="20"/>
              </w:rPr>
              <w:t xml:space="preserve">Designed for iterative use throughout design, not just final sign-off</w:t>
            </w:r>
          </w:p>
          <w:p>
            <w:pPr>
              <w:pStyle w:val="ListParagraph"/>
              <w:numPr>
                <w:ilvl w:val="0"/>
                <w:numId w:val="2"/>
              </w:numPr>
              <w:spacing w:after="60" w:before="0"/>
            </w:pPr>
            <w:r>
              <w:rPr>
                <w:rFonts w:ascii="Arial" w:cs="Arial" w:eastAsia="Arial" w:hAnsi="Arial"/>
                <w:sz w:val="20"/>
                <w:szCs w:val="20"/>
              </w:rPr>
              <w:t xml:space="preserve">Three recommended check points: LOD 300, each major revision, CDE publication</w:t>
            </w:r>
          </w:p>
          <w:p>
            <w:pPr>
              <w:pStyle w:val="ListParagraph"/>
              <w:numPr>
                <w:ilvl w:val="0"/>
                <w:numId w:val="2"/>
              </w:numPr>
              <w:spacing w:after="60" w:before="0"/>
            </w:pPr>
            <w:r>
              <w:rPr>
                <w:rFonts w:ascii="Arial" w:cs="Arial" w:eastAsia="Arial" w:hAnsi="Arial"/>
                <w:sz w:val="20"/>
                <w:szCs w:val="20"/>
              </w:rPr>
              <w:t xml:space="preserve">Can be triggered automatically via Plannerly integration</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80" w:before="0"/>
      </w:pPr>
      <w:r>
        <w:rPr>
          <w:rFonts w:ascii="Arial" w:cs="Arial" w:eastAsia="Arial" w:hAnsi="Arial"/>
          <w:b/>
          <w:bCs/>
          <w:color w:val="FFFFFF"/>
          <w:sz w:val="18"/>
          <w:szCs w:val="18"/>
          <w:shd w:fill="A32D2D" w:color="A32D2D" w:val="clear"/>
        </w:rPr>
        <w:t xml:space="preserve">  REGULATORY  </w:t>
      </w:r>
      <w:r>
        <w:rPr>
          <w:rFonts w:ascii="Arial" w:cs="Arial" w:eastAsia="Arial" w:hAnsi="Arial"/>
          <w:color w:val="666666"/>
          <w:sz w:val="18"/>
          <w:szCs w:val="18"/>
        </w:rPr>
        <w:t xml:space="preserve">   Question 6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How does this help us with the Building Safety Act and the Golden Thread?</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The client is a developer or building owner concerned about regulatory compliance on a higher-risk building.</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The Building Safety Act 2022 requires that for higher-risk buildings — broadly, residential buildings of 18 metres or more, and certain other building types — there is a continuous Golden Thread of information about the building that is maintained throughout its lifecycle and is accessible to those who need it.</w:t>
      </w:r>
    </w:p>
    <w:p>
      <w:pPr>
        <w:spacing w:after="200" w:before="0"/>
        <w:jc w:val="both"/>
      </w:pPr>
      <w:r>
        <w:rPr>
          <w:rFonts w:ascii="Arial" w:cs="Arial" w:eastAsia="Arial" w:hAnsi="Arial"/>
          <w:sz w:val="22"/>
          <w:szCs w:val="22"/>
        </w:rPr>
        <w:t xml:space="preserve">What the Act is asking for, in practical terms, is a traceable record that safety-relevant design decisions were made, documented, and communicated. Corrosion risk in building services is directly relevant to the structural integrity and safety of the building — a failed pipe can cause water damage, structural deterioration, and fire suppression system compromise.</w:t>
      </w:r>
    </w:p>
    <w:p>
      <w:pPr>
        <w:spacing w:after="200" w:before="0"/>
        <w:jc w:val="both"/>
      </w:pPr>
      <w:r>
        <w:rPr>
          <w:rFonts w:ascii="Arial" w:cs="Arial" w:eastAsia="Arial" w:hAnsi="Arial"/>
          <w:sz w:val="22"/>
          <w:szCs w:val="22"/>
        </w:rPr>
        <w:t xml:space="preserve">BIMGUARD AI produces machine-readable compliance records that are embedded directly in the IFC model — in property sets named Pset_CorrosionRisk and Pset_CreviceCorrosionRisk — and in BCF issues with full audit trails including the standard cited, the threshold applied, the date and time of assessment, and the version of the ruleset used. This is precisely the kind of structured, auditable compliance evidence that the Golden Thread requires.</w:t>
      </w:r>
    </w:p>
    <w:p>
      <w:pPr>
        <w:spacing w:after="200" w:before="0"/>
        <w:jc w:val="both"/>
      </w:pPr>
      <w:r>
        <w:rPr>
          <w:rFonts w:ascii="Arial" w:cs="Arial" w:eastAsia="Arial" w:hAnsi="Arial"/>
          <w:sz w:val="22"/>
          <w:szCs w:val="22"/>
        </w:rPr>
        <w:t xml:space="preserve">For any higher-risk building, a BIMGUARD AI compliance run at each design stage, with the results stored in your CDE against the relevant information container, gives you a defensible and timestamped record that corrosion risk was formally assessed by a standards-referenced automated tool at each key project milestone.</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Building Safety Act 2022 requires a traceable Golden Thread of safety-relevant decisions</w:t>
            </w:r>
          </w:p>
          <w:p>
            <w:pPr>
              <w:pStyle w:val="ListParagraph"/>
              <w:numPr>
                <w:ilvl w:val="0"/>
                <w:numId w:val="2"/>
              </w:numPr>
              <w:spacing w:after="60" w:before="0"/>
            </w:pPr>
            <w:r>
              <w:rPr>
                <w:rFonts w:ascii="Arial" w:cs="Arial" w:eastAsia="Arial" w:hAnsi="Arial"/>
                <w:sz w:val="20"/>
                <w:szCs w:val="20"/>
              </w:rPr>
              <w:t xml:space="preserve">BIMGUARD AI embeds compliance records in IFC Psets — machine-readable and timestamped</w:t>
            </w:r>
          </w:p>
          <w:p>
            <w:pPr>
              <w:pStyle w:val="ListParagraph"/>
              <w:numPr>
                <w:ilvl w:val="0"/>
                <w:numId w:val="2"/>
              </w:numPr>
              <w:spacing w:after="60" w:before="0"/>
            </w:pPr>
            <w:r>
              <w:rPr>
                <w:rFonts w:ascii="Arial" w:cs="Arial" w:eastAsia="Arial" w:hAnsi="Arial"/>
                <w:sz w:val="20"/>
                <w:szCs w:val="20"/>
              </w:rPr>
              <w:t xml:space="preserve">BCF issues carry full audit trails: standard cited, threshold applied, ruleset version</w:t>
            </w:r>
          </w:p>
          <w:p>
            <w:pPr>
              <w:pStyle w:val="ListParagraph"/>
              <w:numPr>
                <w:ilvl w:val="0"/>
                <w:numId w:val="2"/>
              </w:numPr>
              <w:spacing w:after="60" w:before="0"/>
            </w:pPr>
            <w:r>
              <w:rPr>
                <w:rFonts w:ascii="Arial" w:cs="Arial" w:eastAsia="Arial" w:hAnsi="Arial"/>
                <w:sz w:val="20"/>
                <w:szCs w:val="20"/>
              </w:rPr>
              <w:t xml:space="preserve">Regular runs at each LOD milestone creates the documented evidence trail the Act requires</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80" w:before="0"/>
      </w:pPr>
      <w:r>
        <w:rPr>
          <w:rFonts w:ascii="Arial" w:cs="Arial" w:eastAsia="Arial" w:hAnsi="Arial"/>
          <w:b/>
          <w:bCs/>
          <w:color w:val="FFFFFF"/>
          <w:sz w:val="18"/>
          <w:szCs w:val="18"/>
          <w:shd w:fill="2E75B6" w:color="2E75B6" w:val="clear"/>
        </w:rPr>
        <w:t xml:space="preserve">  TECHNICAL  </w:t>
      </w:r>
      <w:r>
        <w:rPr>
          <w:rFonts w:ascii="Arial" w:cs="Arial" w:eastAsia="Arial" w:hAnsi="Arial"/>
          <w:color w:val="666666"/>
          <w:sz w:val="18"/>
          <w:szCs w:val="18"/>
        </w:rPr>
        <w:t xml:space="preserve">   Question 7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What data does our IFC model need to contain for the tool to work?</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A BIM manager or information manager wants to understand the information requirements.</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The tool reads from standard property sets that should be present in any well-authored LOD 300 MEP model. For the galvanic and crevice engines, the minimum requirements are: material name from Pset_MaterialCommon or IfcMaterial; nominal diameter from Pset_PipeSegmentOccurrence; insulation thickness from Pset_CoveringCommon; and zone classification from IfcZone for environment assignment.</w:t>
      </w:r>
    </w:p>
    <w:p>
      <w:pPr>
        <w:spacing w:after="200" w:before="0"/>
        <w:jc w:val="both"/>
      </w:pPr>
      <w:r>
        <w:rPr>
          <w:rFonts w:ascii="Arial" w:cs="Arial" w:eastAsia="Arial" w:hAnsi="Arial"/>
          <w:sz w:val="22"/>
          <w:szCs w:val="22"/>
        </w:rPr>
        <w:t xml:space="preserve">If any of these properties are absent, the tool does not fail — it applies conservative defaults. For example, if insulation thickness is not specified, it applies a system-type default based on the service classification. If zone metadata is absent, it defaults to the most conservative environment class applicable to that system type. The tool fails safely: missing data produces a conservative result, not a false negative.</w:t>
      </w:r>
    </w:p>
    <w:p>
      <w:pPr>
        <w:spacing w:after="200" w:before="0"/>
        <w:jc w:val="both"/>
      </w:pPr>
      <w:r>
        <w:rPr>
          <w:rFonts w:ascii="Arial" w:cs="Arial" w:eastAsia="Arial" w:hAnsi="Arial"/>
          <w:sz w:val="22"/>
          <w:szCs w:val="22"/>
        </w:rPr>
        <w:t xml:space="preserve">Material name normalisation is built in — the parser maps over 200 observed naming conventions to the internal material key system. So whether your mechanical engineer wrote 'SS316', 'Stainless Steel 316', 'AISI 316L', or '1.4401', the engine recognises the same material and applies the correct electrochemical potential and CCT values.</w:t>
      </w:r>
    </w:p>
    <w:p>
      <w:pPr>
        <w:spacing w:after="200" w:before="0"/>
        <w:jc w:val="both"/>
      </w:pPr>
      <w:r>
        <w:rPr>
          <w:rFonts w:ascii="Arial" w:cs="Arial" w:eastAsia="Arial" w:hAnsi="Arial"/>
          <w:sz w:val="22"/>
          <w:szCs w:val="22"/>
        </w:rPr>
        <w:t xml:space="preserve">For the MIC engine, the additional properties are flow velocity and operating temperature from Pset_PipeSegmentOccurrence. These are less commonly populated at LOD 300, so the engine uses system-type inference as the primary fallback — fire suppression systems are always treated as stagnant, domestic hot water below 55°C is always treated as the danger zone.</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Minimum: material name, nominal diameter, insulation thickness, zone classification</w:t>
            </w:r>
          </w:p>
          <w:p>
            <w:pPr>
              <w:pStyle w:val="ListParagraph"/>
              <w:numPr>
                <w:ilvl w:val="0"/>
                <w:numId w:val="2"/>
              </w:numPr>
              <w:spacing w:after="60" w:before="0"/>
            </w:pPr>
            <w:r>
              <w:rPr>
                <w:rFonts w:ascii="Arial" w:cs="Arial" w:eastAsia="Arial" w:hAnsi="Arial"/>
                <w:sz w:val="20"/>
                <w:szCs w:val="20"/>
              </w:rPr>
              <w:t xml:space="preserve">Conservative defaults apply when data is missing — tool always fails safely, never produces false negatives</w:t>
            </w:r>
          </w:p>
          <w:p>
            <w:pPr>
              <w:pStyle w:val="ListParagraph"/>
              <w:numPr>
                <w:ilvl w:val="0"/>
                <w:numId w:val="2"/>
              </w:numPr>
              <w:spacing w:after="60" w:before="0"/>
            </w:pPr>
            <w:r>
              <w:rPr>
                <w:rFonts w:ascii="Arial" w:cs="Arial" w:eastAsia="Arial" w:hAnsi="Arial"/>
                <w:sz w:val="20"/>
                <w:szCs w:val="20"/>
              </w:rPr>
              <w:t xml:space="preserve">Material name normalisation handles 200+ naming convention variants</w:t>
            </w:r>
          </w:p>
          <w:p>
            <w:pPr>
              <w:pStyle w:val="ListParagraph"/>
              <w:numPr>
                <w:ilvl w:val="0"/>
                <w:numId w:val="2"/>
              </w:numPr>
              <w:spacing w:after="60" w:before="0"/>
            </w:pPr>
            <w:r>
              <w:rPr>
                <w:rFonts w:ascii="Arial" w:cs="Arial" w:eastAsia="Arial" w:hAnsi="Arial"/>
                <w:sz w:val="20"/>
                <w:szCs w:val="20"/>
              </w:rPr>
              <w:t xml:space="preserve">LOD 300 models with standard Psets are sufficient — no special data preparation required</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80" w:before="0"/>
      </w:pPr>
      <w:r>
        <w:rPr>
          <w:rFonts w:ascii="Arial" w:cs="Arial" w:eastAsia="Arial" w:hAnsi="Arial"/>
          <w:b/>
          <w:bCs/>
          <w:color w:val="FFFFFF"/>
          <w:sz w:val="18"/>
          <w:szCs w:val="18"/>
          <w:shd w:fill="854F0B" w:color="854F0B" w:val="clear"/>
        </w:rPr>
        <w:t xml:space="preserve">  OPERATIONAL  </w:t>
      </w:r>
      <w:r>
        <w:rPr>
          <w:rFonts w:ascii="Arial" w:cs="Arial" w:eastAsia="Arial" w:hAnsi="Arial"/>
          <w:color w:val="666666"/>
          <w:sz w:val="18"/>
          <w:szCs w:val="18"/>
        </w:rPr>
        <w:t xml:space="preserve">   Question 8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What does a BCF issue actually look like, and what does the engineer do with it?</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A project engineer or coordinator wants to understand the workflow implication.</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A BCF issue is a structured file that links a compliance finding to a specific element in your BIM model. When your engineer opens the BCF file in their authoring tool — Revit, ArchiCAD, or any BCF-compatible viewer — the application navigates automatically to the flagged element and presents the issue details in a panel.</w:t>
      </w:r>
    </w:p>
    <w:p>
      <w:pPr>
        <w:spacing w:after="200" w:before="0"/>
        <w:jc w:val="both"/>
      </w:pPr>
      <w:r>
        <w:rPr>
          <w:rFonts w:ascii="Arial" w:cs="Arial" w:eastAsia="Arial" w:hAnsi="Arial"/>
          <w:sz w:val="22"/>
          <w:szCs w:val="22"/>
        </w:rPr>
        <w:t xml:space="preserve">Each BIMGUARD AI issue contains: the element's GlobalID so there's no ambiguity about which pipe is flagged; the risk band and composite score; the specific mechanism that triggered it — galvanic, crevice, or MIC; the recommended mitigation in plain language; the standard that defines the threshold; the estimated remediation cost and programme impact; and the discipline engineer to whom it's assigned.</w:t>
      </w:r>
    </w:p>
    <w:p>
      <w:pPr>
        <w:spacing w:after="200" w:before="0"/>
        <w:jc w:val="both"/>
      </w:pPr>
      <w:r>
        <w:rPr>
          <w:rFonts w:ascii="Arial" w:cs="Arial" w:eastAsia="Arial" w:hAnsi="Arial"/>
          <w:sz w:val="22"/>
          <w:szCs w:val="22"/>
        </w:rPr>
        <w:t xml:space="preserve">The engineer reviews the finding, decides whether to implement the recommended mitigation or escalate to a specialist, makes the change in their model, and closes the issue in the BCF tracker. BIMGUARD AI is then re-run on the updated model to confirm the fix hasn't introduced a new issue elsewhere. The closed issue record — including the original finding, the action taken, and the verification re-run — becomes part of the Golden Thread.</w:t>
      </w:r>
    </w:p>
    <w:p>
      <w:pPr>
        <w:spacing w:after="200" w:before="0"/>
        <w:jc w:val="both"/>
      </w:pPr>
      <w:r>
        <w:rPr>
          <w:rFonts w:ascii="Arial" w:cs="Arial" w:eastAsia="Arial" w:hAnsi="Arial"/>
          <w:sz w:val="22"/>
          <w:szCs w:val="22"/>
        </w:rPr>
        <w:t xml:space="preserve">The most common response to a galvanic finding is either a material substitution for the less noble element or the specification of a dielectric isolation gasket at the contact point. For a crevice finding, it's typically an upgrade to a higher PREN stainless grade or a change in joint type specification.</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BCF opens directly in the engineer's existing tool — no new software</w:t>
            </w:r>
          </w:p>
          <w:p>
            <w:pPr>
              <w:pStyle w:val="ListParagraph"/>
              <w:numPr>
                <w:ilvl w:val="0"/>
                <w:numId w:val="2"/>
              </w:numPr>
              <w:spacing w:after="60" w:before="0"/>
            </w:pPr>
            <w:r>
              <w:rPr>
                <w:rFonts w:ascii="Arial" w:cs="Arial" w:eastAsia="Arial" w:hAnsi="Arial"/>
                <w:sz w:val="20"/>
                <w:szCs w:val="20"/>
              </w:rPr>
              <w:t xml:space="preserve">Auto-navigation to the flagged element — no hunting through the model</w:t>
            </w:r>
          </w:p>
          <w:p>
            <w:pPr>
              <w:pStyle w:val="ListParagraph"/>
              <w:numPr>
                <w:ilvl w:val="0"/>
                <w:numId w:val="2"/>
              </w:numPr>
              <w:spacing w:after="60" w:before="0"/>
            </w:pPr>
            <w:r>
              <w:rPr>
                <w:rFonts w:ascii="Arial" w:cs="Arial" w:eastAsia="Arial" w:hAnsi="Arial"/>
                <w:sz w:val="20"/>
                <w:szCs w:val="20"/>
              </w:rPr>
              <w:t xml:space="preserve">Every issue includes: what's wrong, why, the standard that says so, what to do, and who to tell</w:t>
            </w:r>
          </w:p>
          <w:p>
            <w:pPr>
              <w:pStyle w:val="ListParagraph"/>
              <w:numPr>
                <w:ilvl w:val="0"/>
                <w:numId w:val="2"/>
              </w:numPr>
              <w:spacing w:after="60" w:before="0"/>
            </w:pPr>
            <w:r>
              <w:rPr>
                <w:rFonts w:ascii="Arial" w:cs="Arial" w:eastAsia="Arial" w:hAnsi="Arial"/>
                <w:sz w:val="20"/>
                <w:szCs w:val="20"/>
              </w:rPr>
              <w:t xml:space="preserve">Re-run after fix confirms resolution and documents the verification — closes the audit trail</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80" w:before="0"/>
      </w:pPr>
      <w:r>
        <w:rPr>
          <w:rFonts w:ascii="Arial" w:cs="Arial" w:eastAsia="Arial" w:hAnsi="Arial"/>
          <w:b/>
          <w:bCs/>
          <w:color w:val="FFFFFF"/>
          <w:sz w:val="18"/>
          <w:szCs w:val="18"/>
          <w:shd w:fill="0F6E56" w:color="0F6E56" w:val="clear"/>
        </w:rPr>
        <w:t xml:space="preserve">  COMMERCIAL  </w:t>
      </w:r>
      <w:r>
        <w:rPr>
          <w:rFonts w:ascii="Arial" w:cs="Arial" w:eastAsia="Arial" w:hAnsi="Arial"/>
          <w:color w:val="666666"/>
          <w:sz w:val="18"/>
          <w:szCs w:val="18"/>
        </w:rPr>
        <w:t xml:space="preserve">   Question 9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Does this replace our corrosion engineer?</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They're worried about professional responsibility and the role of their specialist consultants.</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No — and it's important to be clear about this. BIMGUARD AI is a screening tool, not a replacement for engineering judgement. What it does is systematically identify which of the hundreds or thousands of pipe assemblies in your MEP model merit a corrosion engineer's attention, and provide that engineer with a structured, standards-referenced starting point for their assessment.</w:t>
      </w:r>
    </w:p>
    <w:p>
      <w:pPr>
        <w:spacing w:after="200" w:before="0"/>
        <w:jc w:val="both"/>
      </w:pPr>
      <w:r>
        <w:rPr>
          <w:rFonts w:ascii="Arial" w:cs="Arial" w:eastAsia="Arial" w:hAnsi="Arial"/>
          <w:sz w:val="22"/>
          <w:szCs w:val="22"/>
        </w:rPr>
        <w:t xml:space="preserve">Without the tool, a corrosion engineer reviewing a complex MEP model either works through every element manually — which is impractical — or relies on experience and spot-checks to identify potential issues. That approach misses things, particularly less obvious pairings like stainless-on-stainless crevice risk or MIC in fire suppression systems.</w:t>
      </w:r>
    </w:p>
    <w:p>
      <w:pPr>
        <w:spacing w:after="200" w:before="0"/>
        <w:jc w:val="both"/>
      </w:pPr>
      <w:r>
        <w:rPr>
          <w:rFonts w:ascii="Arial" w:cs="Arial" w:eastAsia="Arial" w:hAnsi="Arial"/>
          <w:sz w:val="22"/>
          <w:szCs w:val="22"/>
        </w:rPr>
        <w:t xml:space="preserve">With BIMGUARD AI, the corrosion engineer receives a prioritised list of Critical and High findings that have already been screened against published standards. Their time is spent on the complex engineering judgements — is this environment really as aggressive as the zone metadata suggests, does this joint geometry genuinely qualify as Critical crevice class, what's the most cost-effective mitigation for this specific installation — rather than on the systematic screening that the tool does reliably and consistently.</w:t>
      </w:r>
    </w:p>
    <w:p>
      <w:pPr>
        <w:spacing w:after="200" w:before="0"/>
        <w:jc w:val="both"/>
      </w:pPr>
      <w:r>
        <w:rPr>
          <w:rFonts w:ascii="Arial" w:cs="Arial" w:eastAsia="Arial" w:hAnsi="Arial"/>
          <w:sz w:val="22"/>
          <w:szCs w:val="22"/>
        </w:rPr>
        <w:t xml:space="preserve">Think of it as giving your corrosion engineer a much more informed starting point, and giving your project team the confidence that nothing obvious has been missed.</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Screening tool — not a replacement for engineering judgement</w:t>
            </w:r>
          </w:p>
          <w:p>
            <w:pPr>
              <w:pStyle w:val="ListParagraph"/>
              <w:numPr>
                <w:ilvl w:val="0"/>
                <w:numId w:val="2"/>
              </w:numPr>
              <w:spacing w:after="60" w:before="0"/>
            </w:pPr>
            <w:r>
              <w:rPr>
                <w:rFonts w:ascii="Arial" w:cs="Arial" w:eastAsia="Arial" w:hAnsi="Arial"/>
                <w:sz w:val="20"/>
                <w:szCs w:val="20"/>
              </w:rPr>
              <w:t xml:space="preserve">Identifies which elements need expert attention — frees the engineer to focus on complex decisions</w:t>
            </w:r>
          </w:p>
          <w:p>
            <w:pPr>
              <w:pStyle w:val="ListParagraph"/>
              <w:numPr>
                <w:ilvl w:val="0"/>
                <w:numId w:val="2"/>
              </w:numPr>
              <w:spacing w:after="60" w:before="0"/>
            </w:pPr>
            <w:r>
              <w:rPr>
                <w:rFonts w:ascii="Arial" w:cs="Arial" w:eastAsia="Arial" w:hAnsi="Arial"/>
                <w:sz w:val="20"/>
                <w:szCs w:val="20"/>
              </w:rPr>
              <w:t xml:space="preserve">White Box Architecture means every finding is traceable to a named standard — engineers can verify the basis</w:t>
            </w:r>
          </w:p>
          <w:p>
            <w:pPr>
              <w:pStyle w:val="ListParagraph"/>
              <w:numPr>
                <w:ilvl w:val="0"/>
                <w:numId w:val="2"/>
              </w:numPr>
              <w:spacing w:after="60" w:before="0"/>
            </w:pPr>
            <w:r>
              <w:rPr>
                <w:rFonts w:ascii="Arial" w:cs="Arial" w:eastAsia="Arial" w:hAnsi="Arial"/>
                <w:sz w:val="20"/>
                <w:szCs w:val="20"/>
              </w:rPr>
              <w:t xml:space="preserve">The tool and the engineer work together: tool screens, engineer judges, tool verifies</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80" w:before="0"/>
      </w:pPr>
      <w:r>
        <w:rPr>
          <w:rFonts w:ascii="Arial" w:cs="Arial" w:eastAsia="Arial" w:hAnsi="Arial"/>
          <w:b/>
          <w:bCs/>
          <w:color w:val="FFFFFF"/>
          <w:sz w:val="18"/>
          <w:szCs w:val="18"/>
          <w:shd w:fill="2E75B6" w:color="2E75B6" w:val="clear"/>
        </w:rPr>
        <w:t xml:space="preserve">  TECHNICAL  </w:t>
      </w:r>
      <w:r>
        <w:rPr>
          <w:rFonts w:ascii="Arial" w:cs="Arial" w:eastAsia="Arial" w:hAnsi="Arial"/>
          <w:color w:val="666666"/>
          <w:sz w:val="18"/>
          <w:szCs w:val="18"/>
        </w:rPr>
        <w:t xml:space="preserve">   Question 10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How do the risk scores work? What does 0.89 mean?</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A technically literate client wants to understand the scoring methodology.</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Each engine produces a composite score between 0.0 and 1.0, calculated by combining several sub-scores with defined weights. The score represents the severity of the risk for that mechanism on that element — 0.0 is no risk, 1.0 is the maximum possible risk.</w:t>
      </w:r>
    </w:p>
    <w:p>
      <w:pPr>
        <w:spacing w:after="200" w:before="0"/>
        <w:jc w:val="both"/>
      </w:pPr>
      <w:r>
        <w:rPr>
          <w:rFonts w:ascii="Arial" w:cs="Arial" w:eastAsia="Arial" w:hAnsi="Arial"/>
          <w:sz w:val="22"/>
          <w:szCs w:val="22"/>
        </w:rPr>
        <w:t xml:space="preserve">For the galvanic engine, GC-001, the formula is: 50% of the voltage gap risk — how far the electrochemical potential difference between the two materials exceeds the safe threshold for the environment — plus 30% of the area ratio risk — how unfavourable the ratio of anode to cathode surface area is — plus 20% of the environment multiplier, which scales with how aggressive the operating environment is.</w:t>
      </w:r>
    </w:p>
    <w:p>
      <w:pPr>
        <w:spacing w:after="200" w:before="0"/>
        <w:jc w:val="both"/>
      </w:pPr>
      <w:r>
        <w:rPr>
          <w:rFonts w:ascii="Arial" w:cs="Arial" w:eastAsia="Arial" w:hAnsi="Arial"/>
          <w:sz w:val="22"/>
          <w:szCs w:val="22"/>
        </w:rPr>
        <w:t xml:space="preserve">A score of 0.89 means the element is very close to the maximum risk level. For our SS316 pool plant room case, the 0.89 crevice score comes from the combination of a tight flanged joint geometry — which scores 1.00 on the geometry sub-score — an operating temperature above the material's Critical Crevice Corrosion Temperature — which scores 1.00 on the CCT adequacy sub-score — and an aggressive pool enclosure environment.</w:t>
      </w:r>
    </w:p>
    <w:p>
      <w:pPr>
        <w:spacing w:after="200" w:before="0"/>
        <w:jc w:val="both"/>
      </w:pPr>
      <w:r>
        <w:rPr>
          <w:rFonts w:ascii="Arial" w:cs="Arial" w:eastAsia="Arial" w:hAnsi="Arial"/>
          <w:sz w:val="22"/>
          <w:szCs w:val="22"/>
        </w:rPr>
        <w:t xml:space="preserve">The score bands are: Low below 0.25 or 0.30, Medium in the middle range, High above 0.55 or 0.65, and Critical above 0.80 or 0.85, depending on the engine. The thresholds differ slightly between GC-001 and CC-001 because the public health consequences of crevice corrosion in certain environments warrant a more precautionary classification boundary.</w:t>
      </w:r>
    </w:p>
    <w:p>
      <w:pPr>
        <w:spacing w:after="200" w:before="0"/>
        <w:jc w:val="both"/>
      </w:pPr>
      <w:r>
        <w:rPr>
          <w:rFonts w:ascii="Arial" w:cs="Arial" w:eastAsia="Arial" w:hAnsi="Arial"/>
          <w:sz w:val="22"/>
          <w:szCs w:val="22"/>
        </w:rPr>
        <w:t xml:space="preserve">Critically, the scoring is continuous rather than binary pass/fail. This means you can prioritise remediation by score — a 0.97 Critical gets addressed before a 0.82 Critical — and you can track whether a mitigated element's score has come down to an acceptable level after the change.</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Composite score 0.0–1.0 = weighted combination of mechanism-specific sub-scores</w:t>
            </w:r>
          </w:p>
          <w:p>
            <w:pPr>
              <w:pStyle w:val="ListParagraph"/>
              <w:numPr>
                <w:ilvl w:val="0"/>
                <w:numId w:val="2"/>
              </w:numPr>
              <w:spacing w:after="60" w:before="0"/>
            </w:pPr>
            <w:r>
              <w:rPr>
                <w:rFonts w:ascii="Arial" w:cs="Arial" w:eastAsia="Arial" w:hAnsi="Arial"/>
                <w:sz w:val="20"/>
                <w:szCs w:val="20"/>
              </w:rPr>
              <w:t xml:space="preserve">Continuous scoring enables prioritisation within risk bands — not just pass/fail</w:t>
            </w:r>
          </w:p>
          <w:p>
            <w:pPr>
              <w:pStyle w:val="ListParagraph"/>
              <w:numPr>
                <w:ilvl w:val="0"/>
                <w:numId w:val="2"/>
              </w:numPr>
              <w:spacing w:after="60" w:before="0"/>
            </w:pPr>
            <w:r>
              <w:rPr>
                <w:rFonts w:ascii="Arial" w:cs="Arial" w:eastAsia="Arial" w:hAnsi="Arial"/>
                <w:sz w:val="20"/>
                <w:szCs w:val="20"/>
              </w:rPr>
              <w:t xml:space="preserve">Every sub-score weight is published and traceable to a standard — full transparency</w:t>
            </w:r>
          </w:p>
          <w:p>
            <w:pPr>
              <w:pStyle w:val="ListParagraph"/>
              <w:numPr>
                <w:ilvl w:val="0"/>
                <w:numId w:val="2"/>
              </w:numPr>
              <w:spacing w:after="60" w:before="0"/>
            </w:pPr>
            <w:r>
              <w:rPr>
                <w:rFonts w:ascii="Arial" w:cs="Arial" w:eastAsia="Arial" w:hAnsi="Arial"/>
                <w:sz w:val="20"/>
                <w:szCs w:val="20"/>
              </w:rPr>
              <w:t xml:space="preserve">Different band thresholds between GC-001 and CC-001 reflect different consequence profiles</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80" w:before="0"/>
      </w:pPr>
      <w:r>
        <w:rPr>
          <w:rFonts w:ascii="Arial" w:cs="Arial" w:eastAsia="Arial" w:hAnsi="Arial"/>
          <w:b/>
          <w:bCs/>
          <w:color w:val="FFFFFF"/>
          <w:sz w:val="18"/>
          <w:szCs w:val="18"/>
          <w:shd w:fill="1F3864" w:color="1F3864" w:val="clear"/>
        </w:rPr>
        <w:t xml:space="preserve">  STRATEGIC  </w:t>
      </w:r>
      <w:r>
        <w:rPr>
          <w:rFonts w:ascii="Arial" w:cs="Arial" w:eastAsia="Arial" w:hAnsi="Arial"/>
          <w:color w:val="666666"/>
          <w:sz w:val="18"/>
          <w:szCs w:val="18"/>
        </w:rPr>
        <w:t xml:space="preserve">   Question 11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What types of projects is this most valuable on?</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They're considering where to deploy it first and want to understand the priority use cases.</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The tool adds value on any project with a complex MEP specification, but the three categories where it delivers the highest return are: technically complex buildings with aggressive internal environments, buildings where regulatory corrosion risk assessment is mandatory, and buildings where a corrosion failure during operation would be catastrophic rather than merely inconvenient.</w:t>
      </w:r>
    </w:p>
    <w:p>
      <w:pPr>
        <w:spacing w:after="200" w:before="0"/>
        <w:jc w:val="both"/>
      </w:pPr>
      <w:r>
        <w:rPr>
          <w:rFonts w:ascii="Arial" w:cs="Arial" w:eastAsia="Arial" w:hAnsi="Arial"/>
          <w:sz w:val="22"/>
          <w:szCs w:val="22"/>
        </w:rPr>
        <w:t xml:space="preserve">In the first category: swimming pools, aquatic centres, and spa facilities are the classic case — chloride-rich humid environments that produce severe crevice corrosion on stainless steel systems specified by engineers who are thinking about galvanic compatibility and correctly confident about galvanic resistance. Pharmaceutical and life sciences facilities, food processing plants, and hospitals fall into the same category.</w:t>
      </w:r>
    </w:p>
    <w:p>
      <w:pPr>
        <w:spacing w:after="200" w:before="0"/>
        <w:jc w:val="both"/>
      </w:pPr>
      <w:r>
        <w:rPr>
          <w:rFonts w:ascii="Arial" w:cs="Arial" w:eastAsia="Arial" w:hAnsi="Arial"/>
          <w:sz w:val="22"/>
          <w:szCs w:val="22"/>
        </w:rPr>
        <w:t xml:space="preserve">In the second: higher-risk buildings under the Building Safety Act, healthcare facilities subject to HTM guidance on water systems, and any project requiring a Legionella risk assessment under COSHH and HSG274. The MIC engine produces exactly the machine-readable assessment record these regulations are asking for.</w:t>
      </w:r>
    </w:p>
    <w:p>
      <w:pPr>
        <w:spacing w:after="200" w:before="0"/>
        <w:jc w:val="both"/>
      </w:pPr>
      <w:r>
        <w:rPr>
          <w:rFonts w:ascii="Arial" w:cs="Arial" w:eastAsia="Arial" w:hAnsi="Arial"/>
          <w:sz w:val="22"/>
          <w:szCs w:val="22"/>
        </w:rPr>
        <w:t xml:space="preserve">In the third: Semiconductor Fabs, data centres, mission-critical facilities, and any building where production or operational continuity is the primary concern. In a Semiconductor Fab, a single pipe failure can shut down a cleanroom for days — the cost of that downtime can run to millions per day. The field-stage remediation multiplier in those environments is not 6× — it's closer to 50× or 100× when you include production loss.</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Highest value: aggressive environments (pools, pharma, hospitals), regulated industries, mission-critical facilities</w:t>
            </w:r>
          </w:p>
          <w:p>
            <w:pPr>
              <w:pStyle w:val="ListParagraph"/>
              <w:numPr>
                <w:ilvl w:val="0"/>
                <w:numId w:val="2"/>
              </w:numPr>
              <w:spacing w:after="60" w:before="0"/>
            </w:pPr>
            <w:r>
              <w:rPr>
                <w:rFonts w:ascii="Arial" w:cs="Arial" w:eastAsia="Arial" w:hAnsi="Arial"/>
                <w:sz w:val="20"/>
                <w:szCs w:val="20"/>
              </w:rPr>
              <w:t xml:space="preserve">Swimming pools and aquatic centres are the single most compelling use case — crevice corrosion on SS316 is endemic</w:t>
            </w:r>
          </w:p>
          <w:p>
            <w:pPr>
              <w:pStyle w:val="ListParagraph"/>
              <w:numPr>
                <w:ilvl w:val="0"/>
                <w:numId w:val="2"/>
              </w:numPr>
              <w:spacing w:after="60" w:before="0"/>
            </w:pPr>
            <w:r>
              <w:rPr>
                <w:rFonts w:ascii="Arial" w:cs="Arial" w:eastAsia="Arial" w:hAnsi="Arial"/>
                <w:sz w:val="20"/>
                <w:szCs w:val="20"/>
              </w:rPr>
              <w:t xml:space="preserve">Semiconductor Fab and pharmaceutical: field multiplier is 10–100× not 6×</w:t>
            </w:r>
          </w:p>
          <w:p>
            <w:pPr>
              <w:pStyle w:val="ListParagraph"/>
              <w:numPr>
                <w:ilvl w:val="0"/>
                <w:numId w:val="2"/>
              </w:numPr>
              <w:spacing w:after="60" w:before="0"/>
            </w:pPr>
            <w:r>
              <w:rPr>
                <w:rFonts w:ascii="Arial" w:cs="Arial" w:eastAsia="Arial" w:hAnsi="Arial"/>
                <w:sz w:val="20"/>
                <w:szCs w:val="20"/>
              </w:rPr>
              <w:t xml:space="preserve">Any project requiring Legionella risk assessment under HSG274 benefits from the MIC engine</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80" w:before="0"/>
      </w:pPr>
      <w:r>
        <w:rPr>
          <w:rFonts w:ascii="Arial" w:cs="Arial" w:eastAsia="Arial" w:hAnsi="Arial"/>
          <w:b/>
          <w:bCs/>
          <w:color w:val="FFFFFF"/>
          <w:sz w:val="18"/>
          <w:szCs w:val="18"/>
          <w:shd w:fill="2E75B6" w:color="2E75B6" w:val="clear"/>
        </w:rPr>
        <w:t xml:space="preserve">  TECHNICAL  </w:t>
      </w:r>
      <w:r>
        <w:rPr>
          <w:rFonts w:ascii="Arial" w:cs="Arial" w:eastAsia="Arial" w:hAnsi="Arial"/>
          <w:color w:val="666666"/>
          <w:sz w:val="18"/>
          <w:szCs w:val="18"/>
        </w:rPr>
        <w:t xml:space="preserve">   Question 12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Can we upload our own cost rates? Our project rates are different from your defaults.</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A commercial manager or quantity surveyor has project-specific unit rates.</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Yes — this is one of the Streamlit application's built-in features. The cost and duration impact model is user-configurable through a CSV upload in the Schedule and Cost Impact page.</w:t>
      </w:r>
    </w:p>
    <w:p>
      <w:pPr>
        <w:spacing w:after="200" w:before="0"/>
        <w:jc w:val="both"/>
      </w:pPr>
      <w:r>
        <w:rPr>
          <w:rFonts w:ascii="Arial" w:cs="Arial" w:eastAsia="Arial" w:hAnsi="Arial"/>
          <w:sz w:val="22"/>
          <w:szCs w:val="22"/>
        </w:rPr>
        <w:t xml:space="preserve">You download a template CSV from the application, populate it with your project-specific rates for each combination of risk band, corrosion mechanism, and material group, and upload it. The application immediately uses your rates for all cost calculations in that session.</w:t>
      </w:r>
    </w:p>
    <w:p>
      <w:pPr>
        <w:spacing w:after="200" w:before="0"/>
        <w:jc w:val="both"/>
      </w:pPr>
      <w:r>
        <w:rPr>
          <w:rFonts w:ascii="Arial" w:cs="Arial" w:eastAsia="Arial" w:hAnsi="Arial"/>
          <w:sz w:val="22"/>
          <w:szCs w:val="22"/>
        </w:rPr>
        <w:t xml:space="preserve">The CSV format is straightforward: risk band, mechanism code, material group, cost per item in pounds, duration in working days, a description of the remediation action, and the contractor type responsible. A blank template with example rows is available directly from the application.</w:t>
      </w:r>
    </w:p>
    <w:p>
      <w:pPr>
        <w:spacing w:after="200" w:before="0"/>
        <w:jc w:val="both"/>
      </w:pPr>
      <w:r>
        <w:rPr>
          <w:rFonts w:ascii="Arial" w:cs="Arial" w:eastAsia="Arial" w:hAnsi="Arial"/>
          <w:sz w:val="22"/>
          <w:szCs w:val="22"/>
        </w:rPr>
        <w:t xml:space="preserve">The default rates in the application are calibrated to UK commercial MEP remediation unit rates for 2025. For projects outside the UK, or for specialist environments where rates differ significantly — offshore, cleanroom, hospital — the CSV upload is the way to apply project-specific numbers while keeping all the compliance logic and standards referencing intact.</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CSV upload replaces hardcoded rates — no code change required</w:t>
            </w:r>
          </w:p>
          <w:p>
            <w:pPr>
              <w:pStyle w:val="ListParagraph"/>
              <w:numPr>
                <w:ilvl w:val="0"/>
                <w:numId w:val="2"/>
              </w:numPr>
              <w:spacing w:after="60" w:before="0"/>
            </w:pPr>
            <w:r>
              <w:rPr>
                <w:rFonts w:ascii="Arial" w:cs="Arial" w:eastAsia="Arial" w:hAnsi="Arial"/>
                <w:sz w:val="20"/>
                <w:szCs w:val="20"/>
              </w:rPr>
              <w:t xml:space="preserve">Template available directly from the application</w:t>
            </w:r>
          </w:p>
          <w:p>
            <w:pPr>
              <w:pStyle w:val="ListParagraph"/>
              <w:numPr>
                <w:ilvl w:val="0"/>
                <w:numId w:val="2"/>
              </w:numPr>
              <w:spacing w:after="60" w:before="0"/>
            </w:pPr>
            <w:r>
              <w:rPr>
                <w:rFonts w:ascii="Arial" w:cs="Arial" w:eastAsia="Arial" w:hAnsi="Arial"/>
                <w:sz w:val="20"/>
                <w:szCs w:val="20"/>
              </w:rPr>
              <w:t xml:space="preserve">Rates configurable by: risk band × mechanism × material group</w:t>
            </w:r>
          </w:p>
          <w:p>
            <w:pPr>
              <w:pStyle w:val="ListParagraph"/>
              <w:numPr>
                <w:ilvl w:val="0"/>
                <w:numId w:val="2"/>
              </w:numPr>
              <w:spacing w:after="60" w:before="0"/>
            </w:pPr>
            <w:r>
              <w:rPr>
                <w:rFonts w:ascii="Arial" w:cs="Arial" w:eastAsia="Arial" w:hAnsi="Arial"/>
                <w:sz w:val="20"/>
                <w:szCs w:val="20"/>
              </w:rPr>
              <w:t xml:space="preserve">Default rates are UK commercial MEP 2025 — upload your own for specialist or international projects</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80" w:before="0"/>
      </w:pPr>
      <w:r>
        <w:rPr>
          <w:rFonts w:ascii="Arial" w:cs="Arial" w:eastAsia="Arial" w:hAnsi="Arial"/>
          <w:b/>
          <w:bCs/>
          <w:color w:val="FFFFFF"/>
          <w:sz w:val="18"/>
          <w:szCs w:val="18"/>
          <w:shd w:fill="854F0B" w:color="854F0B" w:val="clear"/>
        </w:rPr>
        <w:t xml:space="preserve">  OPERATIONAL  </w:t>
      </w:r>
      <w:r>
        <w:rPr>
          <w:rFonts w:ascii="Arial" w:cs="Arial" w:eastAsia="Arial" w:hAnsi="Arial"/>
          <w:color w:val="666666"/>
          <w:sz w:val="18"/>
          <w:szCs w:val="18"/>
        </w:rPr>
        <w:t xml:space="preserve">   Question 13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How does it integrate with Plannerly?</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The client uses Plannerly for ISO 19650 compliance management and wants to understand the connection.</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The integration works at two levels. At the information management level, BIMGUARD AI assigns ISO 19650 status codes to each information container based on the compliance check results: Work in Progress where unresolved hard clashes or Critical findings exist, Shared with a non-conformance notice where warnings are present, and Status A — Approved — where all checks pass.</w:t>
      </w:r>
    </w:p>
    <w:p>
      <w:pPr>
        <w:spacing w:after="200" w:before="0"/>
        <w:jc w:val="both"/>
      </w:pPr>
      <w:r>
        <w:rPr>
          <w:rFonts w:ascii="Arial" w:cs="Arial" w:eastAsia="Arial" w:hAnsi="Arial"/>
          <w:sz w:val="22"/>
          <w:szCs w:val="22"/>
        </w:rPr>
        <w:t xml:space="preserve">In Plannerly terms, this means the BIMGUARD AI check can be defined as a requirement in the Verify module. When a discipline engineer uploads their IFC file to the CDE, the check is triggered, and the results write back to the information container's status field. The model cannot advance from Work in Progress to Shared until the BIMGUARD AI findings are resolved — it becomes a formal quality gate in the ISO 19650 workflow.</w:t>
      </w:r>
    </w:p>
    <w:p>
      <w:pPr>
        <w:spacing w:after="200" w:before="0"/>
        <w:jc w:val="both"/>
      </w:pPr>
      <w:r>
        <w:rPr>
          <w:rFonts w:ascii="Arial" w:cs="Arial" w:eastAsia="Arial" w:hAnsi="Arial"/>
          <w:sz w:val="22"/>
          <w:szCs w:val="22"/>
        </w:rPr>
        <w:t xml:space="preserve">At the scope definition level, BIMGUARD AI's information requirements — specifically the Psets that the IFC model must contain for the compliance engines to run — can be defined in Plannerly's Scope module as Level of Information Need requirements. This means every discipline on the project is contractually committed to providing the material specifications and operating condition data that the tool needs, before any model is submitted for coordination review.</w:t>
      </w:r>
    </w:p>
    <w:p>
      <w:pPr>
        <w:spacing w:after="200" w:before="0"/>
        <w:jc w:val="both"/>
      </w:pPr>
      <w:r>
        <w:rPr>
          <w:rFonts w:ascii="Arial" w:cs="Arial" w:eastAsia="Arial" w:hAnsi="Arial"/>
          <w:sz w:val="22"/>
          <w:szCs w:val="22"/>
        </w:rPr>
        <w:t xml:space="preserve">The practical result is that corrosion compliance checking becomes embedded in the standard project delivery process rather than being a separate exercise that happens late and creates programme disruption.</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ISO 19650 status codes (S2, S4, Status A) assigned automatically from compliance results</w:t>
            </w:r>
          </w:p>
          <w:p>
            <w:pPr>
              <w:pStyle w:val="ListParagraph"/>
              <w:numPr>
                <w:ilvl w:val="0"/>
                <w:numId w:val="2"/>
              </w:numPr>
              <w:spacing w:after="60" w:before="0"/>
            </w:pPr>
            <w:r>
              <w:rPr>
                <w:rFonts w:ascii="Arial" w:cs="Arial" w:eastAsia="Arial" w:hAnsi="Arial"/>
                <w:sz w:val="20"/>
                <w:szCs w:val="20"/>
              </w:rPr>
              <w:t xml:space="preserve">Defines a formal quality gate — models cannot progress to Shared with unresolved Critical findings</w:t>
            </w:r>
          </w:p>
          <w:p>
            <w:pPr>
              <w:pStyle w:val="ListParagraph"/>
              <w:numPr>
                <w:ilvl w:val="0"/>
                <w:numId w:val="2"/>
              </w:numPr>
              <w:spacing w:after="60" w:before="0"/>
            </w:pPr>
            <w:r>
              <w:rPr>
                <w:rFonts w:ascii="Arial" w:cs="Arial" w:eastAsia="Arial" w:hAnsi="Arial"/>
                <w:sz w:val="20"/>
                <w:szCs w:val="20"/>
              </w:rPr>
              <w:t xml:space="preserve">Pset requirements defined in Plannerly Scope = contractual information obligations on all disciplines</w:t>
            </w:r>
          </w:p>
          <w:p>
            <w:pPr>
              <w:pStyle w:val="ListParagraph"/>
              <w:numPr>
                <w:ilvl w:val="0"/>
                <w:numId w:val="2"/>
              </w:numPr>
              <w:spacing w:after="60" w:before="0"/>
            </w:pPr>
            <w:r>
              <w:rPr>
                <w:rFonts w:ascii="Arial" w:cs="Arial" w:eastAsia="Arial" w:hAnsi="Arial"/>
                <w:sz w:val="20"/>
                <w:szCs w:val="20"/>
              </w:rPr>
              <w:t xml:space="preserve">Compliance checking becomes part of standard delivery, not a late-stage surprise</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80" w:before="0"/>
      </w:pPr>
      <w:r>
        <w:rPr>
          <w:rFonts w:ascii="Arial" w:cs="Arial" w:eastAsia="Arial" w:hAnsi="Arial"/>
          <w:b/>
          <w:bCs/>
          <w:color w:val="FFFFFF"/>
          <w:sz w:val="18"/>
          <w:szCs w:val="18"/>
          <w:shd w:fill="2E75B6" w:color="2E75B6" w:val="clear"/>
        </w:rPr>
        <w:t xml:space="preserve">  TECHNICAL  </w:t>
      </w:r>
      <w:r>
        <w:rPr>
          <w:rFonts w:ascii="Arial" w:cs="Arial" w:eastAsia="Arial" w:hAnsi="Arial"/>
          <w:color w:val="666666"/>
          <w:sz w:val="18"/>
          <w:szCs w:val="18"/>
        </w:rPr>
        <w:t xml:space="preserve">   Question 14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What is the MIC module and why is it included alongside corrosion checking?</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A client has noticed the third engine and wants to understand the public health connection.</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MIC stands for Microbially Influenced Corrosion — corrosion caused or accelerated by microbiological activity in the pipe system. The three principal organism groups in building services are sulphate-reducing bacteria, which produce hydrogen sulphide and cause aggressive pitting in carbon steel; iron-oxidising bacteria, which create differential aeration cells and form the characteristic tubercle deposits inside iron pipework; and acid-producing bacteria, which lower local pH enough to destroy the passive film on stainless steel grades that would otherwise be corrosion-resistant.</w:t>
      </w:r>
    </w:p>
    <w:p>
      <w:pPr>
        <w:spacing w:after="200" w:before="0"/>
        <w:jc w:val="both"/>
      </w:pPr>
      <w:r>
        <w:rPr>
          <w:rFonts w:ascii="Arial" w:cs="Arial" w:eastAsia="Arial" w:hAnsi="Arial"/>
          <w:sz w:val="22"/>
          <w:szCs w:val="22"/>
        </w:rPr>
        <w:t xml:space="preserve">We include MIC checking for two reasons. The first is that MIC and galvanic or crevice corrosion are not mutually exclusive — they often co-exist and reinforce each other. A system with active MIC biofilm creates the localised chemistry that initiates crevice attack at temperatures below what you'd expect from standard material testing. The second reason is the public health dimension: Legionella pneumophila colonises the biofilms and corrosion products that MIC produces. A system with active MIC is a Legionella-risk system.</w:t>
      </w:r>
    </w:p>
    <w:p>
      <w:pPr>
        <w:spacing w:after="200" w:before="0"/>
        <w:jc w:val="both"/>
      </w:pPr>
      <w:r>
        <w:rPr>
          <w:rFonts w:ascii="Arial" w:cs="Arial" w:eastAsia="Arial" w:hAnsi="Arial"/>
          <w:sz w:val="22"/>
          <w:szCs w:val="22"/>
        </w:rPr>
        <w:t xml:space="preserve">The MC-001 engine checks four conditions: flow velocity — is the water moving fast enough to prevent biofilm establishment; temperature — is the system in the 25–45°C Legionella danger zone; dead-leg geometry — is there a section of pipework that effectively never flushes; and material susceptibility — carbon steel provides iron as a nutrient for iron-oxidising bacteria, while copper has antimicrobial properties.</w:t>
      </w:r>
    </w:p>
    <w:p>
      <w:pPr>
        <w:spacing w:after="200" w:before="0"/>
        <w:jc w:val="both"/>
      </w:pPr>
      <w:r>
        <w:rPr>
          <w:rFonts w:ascii="Arial" w:cs="Arial" w:eastAsia="Arial" w:hAnsi="Arial"/>
          <w:sz w:val="22"/>
          <w:szCs w:val="22"/>
        </w:rPr>
        <w:t xml:space="preserve">The most important finding from the validation is that fire suppression systems consistently score Critical on the MIC assessment. They are designed for zero flow under normal conditions, they contain stagnant water at ambient temperature — typically within the MIC danger zone in a heated building — and they are always carbon steel. HSE HSG274 Part 3 specifically identifies fire suppression as a Legionella risk system and requires it to be included in the building's risk assessment. BIMGUARD AI automates that identification from IFC data.</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MIC = corrosion caused by microbial biofilms — independent from galvanic and crevice mechanisms</w:t>
            </w:r>
          </w:p>
          <w:p>
            <w:pPr>
              <w:pStyle w:val="ListParagraph"/>
              <w:numPr>
                <w:ilvl w:val="0"/>
                <w:numId w:val="2"/>
              </w:numPr>
              <w:spacing w:after="60" w:before="0"/>
            </w:pPr>
            <w:r>
              <w:rPr>
                <w:rFonts w:ascii="Arial" w:cs="Arial" w:eastAsia="Arial" w:hAnsi="Arial"/>
                <w:sz w:val="20"/>
                <w:szCs w:val="20"/>
              </w:rPr>
              <w:t xml:space="preserve">Public health connection: Legionella colonises MIC biofilms — MIC risk = Legionella risk</w:t>
            </w:r>
          </w:p>
          <w:p>
            <w:pPr>
              <w:pStyle w:val="ListParagraph"/>
              <w:numPr>
                <w:ilvl w:val="0"/>
                <w:numId w:val="2"/>
              </w:numPr>
              <w:spacing w:after="60" w:before="0"/>
            </w:pPr>
            <w:r>
              <w:rPr>
                <w:rFonts w:ascii="Arial" w:cs="Arial" w:eastAsia="Arial" w:hAnsi="Arial"/>
                <w:sz w:val="20"/>
                <w:szCs w:val="20"/>
              </w:rPr>
              <w:t xml:space="preserve">Four risk factors: flow velocity, temperature (danger zone 25–45°C), dead-leg geometry, material</w:t>
            </w:r>
          </w:p>
          <w:p>
            <w:pPr>
              <w:pStyle w:val="ListParagraph"/>
              <w:numPr>
                <w:ilvl w:val="0"/>
                <w:numId w:val="2"/>
              </w:numPr>
              <w:spacing w:after="60" w:before="0"/>
            </w:pPr>
            <w:r>
              <w:rPr>
                <w:rFonts w:ascii="Arial" w:cs="Arial" w:eastAsia="Arial" w:hAnsi="Arial"/>
                <w:sz w:val="20"/>
                <w:szCs w:val="20"/>
              </w:rPr>
              <w:t xml:space="preserve">Fire suppression systems always score Critical — HSE HSG274 Part 3 requires their risk assessment</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80" w:before="0"/>
      </w:pPr>
      <w:r>
        <w:rPr>
          <w:rFonts w:ascii="Arial" w:cs="Arial" w:eastAsia="Arial" w:hAnsi="Arial"/>
          <w:b/>
          <w:bCs/>
          <w:color w:val="FFFFFF"/>
          <w:sz w:val="18"/>
          <w:szCs w:val="18"/>
          <w:shd w:fill="1F3864" w:color="1F3864" w:val="clear"/>
        </w:rPr>
        <w:t xml:space="preserve">  STRATEGIC  </w:t>
      </w:r>
      <w:r>
        <w:rPr>
          <w:rFonts w:ascii="Arial" w:cs="Arial" w:eastAsia="Arial" w:hAnsi="Arial"/>
          <w:color w:val="666666"/>
          <w:sz w:val="18"/>
          <w:szCs w:val="18"/>
        </w:rPr>
        <w:t xml:space="preserve">   Question 15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How is this different from a standard Legionella risk assessment?</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The client may already commission Legionella assessments and wonders if this duplicates that work.</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A traditional Legionella risk assessment is performed by a trained assessor who physically inspects the building's water systems, identifies risk elements, recommends control measures, and produces a written report. It is a manual, site-based process that happens after the building is built.</w:t>
      </w:r>
    </w:p>
    <w:p>
      <w:pPr>
        <w:spacing w:after="200" w:before="0"/>
        <w:jc w:val="both"/>
      </w:pPr>
      <w:r>
        <w:rPr>
          <w:rFonts w:ascii="Arial" w:cs="Arial" w:eastAsia="Arial" w:hAnsi="Arial"/>
          <w:sz w:val="22"/>
          <w:szCs w:val="22"/>
        </w:rPr>
        <w:t xml:space="preserve">BIMGUARD AI's MIC and Legionella checking happens at the design stage — in the BIM model, before a single pipe is installed. It identifies the same risk conditions that a post-construction assessor would find: dead-leg pipework, temperatures in the danger zone, low-flow sections, and so on — but at a point when they can be eliminated or designed out rather than managed through operational control measures.</w:t>
      </w:r>
    </w:p>
    <w:p>
      <w:pPr>
        <w:spacing w:after="200" w:before="0"/>
        <w:jc w:val="both"/>
      </w:pPr>
      <w:r>
        <w:rPr>
          <w:rFonts w:ascii="Arial" w:cs="Arial" w:eastAsia="Arial" w:hAnsi="Arial"/>
          <w:sz w:val="22"/>
          <w:szCs w:val="22"/>
        </w:rPr>
        <w:t xml:space="preserve">Designing out a dead-leg at the model stage costs the price of a brief design revision and a few metres of pipework reroute. Managing the same dead-leg through a weekly flushing regime for the life of the building costs years of labour, documentation, and periodic third-party audits. The BIMGUARD AI check is prevention; the traditional Legionella assessment is management. Both have a role, but prevention at design stage is always cheaper.</w:t>
      </w:r>
    </w:p>
    <w:p>
      <w:pPr>
        <w:spacing w:after="200" w:before="0"/>
        <w:jc w:val="both"/>
      </w:pPr>
      <w:r>
        <w:rPr>
          <w:rFonts w:ascii="Arial" w:cs="Arial" w:eastAsia="Arial" w:hAnsi="Arial"/>
          <w:sz w:val="22"/>
          <w:szCs w:val="22"/>
        </w:rPr>
        <w:t xml:space="preserve">The output of BIMGUARD AI also complements the traditional assessment: the machine-readable risk records stored in the IFC model provide the assessor with a complete inventory of risk elements identified during design, which they can use as the basis for their operational assessment rather than starting from scratch.</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Traditional Legionella RA is post-construction, site-based, operational management</w:t>
            </w:r>
          </w:p>
          <w:p>
            <w:pPr>
              <w:pStyle w:val="ListParagraph"/>
              <w:numPr>
                <w:ilvl w:val="0"/>
                <w:numId w:val="2"/>
              </w:numPr>
              <w:spacing w:after="60" w:before="0"/>
            </w:pPr>
            <w:r>
              <w:rPr>
                <w:rFonts w:ascii="Arial" w:cs="Arial" w:eastAsia="Arial" w:hAnsi="Arial"/>
                <w:sz w:val="20"/>
                <w:szCs w:val="20"/>
              </w:rPr>
              <w:t xml:space="preserve">BIMGUARD AI is design-stage, model-based, elimination rather than management</w:t>
            </w:r>
          </w:p>
          <w:p>
            <w:pPr>
              <w:pStyle w:val="ListParagraph"/>
              <w:numPr>
                <w:ilvl w:val="0"/>
                <w:numId w:val="2"/>
              </w:numPr>
              <w:spacing w:after="60" w:before="0"/>
            </w:pPr>
            <w:r>
              <w:rPr>
                <w:rFonts w:ascii="Arial" w:cs="Arial" w:eastAsia="Arial" w:hAnsi="Arial"/>
                <w:sz w:val="20"/>
                <w:szCs w:val="20"/>
              </w:rPr>
              <w:t xml:space="preserve">Dead-leg eliminated at design = pennies. Dead-leg managed operationally = years of cost</w:t>
            </w:r>
          </w:p>
          <w:p>
            <w:pPr>
              <w:pStyle w:val="ListParagraph"/>
              <w:numPr>
                <w:ilvl w:val="0"/>
                <w:numId w:val="2"/>
              </w:numPr>
              <w:spacing w:after="60" w:before="0"/>
            </w:pPr>
            <w:r>
              <w:rPr>
                <w:rFonts w:ascii="Arial" w:cs="Arial" w:eastAsia="Arial" w:hAnsi="Arial"/>
                <w:sz w:val="20"/>
                <w:szCs w:val="20"/>
              </w:rPr>
              <w:t xml:space="preserve">BIMGUARD output complements the traditional assessment — provides the inventory of design-stage risks</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80" w:before="0"/>
      </w:pPr>
      <w:r>
        <w:rPr>
          <w:rFonts w:ascii="Arial" w:cs="Arial" w:eastAsia="Arial" w:hAnsi="Arial"/>
          <w:b/>
          <w:bCs/>
          <w:color w:val="FFFFFF"/>
          <w:sz w:val="18"/>
          <w:szCs w:val="18"/>
          <w:shd w:fill="854F0B" w:color="854F0B" w:val="clear"/>
        </w:rPr>
        <w:t xml:space="preserve">  OPERATIONAL  </w:t>
      </w:r>
      <w:r>
        <w:rPr>
          <w:rFonts w:ascii="Arial" w:cs="Arial" w:eastAsia="Arial" w:hAnsi="Arial"/>
          <w:color w:val="666666"/>
          <w:sz w:val="18"/>
          <w:szCs w:val="18"/>
        </w:rPr>
        <w:t xml:space="preserve">   Question 16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Can we export a report to give to our client or pass to our design team?</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A BIM manager needs a deliverable they can circulate beyond the Streamlit interface.</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Yes — the application includes a Word report export that produces a formatted, client-ready compliance document. You access it from the Reports page in the application, enter the project name, client, prepared-by, IFC file reference, and revision, and click Generate. The document downloads immediately.</w:t>
      </w:r>
    </w:p>
    <w:p>
      <w:pPr>
        <w:spacing w:after="200" w:before="0"/>
        <w:jc w:val="both"/>
      </w:pPr>
      <w:r>
        <w:rPr>
          <w:rFonts w:ascii="Arial" w:cs="Arial" w:eastAsia="Arial" w:hAnsi="Arial"/>
          <w:sz w:val="22"/>
          <w:szCs w:val="22"/>
        </w:rPr>
        <w:t xml:space="preserve">The Word report includes a cover page with project metadata, an executive summary with the key metrics — total elements checked, issues by risk band, estimated remediation cost, and cost avoidance at the 6× multiplier — a risk distribution table, a full issue register with colour-coded risk bands showing every flagged element with its GlobalID, score, mechanism, and recommended mitigation, a methodology section referencing the standards applied, and a limitations disclaimer.</w:t>
      </w:r>
    </w:p>
    <w:p>
      <w:pPr>
        <w:spacing w:after="200" w:before="0"/>
        <w:jc w:val="both"/>
      </w:pPr>
      <w:r>
        <w:rPr>
          <w:rFonts w:ascii="Arial" w:cs="Arial" w:eastAsia="Arial" w:hAnsi="Arial"/>
          <w:sz w:val="22"/>
          <w:szCs w:val="22"/>
        </w:rPr>
        <w:t xml:space="preserve">The report is designed to be genuinely useful in three contexts: as a client deliverable in a design review meeting, as a submission to the project's Common Data Environment alongside the IFC file, and as a basis for a specialist corrosion engineer's review when a finding requires professional judgement beyond what the automated tool provides.</w:t>
      </w:r>
    </w:p>
    <w:p>
      <w:pPr>
        <w:spacing w:after="200" w:before="0"/>
        <w:jc w:val="both"/>
      </w:pPr>
      <w:r>
        <w:rPr>
          <w:rFonts w:ascii="Arial" w:cs="Arial" w:eastAsia="Arial" w:hAnsi="Arial"/>
          <w:sz w:val="22"/>
          <w:szCs w:val="22"/>
        </w:rPr>
        <w:t xml:space="preserve">The BCF file is the engineering tool — it opens in the model and navigates to the element. The Word report is the management tool — it conveys the same information to stakeholders who don't have a BIM viewer open in front of them.</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Word report generated directly from the application — no manual formatting</w:t>
            </w:r>
          </w:p>
          <w:p>
            <w:pPr>
              <w:pStyle w:val="ListParagraph"/>
              <w:numPr>
                <w:ilvl w:val="0"/>
                <w:numId w:val="2"/>
              </w:numPr>
              <w:spacing w:after="60" w:before="0"/>
            </w:pPr>
            <w:r>
              <w:rPr>
                <w:rFonts w:ascii="Arial" w:cs="Arial" w:eastAsia="Arial" w:hAnsi="Arial"/>
                <w:sz w:val="20"/>
                <w:szCs w:val="20"/>
              </w:rPr>
              <w:t xml:space="preserve">Includes executive summary, risk distribution, colour-coded issue register, methodology, disclaimer</w:t>
            </w:r>
          </w:p>
          <w:p>
            <w:pPr>
              <w:pStyle w:val="ListParagraph"/>
              <w:numPr>
                <w:ilvl w:val="0"/>
                <w:numId w:val="2"/>
              </w:numPr>
              <w:spacing w:after="60" w:before="0"/>
            </w:pPr>
            <w:r>
              <w:rPr>
                <w:rFonts w:ascii="Arial" w:cs="Arial" w:eastAsia="Arial" w:hAnsi="Arial"/>
                <w:sz w:val="20"/>
                <w:szCs w:val="20"/>
              </w:rPr>
              <w:t xml:space="preserve">Three use cases: client deliverable, CDE submission, specialist engineer briefing</w:t>
            </w:r>
          </w:p>
          <w:p>
            <w:pPr>
              <w:pStyle w:val="ListParagraph"/>
              <w:numPr>
                <w:ilvl w:val="0"/>
                <w:numId w:val="2"/>
              </w:numPr>
              <w:spacing w:after="60" w:before="0"/>
            </w:pPr>
            <w:r>
              <w:rPr>
                <w:rFonts w:ascii="Arial" w:cs="Arial" w:eastAsia="Arial" w:hAnsi="Arial"/>
                <w:sz w:val="20"/>
                <w:szCs w:val="20"/>
              </w:rPr>
              <w:t xml:space="preserve">BCF = engineering tool. Word report = management tool. Different audiences, same data</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80" w:before="0"/>
      </w:pPr>
      <w:r>
        <w:rPr>
          <w:rFonts w:ascii="Arial" w:cs="Arial" w:eastAsia="Arial" w:hAnsi="Arial"/>
          <w:b/>
          <w:bCs/>
          <w:color w:val="FFFFFF"/>
          <w:sz w:val="18"/>
          <w:szCs w:val="18"/>
          <w:shd w:fill="A32D2D" w:color="A32D2D" w:val="clear"/>
        </w:rPr>
        <w:t xml:space="preserve">  REGULATORY  </w:t>
      </w:r>
      <w:r>
        <w:rPr>
          <w:rFonts w:ascii="Arial" w:cs="Arial" w:eastAsia="Arial" w:hAnsi="Arial"/>
          <w:color w:val="666666"/>
          <w:sz w:val="18"/>
          <w:szCs w:val="18"/>
        </w:rPr>
        <w:t xml:space="preserve">   Question 17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What standards does BIMGUARD AI reference, and are they internationally recognised?</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A technical director or quality manager wants to assess credibility and jurisdictional applicability.</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All three engines reference internationally recognised standards. For the galvanic engine, the primary voltage thresholds come from NASA-STD-6012 — an American standard, but one that is widely cited in international corrosion engineering practice and adopted in European guidance. The galvanic series data comes from WorldStainless and Euro Inox, both of which are the primary international industry reference organisations for stainless steel specification.</w:t>
      </w:r>
    </w:p>
    <w:p>
      <w:pPr>
        <w:spacing w:after="200" w:before="0"/>
        <w:jc w:val="both"/>
      </w:pPr>
      <w:r>
        <w:rPr>
          <w:rFonts w:ascii="Arial" w:cs="Arial" w:eastAsia="Arial" w:hAnsi="Arial"/>
          <w:sz w:val="22"/>
          <w:szCs w:val="22"/>
        </w:rPr>
        <w:t xml:space="preserve">For the crevice engine, the Critical Crevice Corrosion Temperature values come from ASTM G48 Method B — the definitive international test method — and CIRIA C692, which is the UK's primary construction-industry reference for stainless steel specification. The environment severity classification uses EN ISO 15329:2007, which is both a European and an International Standard.</w:t>
      </w:r>
    </w:p>
    <w:p>
      <w:pPr>
        <w:spacing w:after="200" w:before="0"/>
        <w:jc w:val="both"/>
      </w:pPr>
      <w:r>
        <w:rPr>
          <w:rFonts w:ascii="Arial" w:cs="Arial" w:eastAsia="Arial" w:hAnsi="Arial"/>
          <w:sz w:val="22"/>
          <w:szCs w:val="22"/>
        </w:rPr>
        <w:t xml:space="preserve">For the MIC engine, the primary references are CIBSE TM13 and HSE HSG274, which are UK-specific but whose technical content aligns with WHO Guidelines for Drinking Water Quality — an international reference — and ASTM G-187, an American standard for MIC assessment.</w:t>
      </w:r>
    </w:p>
    <w:p>
      <w:pPr>
        <w:spacing w:after="200" w:before="0"/>
        <w:jc w:val="both"/>
      </w:pPr>
      <w:r>
        <w:rPr>
          <w:rFonts w:ascii="Arial" w:cs="Arial" w:eastAsia="Arial" w:hAnsi="Arial"/>
          <w:sz w:val="22"/>
          <w:szCs w:val="22"/>
        </w:rPr>
        <w:t xml:space="preserve">The IFC format and BCF output are ISO standards — ISO 16739-1 and the buildingSMART BCF 2.1 specification — which are adopted globally. The ISO 19650 workflow integration is applicable in any country that has adopted the ISO 19650 series, which now covers over 70 countries.</w:t>
      </w:r>
    </w:p>
    <w:p>
      <w:pPr>
        <w:spacing w:after="200" w:before="0"/>
        <w:jc w:val="both"/>
      </w:pPr>
      <w:r>
        <w:rPr>
          <w:rFonts w:ascii="Arial" w:cs="Arial" w:eastAsia="Arial" w:hAnsi="Arial"/>
          <w:sz w:val="22"/>
          <w:szCs w:val="22"/>
        </w:rPr>
        <w:t xml:space="preserve">For projects outside the UK, the standards remain applicable — the electrochemistry of galvanic corrosion does not change with jurisdiction. The MIC engine's Legionella thresholds align with WHO guidelines, which have broader applicability than the UK-specific HSE documents.</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NASA-STD-6012, ASTM G48, ASTM G-187 — internationally recognised American standards</w:t>
            </w:r>
          </w:p>
          <w:p>
            <w:pPr>
              <w:pStyle w:val="ListParagraph"/>
              <w:numPr>
                <w:ilvl w:val="0"/>
                <w:numId w:val="2"/>
              </w:numPr>
              <w:spacing w:after="60" w:before="0"/>
            </w:pPr>
            <w:r>
              <w:rPr>
                <w:rFonts w:ascii="Arial" w:cs="Arial" w:eastAsia="Arial" w:hAnsi="Arial"/>
                <w:sz w:val="20"/>
                <w:szCs w:val="20"/>
              </w:rPr>
              <w:t xml:space="preserve">EN ISO 15329:2007, CIRIA C692 — European and UK standards with international alignment</w:t>
            </w:r>
          </w:p>
          <w:p>
            <w:pPr>
              <w:pStyle w:val="ListParagraph"/>
              <w:numPr>
                <w:ilvl w:val="0"/>
                <w:numId w:val="2"/>
              </w:numPr>
              <w:spacing w:after="60" w:before="0"/>
            </w:pPr>
            <w:r>
              <w:rPr>
                <w:rFonts w:ascii="Arial" w:cs="Arial" w:eastAsia="Arial" w:hAnsi="Arial"/>
                <w:sz w:val="20"/>
                <w:szCs w:val="20"/>
              </w:rPr>
              <w:t xml:space="preserve">IFC and BCF — ISO standards adopted globally</w:t>
            </w:r>
          </w:p>
          <w:p>
            <w:pPr>
              <w:pStyle w:val="ListParagraph"/>
              <w:numPr>
                <w:ilvl w:val="0"/>
                <w:numId w:val="2"/>
              </w:numPr>
              <w:spacing w:after="60" w:before="0"/>
            </w:pPr>
            <w:r>
              <w:rPr>
                <w:rFonts w:ascii="Arial" w:cs="Arial" w:eastAsia="Arial" w:hAnsi="Arial"/>
                <w:sz w:val="20"/>
                <w:szCs w:val="20"/>
              </w:rPr>
              <w:t xml:space="preserve">ISO 19650 — applicable in 70+ countries</w:t>
            </w:r>
          </w:p>
          <w:p>
            <w:pPr>
              <w:pStyle w:val="ListParagraph"/>
              <w:numPr>
                <w:ilvl w:val="0"/>
                <w:numId w:val="2"/>
              </w:numPr>
              <w:spacing w:after="60" w:before="0"/>
            </w:pPr>
            <w:r>
              <w:rPr>
                <w:rFonts w:ascii="Arial" w:cs="Arial" w:eastAsia="Arial" w:hAnsi="Arial"/>
                <w:sz w:val="20"/>
                <w:szCs w:val="20"/>
              </w:rPr>
              <w:t xml:space="preserve">Electrochemistry doesn't change with jurisdiction — the science is universal</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80" w:before="0"/>
      </w:pPr>
      <w:r>
        <w:rPr>
          <w:rFonts w:ascii="Arial" w:cs="Arial" w:eastAsia="Arial" w:hAnsi="Arial"/>
          <w:b/>
          <w:bCs/>
          <w:color w:val="FFFFFF"/>
          <w:sz w:val="18"/>
          <w:szCs w:val="18"/>
          <w:shd w:fill="1F3864" w:color="1F3864" w:val="clear"/>
        </w:rPr>
        <w:t xml:space="preserve">  STRATEGIC  </w:t>
      </w:r>
      <w:r>
        <w:rPr>
          <w:rFonts w:ascii="Arial" w:cs="Arial" w:eastAsia="Arial" w:hAnsi="Arial"/>
          <w:color w:val="666666"/>
          <w:sz w:val="18"/>
          <w:szCs w:val="18"/>
        </w:rPr>
        <w:t xml:space="preserve">   Question 18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What are the limitations of the tool and what doesn't it check?</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A rigorous technical client wants an honest assessment of what the tool cannot do.</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There are three categories of limitation worth being transparent about.</w:t>
      </w:r>
    </w:p>
    <w:p>
      <w:pPr>
        <w:spacing w:after="200" w:before="0"/>
        <w:jc w:val="both"/>
      </w:pPr>
      <w:r>
        <w:rPr>
          <w:rFonts w:ascii="Arial" w:cs="Arial" w:eastAsia="Arial" w:hAnsi="Arial"/>
          <w:sz w:val="22"/>
          <w:szCs w:val="22"/>
        </w:rPr>
        <w:t xml:space="preserve">First, data quality. BIMGUARD AI is only as good as the IFC model it reads. If the material specification is absent, the engine applies a conservative default — it won't produce a false negative — but it won't produce a precise result either. Models authored without consistent property set population, or where material names have not been entered in a recognisable form, will produce more conservative results and more unknown classifications than well-authored models.</w:t>
      </w:r>
    </w:p>
    <w:p>
      <w:pPr>
        <w:spacing w:after="200" w:before="0"/>
        <w:jc w:val="both"/>
      </w:pPr>
      <w:r>
        <w:rPr>
          <w:rFonts w:ascii="Arial" w:cs="Arial" w:eastAsia="Arial" w:hAnsi="Arial"/>
          <w:sz w:val="22"/>
          <w:szCs w:val="22"/>
        </w:rPr>
        <w:t xml:space="preserve">Second, scope. The tool currently addresses three corrosion mechanisms: galvanic, crevice, and MIC. It does not check stress corrosion cracking, erosion corrosion, atmospheric corrosion on external elements, or cathodic protection adequacy. For specialist environments — subsea, buried pipelines, offshore — additional mechanisms would need separate engines that are outside the current scope.</w:t>
      </w:r>
    </w:p>
    <w:p>
      <w:pPr>
        <w:spacing w:after="200" w:before="0"/>
        <w:jc w:val="both"/>
      </w:pPr>
      <w:r>
        <w:rPr>
          <w:rFonts w:ascii="Arial" w:cs="Arial" w:eastAsia="Arial" w:hAnsi="Arial"/>
          <w:sz w:val="22"/>
          <w:szCs w:val="22"/>
        </w:rPr>
        <w:t xml:space="preserve">Third, engineering judgement. The tool produces a systematic screening result referenced to published standards and thresholds. It does not account for project-specific factors that a specialist engineer would consider — the actual chloride concentration measured on a specific site, the history of a particular client's maintenance regime, or the performance of a specific proprietary coating system. Critical and High findings always warrant review by a competent engineer before remediation action is specified.</w:t>
      </w:r>
    </w:p>
    <w:p>
      <w:pPr>
        <w:spacing w:after="200" w:before="0"/>
        <w:jc w:val="both"/>
      </w:pPr>
      <w:r>
        <w:rPr>
          <w:rFonts w:ascii="Arial" w:cs="Arial" w:eastAsia="Arial" w:hAnsi="Arial"/>
          <w:sz w:val="22"/>
          <w:szCs w:val="22"/>
        </w:rPr>
        <w:t xml:space="preserve">None of these limitations diminish the value of the tool — they define where it sits in the overall engineering quality process. It is a highly capable first-pass screening tool that catches what current practice misses entirely, while being transparent about what it is and what it isn't.</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Data quality: output quality depends on IFC property set completeness</w:t>
            </w:r>
          </w:p>
          <w:p>
            <w:pPr>
              <w:pStyle w:val="ListParagraph"/>
              <w:numPr>
                <w:ilvl w:val="0"/>
                <w:numId w:val="2"/>
              </w:numPr>
              <w:spacing w:after="60" w:before="0"/>
            </w:pPr>
            <w:r>
              <w:rPr>
                <w:rFonts w:ascii="Arial" w:cs="Arial" w:eastAsia="Arial" w:hAnsi="Arial"/>
                <w:sz w:val="20"/>
                <w:szCs w:val="20"/>
              </w:rPr>
              <w:t xml:space="preserve">Scope: three mechanisms only — stress corrosion cracking, erosion, atmospheric corrosion not covered</w:t>
            </w:r>
          </w:p>
          <w:p>
            <w:pPr>
              <w:pStyle w:val="ListParagraph"/>
              <w:numPr>
                <w:ilvl w:val="0"/>
                <w:numId w:val="2"/>
              </w:numPr>
              <w:spacing w:after="60" w:before="0"/>
            </w:pPr>
            <w:r>
              <w:rPr>
                <w:rFonts w:ascii="Arial" w:cs="Arial" w:eastAsia="Arial" w:hAnsi="Arial"/>
                <w:sz w:val="20"/>
                <w:szCs w:val="20"/>
              </w:rPr>
              <w:t xml:space="preserve">Engineering judgement: Critical and High findings always warrant specialist review</w:t>
            </w:r>
          </w:p>
          <w:p>
            <w:pPr>
              <w:pStyle w:val="ListParagraph"/>
              <w:numPr>
                <w:ilvl w:val="0"/>
                <w:numId w:val="2"/>
              </w:numPr>
              <w:spacing w:after="60" w:before="0"/>
            </w:pPr>
            <w:r>
              <w:rPr>
                <w:rFonts w:ascii="Arial" w:cs="Arial" w:eastAsia="Arial" w:hAnsi="Arial"/>
                <w:sz w:val="20"/>
                <w:szCs w:val="20"/>
              </w:rPr>
              <w:t xml:space="preserve">Honest positioning: excellent screening tool — not a substitute for specialist engineering on complex cases</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80" w:before="0"/>
      </w:pPr>
      <w:r>
        <w:rPr>
          <w:rFonts w:ascii="Arial" w:cs="Arial" w:eastAsia="Arial" w:hAnsi="Arial"/>
          <w:b/>
          <w:bCs/>
          <w:color w:val="FFFFFF"/>
          <w:sz w:val="18"/>
          <w:szCs w:val="18"/>
          <w:shd w:fill="0F6E56" w:color="0F6E56" w:val="clear"/>
        </w:rPr>
        <w:t xml:space="preserve">  COMMERCIAL  </w:t>
      </w:r>
      <w:r>
        <w:rPr>
          <w:rFonts w:ascii="Arial" w:cs="Arial" w:eastAsia="Arial" w:hAnsi="Arial"/>
          <w:color w:val="666666"/>
          <w:sz w:val="18"/>
          <w:szCs w:val="18"/>
        </w:rPr>
        <w:t xml:space="preserve">   Question 19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Can this be applied to existing buildings, not just new-build projects?</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An asset owner or facilities manager wants to understand the retrofit and operational application.</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Yes — and in some ways the case for existing buildings is even stronger than for new-build, because the consequences of unidentified corrosion risk are immediate rather than future.</w:t>
      </w:r>
    </w:p>
    <w:p>
      <w:pPr>
        <w:spacing w:after="200" w:before="0"/>
        <w:jc w:val="both"/>
      </w:pPr>
      <w:r>
        <w:rPr>
          <w:rFonts w:ascii="Arial" w:cs="Arial" w:eastAsia="Arial" w:hAnsi="Arial"/>
          <w:sz w:val="22"/>
          <w:szCs w:val="22"/>
        </w:rPr>
        <w:t xml:space="preserve">For an existing building, the workflow changes slightly. Instead of exporting an IFC from a design model, you produce an as-built IFC from a scan-to-BIM process — laser scanning the existing services, generating a point cloud, and creating an IFC model from that. BIMGUARD AI accepts point cloud data alongside the IFC, which allows it to cross-reference the designed specification against the actual as-built conditions and flag deviations.</w:t>
      </w:r>
    </w:p>
    <w:p>
      <w:pPr>
        <w:spacing w:after="200" w:before="0"/>
        <w:jc w:val="both"/>
      </w:pPr>
      <w:r>
        <w:rPr>
          <w:rFonts w:ascii="Arial" w:cs="Arial" w:eastAsia="Arial" w:hAnsi="Arial"/>
          <w:sz w:val="22"/>
          <w:szCs w:val="22"/>
        </w:rPr>
        <w:t xml:space="preserve">For buildings that don't have an existing BIM model, even a simplified IFC containing just the material specifications, pipe sizes, and zone classifications — without full geometry — is sufficient for the corrosion compliance check. A structured survey of the existing services, capturing material and joint type information, can be compiled into an IFC template and used as the input.</w:t>
      </w:r>
    </w:p>
    <w:p>
      <w:pPr>
        <w:spacing w:after="200" w:before="0"/>
        <w:jc w:val="both"/>
      </w:pPr>
      <w:r>
        <w:rPr>
          <w:rFonts w:ascii="Arial" w:cs="Arial" w:eastAsia="Arial" w:hAnsi="Arial"/>
          <w:sz w:val="22"/>
          <w:szCs w:val="22"/>
        </w:rPr>
        <w:t xml:space="preserve">For operational buildings, the MIC engine is particularly relevant: existing systems that have been in service for several years may already have established biofilms in dead-leg zones, and the MC-001 assessment provides a structured basis for a Legionella risk management programme. The issue history tracking feature also makes BIMGUARD AI useful as an ongoing operational monitoring tool — comparing successive assessments to track whether risk bands are stable, improving, or deteriorating over time.</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Existing buildings: scan-to-BIM workflow produces the IFC input</w:t>
            </w:r>
          </w:p>
          <w:p>
            <w:pPr>
              <w:pStyle w:val="ListParagraph"/>
              <w:numPr>
                <w:ilvl w:val="0"/>
                <w:numId w:val="2"/>
              </w:numPr>
              <w:spacing w:after="60" w:before="0"/>
            </w:pPr>
            <w:r>
              <w:rPr>
                <w:rFonts w:ascii="Arial" w:cs="Arial" w:eastAsia="Arial" w:hAnsi="Arial"/>
                <w:sz w:val="20"/>
                <w:szCs w:val="20"/>
              </w:rPr>
              <w:t xml:space="preserve">Simplified IFC with material and zone data is sufficient — full geometry not required</w:t>
            </w:r>
          </w:p>
          <w:p>
            <w:pPr>
              <w:pStyle w:val="ListParagraph"/>
              <w:numPr>
                <w:ilvl w:val="0"/>
                <w:numId w:val="2"/>
              </w:numPr>
              <w:spacing w:after="60" w:before="0"/>
            </w:pPr>
            <w:r>
              <w:rPr>
                <w:rFonts w:ascii="Arial" w:cs="Arial" w:eastAsia="Arial" w:hAnsi="Arial"/>
                <w:sz w:val="20"/>
                <w:szCs w:val="20"/>
              </w:rPr>
              <w:t xml:space="preserve">MIC engine particularly relevant for existing buildings with established water systems</w:t>
            </w:r>
          </w:p>
          <w:p>
            <w:pPr>
              <w:pStyle w:val="ListParagraph"/>
              <w:numPr>
                <w:ilvl w:val="0"/>
                <w:numId w:val="2"/>
              </w:numPr>
              <w:spacing w:after="60" w:before="0"/>
            </w:pPr>
            <w:r>
              <w:rPr>
                <w:rFonts w:ascii="Arial" w:cs="Arial" w:eastAsia="Arial" w:hAnsi="Arial"/>
                <w:sz w:val="20"/>
                <w:szCs w:val="20"/>
              </w:rPr>
              <w:t xml:space="preserve">Issue history tracking enables longitudinal risk monitoring across successive assessments</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80" w:before="0"/>
      </w:pPr>
      <w:r>
        <w:rPr>
          <w:rFonts w:ascii="Arial" w:cs="Arial" w:eastAsia="Arial" w:hAnsi="Arial"/>
          <w:b/>
          <w:bCs/>
          <w:color w:val="FFFFFF"/>
          <w:sz w:val="18"/>
          <w:szCs w:val="18"/>
          <w:shd w:fill="1F3864" w:color="1F3864" w:val="clear"/>
        </w:rPr>
        <w:t xml:space="preserve">  STRATEGIC  </w:t>
      </w:r>
      <w:r>
        <w:rPr>
          <w:rFonts w:ascii="Arial" w:cs="Arial" w:eastAsia="Arial" w:hAnsi="Arial"/>
          <w:color w:val="666666"/>
          <w:sz w:val="18"/>
          <w:szCs w:val="18"/>
        </w:rPr>
        <w:t xml:space="preserve">   Question 20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after="0" w:before="0"/>
            </w:pPr>
            <w:r>
              <w:rPr>
                <w:rFonts w:ascii="Arial" w:cs="Arial" w:eastAsia="Arial" w:hAnsi="Arial"/>
                <w:b/>
                <w:bCs/>
                <w:color w:val="00B4D8"/>
                <w:sz w:val="24"/>
                <w:szCs w:val="24"/>
              </w:rPr>
              <w:t xml:space="preserve">Q  </w:t>
            </w:r>
            <w:r>
              <w:rPr>
                <w:rFonts w:ascii="Arial" w:cs="Arial" w:eastAsia="Arial" w:hAnsi="Arial"/>
                <w:b/>
                <w:bCs/>
                <w:color w:val="FFFFFF"/>
                <w:sz w:val="24"/>
                <w:szCs w:val="24"/>
              </w:rPr>
              <w:t xml:space="preserve">What is the development roadmap? Is this going to keep improving?</w:t>
            </w:r>
          </w:p>
        </w:tc>
      </w:tr>
    </w:tbl>
    <w:p>
      <w:pPr>
        <w:spacing w:after="160" w:before="80"/>
      </w:pPr>
      <w:r>
        <w:rPr>
          <w:rFonts w:ascii="Arial" w:cs="Arial" w:eastAsia="Arial" w:hAnsi="Arial"/>
          <w:b/>
          <w:bCs/>
          <w:i/>
          <w:iCs/>
          <w:color w:val="666666"/>
          <w:sz w:val="20"/>
          <w:szCs w:val="20"/>
        </w:rPr>
        <w:t xml:space="preserve">Why they ask this:  </w:t>
      </w:r>
      <w:r>
        <w:rPr>
          <w:rFonts w:ascii="Arial" w:cs="Arial" w:eastAsia="Arial" w:hAnsi="Arial"/>
          <w:i/>
          <w:iCs/>
          <w:color w:val="666666"/>
          <w:sz w:val="20"/>
          <w:szCs w:val="20"/>
        </w:rPr>
        <w:t xml:space="preserve">A strategic client is assessing whether to make a long-term commitment to the tool.</w:t>
      </w:r>
    </w:p>
    <w:p>
      <w:pPr>
        <w:spacing w:after="80" w:before="0"/>
      </w:pPr>
      <w:r>
        <w:rPr>
          <w:rFonts w:ascii="Arial" w:cs="Arial" w:eastAsia="Arial" w:hAnsi="Arial"/>
          <w:b/>
          <w:bCs/>
          <w:color w:val="2E75B6"/>
          <w:sz w:val="22"/>
          <w:szCs w:val="22"/>
        </w:rPr>
        <w:t xml:space="preserve">Recommended answer</w:t>
      </w:r>
    </w:p>
    <w:p>
      <w:pPr>
        <w:spacing w:after="200" w:before="0"/>
        <w:jc w:val="both"/>
      </w:pPr>
      <w:r>
        <w:rPr>
          <w:rFonts w:ascii="Arial" w:cs="Arial" w:eastAsia="Arial" w:hAnsi="Arial"/>
          <w:sz w:val="22"/>
          <w:szCs w:val="22"/>
        </w:rPr>
        <w:t xml:space="preserve">The current version of BIMGUARD AI — with GC-001 galvanic, CC-001 crevice, and MC-001 MIC engines — represents the first release of a platform that is designed to grow. There are three near-term development priorities.</w:t>
      </w:r>
    </w:p>
    <w:p>
      <w:pPr>
        <w:spacing w:after="200" w:before="0"/>
        <w:jc w:val="both"/>
      </w:pPr>
      <w:r>
        <w:rPr>
          <w:rFonts w:ascii="Arial" w:cs="Arial" w:eastAsia="Arial" w:hAnsi="Arial"/>
          <w:sz w:val="22"/>
          <w:szCs w:val="22"/>
        </w:rPr>
        <w:t xml:space="preserve">The first is the fire compartmentation module — a parallel compliance checking domain alongside corrosion, using the same IFC-in / BCF-out architecture to check MEP penetration sealing, smoke control zoning, and compartment integrity from IFC spatial data. This addresses a different regulatory requirement but uses the same technical infrastructure.</w:t>
      </w:r>
    </w:p>
    <w:p>
      <w:pPr>
        <w:spacing w:after="200" w:before="0"/>
        <w:jc w:val="both"/>
      </w:pPr>
      <w:r>
        <w:rPr>
          <w:rFonts w:ascii="Arial" w:cs="Arial" w:eastAsia="Arial" w:hAnsi="Arial"/>
          <w:sz w:val="22"/>
          <w:szCs w:val="22"/>
        </w:rPr>
        <w:t xml:space="preserve">The second is BMS integration — connecting the compliance engines to live Building Management System data so that risk scores are updated dynamically from real operating conditions rather than from design-stage assumptions. A system that was designed for 60°C hot water distribution but is actually operating at 45°C has a very different MIC risk profile from what the static IFC model shows. BMS integration would make BIMGUARD AI a continuous operational risk monitor rather than a point-in-time design check.</w:t>
      </w:r>
    </w:p>
    <w:p>
      <w:pPr>
        <w:spacing w:after="200" w:before="0"/>
        <w:jc w:val="both"/>
      </w:pPr>
      <w:r>
        <w:rPr>
          <w:rFonts w:ascii="Arial" w:cs="Arial" w:eastAsia="Arial" w:hAnsi="Arial"/>
          <w:sz w:val="22"/>
          <w:szCs w:val="22"/>
        </w:rPr>
        <w:t xml:space="preserve">The third is the Halo module for pipe spacing and support reservation — checking centre-to-centre distances between services, LOD 350 support steelwork clearances, and seismic bracing space reservation, with automatic resolution recommendations based on the gravity priority, cost delta, and schedule risk hierarchy already developed.</w:t>
      </w:r>
    </w:p>
    <w:p>
      <w:pPr>
        <w:spacing w:after="200" w:before="0"/>
        <w:jc w:val="both"/>
      </w:pPr>
      <w:r>
        <w:rPr>
          <w:rFonts w:ascii="Arial" w:cs="Arial" w:eastAsia="Arial" w:hAnsi="Arial"/>
          <w:sz w:val="22"/>
          <w:szCs w:val="22"/>
        </w:rPr>
        <w:t xml:space="preserve">The underlying architecture — open standards, white box rule-based engines, version-controlled JSON rulesets — is designed for extensibility. Adding a new corrosion mechanism or a new compliance domain means writing a new engine and ruleset, not rebuilding the application. The platform grows as the engineering knowledge base grows.</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spacing w:after="80" w:before="0"/>
            </w:pPr>
            <w:r>
              <w:rPr>
                <w:rFonts w:ascii="Arial" w:cs="Arial" w:eastAsia="Arial" w:hAnsi="Arial"/>
                <w:b/>
                <w:bCs/>
                <w:color w:val="1F3864"/>
                <w:sz w:val="20"/>
                <w:szCs w:val="20"/>
              </w:rPr>
              <w:t xml:space="preserve">Key points to land</w:t>
            </w:r>
          </w:p>
          <w:p>
            <w:pPr>
              <w:pStyle w:val="ListParagraph"/>
              <w:numPr>
                <w:ilvl w:val="0"/>
                <w:numId w:val="2"/>
              </w:numPr>
              <w:spacing w:after="60" w:before="0"/>
            </w:pPr>
            <w:r>
              <w:rPr>
                <w:rFonts w:ascii="Arial" w:cs="Arial" w:eastAsia="Arial" w:hAnsi="Arial"/>
                <w:sz w:val="20"/>
                <w:szCs w:val="20"/>
              </w:rPr>
              <w:t xml:space="preserve">Three near-term priorities: fire compartmentation module, BMS integration, Halo pipe spacing module</w:t>
            </w:r>
          </w:p>
          <w:p>
            <w:pPr>
              <w:pStyle w:val="ListParagraph"/>
              <w:numPr>
                <w:ilvl w:val="0"/>
                <w:numId w:val="2"/>
              </w:numPr>
              <w:spacing w:after="60" w:before="0"/>
            </w:pPr>
            <w:r>
              <w:rPr>
                <w:rFonts w:ascii="Arial" w:cs="Arial" w:eastAsia="Arial" w:hAnsi="Arial"/>
                <w:sz w:val="20"/>
                <w:szCs w:val="20"/>
              </w:rPr>
              <w:t xml:space="preserve">BMS integration = transforms from design-stage tool to continuous operational risk monitor</w:t>
            </w:r>
          </w:p>
          <w:p>
            <w:pPr>
              <w:pStyle w:val="ListParagraph"/>
              <w:numPr>
                <w:ilvl w:val="0"/>
                <w:numId w:val="2"/>
              </w:numPr>
              <w:spacing w:after="60" w:before="0"/>
            </w:pPr>
            <w:r>
              <w:rPr>
                <w:rFonts w:ascii="Arial" w:cs="Arial" w:eastAsia="Arial" w:hAnsi="Arial"/>
                <w:sz w:val="20"/>
                <w:szCs w:val="20"/>
              </w:rPr>
              <w:t xml:space="preserve">White Box Architecture and version-controlled rulesets = extensible platform, not a fixed product</w:t>
            </w:r>
          </w:p>
          <w:p>
            <w:pPr>
              <w:pStyle w:val="ListParagraph"/>
              <w:numPr>
                <w:ilvl w:val="0"/>
                <w:numId w:val="2"/>
              </w:numPr>
              <w:spacing w:after="60" w:before="0"/>
            </w:pPr>
            <w:r>
              <w:rPr>
                <w:rFonts w:ascii="Arial" w:cs="Arial" w:eastAsia="Arial" w:hAnsi="Arial"/>
                <w:sz w:val="20"/>
                <w:szCs w:val="20"/>
              </w:rPr>
              <w:t xml:space="preserve">Open standards foundation means every new module integrates with the same IFC/BCF ecosystem</w:t>
            </w:r>
          </w:p>
        </w:tc>
      </w:tr>
    </w:tbl>
    <w:p>
      <w:pPr>
        <w:pBdr>
          <w:bottom w:val="single" w:color="BFBFBF" w:sz="2" w:space="1"/>
        </w:pBdr>
        <w:spacing w:after="0" w:before="240"/>
      </w:pPr>
    </w:p>
    <w:p>
      <w:pPr>
        <w:spacing w:after="0" w:before="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spacing w:after="0" w:before="0"/>
      </w:pPr>
      <w:r>
        <w:br w:type="page"/>
      </w:r>
    </w:p>
    <w:p>
      <w:pPr>
        <w:pStyle w:val="Heading1"/>
        <w:spacing w:after="240" w:before="480"/>
      </w:pPr>
      <w:r>
        <w:rPr>
          <w:rFonts w:ascii="Arial" w:cs="Arial" w:eastAsia="Arial" w:hAnsi="Arial"/>
          <w:b/>
          <w:bCs/>
          <w:color w:val="1F3864"/>
          <w:sz w:val="36"/>
          <w:szCs w:val="36"/>
        </w:rPr>
        <w:t xml:space="preserve">Quick Reference — Question Index</w:t>
      </w:r>
    </w:p>
    <w:p>
      <w:pPr>
        <w:pBdr>
          <w:bottom w:val="single" w:color="1F3864" w:sz="6" w:space="1"/>
        </w:pBdr>
        <w:spacing w:after="240" w:before="0"/>
      </w:pPr>
    </w:p>
    <w:p>
      <w:pPr>
        <w:spacing w:after="200" w:before="0"/>
        <w:jc w:val="both"/>
      </w:pPr>
      <w:r>
        <w:rPr>
          <w:rFonts w:ascii="Arial" w:cs="Arial" w:eastAsia="Arial" w:hAnsi="Arial"/>
          <w:sz w:val="22"/>
          <w:szCs w:val="22"/>
        </w:rPr>
        <w:t xml:space="preserve">Use this index to locate specific questions by category during a meeting or viva preparation.</w:t>
      </w:r>
    </w:p>
    <w:p>
      <w:pPr>
        <w:spacing w:after="80" w:before="80"/>
      </w:pPr>
      <w:r>
        <w:rPr>
          <w:rFonts w:ascii="Arial" w:cs="Arial" w:eastAsia="Arial" w:hAnsi="Arial"/>
          <w:sz w:val="22"/>
          <w:szCs w:val="22"/>
        </w:rPr>
        <w:t xml:space="preserve"/>
      </w:r>
    </w:p>
    <w:p>
      <w:pPr>
        <w:spacing w:after="80" w:before="160"/>
      </w:pPr>
      <w:r>
        <w:rPr>
          <w:rFonts w:ascii="Arial" w:cs="Arial" w:eastAsia="Arial" w:hAnsi="Arial"/>
          <w:b/>
          <w:bCs/>
          <w:color w:val="2E75B6"/>
          <w:sz w:val="22"/>
          <w:szCs w:val="22"/>
        </w:rPr>
        <w:t xml:space="preserve">Technical</w:t>
      </w:r>
    </w:p>
    <w:p>
      <w:pPr>
        <w:spacing w:after="80" w:before="0"/>
      </w:pPr>
      <w:r>
        <w:rPr>
          <w:rFonts w:ascii="Arial" w:cs="Arial" w:eastAsia="Arial" w:hAnsi="Arial"/>
          <w:b/>
          <w:bCs/>
          <w:color w:val="1F3864"/>
          <w:sz w:val="22"/>
          <w:szCs w:val="22"/>
        </w:rPr>
        <w:t xml:space="preserve">Q1  </w:t>
      </w:r>
      <w:r>
        <w:rPr>
          <w:rFonts w:ascii="Arial" w:cs="Arial" w:eastAsia="Arial" w:hAnsi="Arial"/>
          <w:sz w:val="22"/>
          <w:szCs w:val="22"/>
        </w:rPr>
        <w:t xml:space="preserve">What exactly does BIMGUARD AI check that our existing BIM tools don't?</w:t>
      </w:r>
    </w:p>
    <w:p>
      <w:pPr>
        <w:spacing w:after="80" w:before="0"/>
      </w:pPr>
      <w:r>
        <w:rPr>
          <w:rFonts w:ascii="Arial" w:cs="Arial" w:eastAsia="Arial" w:hAnsi="Arial"/>
          <w:b/>
          <w:bCs/>
          <w:color w:val="1F3864"/>
          <w:sz w:val="22"/>
          <w:szCs w:val="22"/>
        </w:rPr>
        <w:t xml:space="preserve">Q2  </w:t>
      </w:r>
      <w:r>
        <w:rPr>
          <w:rFonts w:ascii="Arial" w:cs="Arial" w:eastAsia="Arial" w:hAnsi="Arial"/>
          <w:sz w:val="22"/>
          <w:szCs w:val="22"/>
        </w:rPr>
        <w:t xml:space="preserve">What file format does it use? Do we need to buy any new software or plugins?</w:t>
      </w:r>
    </w:p>
    <w:p>
      <w:pPr>
        <w:spacing w:after="80" w:before="0"/>
      </w:pPr>
      <w:r>
        <w:rPr>
          <w:rFonts w:ascii="Arial" w:cs="Arial" w:eastAsia="Arial" w:hAnsi="Arial"/>
          <w:b/>
          <w:bCs/>
          <w:color w:val="1F3864"/>
          <w:sz w:val="22"/>
          <w:szCs w:val="22"/>
        </w:rPr>
        <w:t xml:space="preserve">Q3  </w:t>
      </w:r>
      <w:r>
        <w:rPr>
          <w:rFonts w:ascii="Arial" w:cs="Arial" w:eastAsia="Arial" w:hAnsi="Arial"/>
          <w:sz w:val="22"/>
          <w:szCs w:val="22"/>
        </w:rPr>
        <w:t xml:space="preserve">What are the two types of corrosion it checks for, and why does it need two engines?</w:t>
      </w:r>
    </w:p>
    <w:p>
      <w:pPr>
        <w:spacing w:after="80" w:before="0"/>
      </w:pPr>
      <w:r>
        <w:rPr>
          <w:rFonts w:ascii="Arial" w:cs="Arial" w:eastAsia="Arial" w:hAnsi="Arial"/>
          <w:b/>
          <w:bCs/>
          <w:color w:val="1F3864"/>
          <w:sz w:val="22"/>
          <w:szCs w:val="22"/>
        </w:rPr>
        <w:t xml:space="preserve">Q7  </w:t>
      </w:r>
      <w:r>
        <w:rPr>
          <w:rFonts w:ascii="Arial" w:cs="Arial" w:eastAsia="Arial" w:hAnsi="Arial"/>
          <w:sz w:val="22"/>
          <w:szCs w:val="22"/>
        </w:rPr>
        <w:t xml:space="preserve">What data does our IFC model need to contain for the tool to work?</w:t>
      </w:r>
    </w:p>
    <w:p>
      <w:pPr>
        <w:spacing w:after="80" w:before="0"/>
      </w:pPr>
      <w:r>
        <w:rPr>
          <w:rFonts w:ascii="Arial" w:cs="Arial" w:eastAsia="Arial" w:hAnsi="Arial"/>
          <w:b/>
          <w:bCs/>
          <w:color w:val="1F3864"/>
          <w:sz w:val="22"/>
          <w:szCs w:val="22"/>
        </w:rPr>
        <w:t xml:space="preserve">Q10  </w:t>
      </w:r>
      <w:r>
        <w:rPr>
          <w:rFonts w:ascii="Arial" w:cs="Arial" w:eastAsia="Arial" w:hAnsi="Arial"/>
          <w:sz w:val="22"/>
          <w:szCs w:val="22"/>
        </w:rPr>
        <w:t xml:space="preserve">How do the risk scores work? What does 0.89 mean?</w:t>
      </w:r>
    </w:p>
    <w:p>
      <w:pPr>
        <w:spacing w:after="80" w:before="0"/>
      </w:pPr>
      <w:r>
        <w:rPr>
          <w:rFonts w:ascii="Arial" w:cs="Arial" w:eastAsia="Arial" w:hAnsi="Arial"/>
          <w:b/>
          <w:bCs/>
          <w:color w:val="1F3864"/>
          <w:sz w:val="22"/>
          <w:szCs w:val="22"/>
        </w:rPr>
        <w:t xml:space="preserve">Q12  </w:t>
      </w:r>
      <w:r>
        <w:rPr>
          <w:rFonts w:ascii="Arial" w:cs="Arial" w:eastAsia="Arial" w:hAnsi="Arial"/>
          <w:sz w:val="22"/>
          <w:szCs w:val="22"/>
        </w:rPr>
        <w:t xml:space="preserve">Can we upload our own cost rates? Our project rates are different from your defaults.</w:t>
      </w:r>
    </w:p>
    <w:p>
      <w:pPr>
        <w:spacing w:after="80" w:before="0"/>
      </w:pPr>
      <w:r>
        <w:rPr>
          <w:rFonts w:ascii="Arial" w:cs="Arial" w:eastAsia="Arial" w:hAnsi="Arial"/>
          <w:b/>
          <w:bCs/>
          <w:color w:val="1F3864"/>
          <w:sz w:val="22"/>
          <w:szCs w:val="22"/>
        </w:rPr>
        <w:t xml:space="preserve">Q14  </w:t>
      </w:r>
      <w:r>
        <w:rPr>
          <w:rFonts w:ascii="Arial" w:cs="Arial" w:eastAsia="Arial" w:hAnsi="Arial"/>
          <w:sz w:val="22"/>
          <w:szCs w:val="22"/>
        </w:rPr>
        <w:t xml:space="preserve">What is the MIC module and why is it included alongside corrosion checking?</w:t>
      </w:r>
    </w:p>
    <w:p>
      <w:pPr>
        <w:spacing w:after="80" w:before="160"/>
      </w:pPr>
      <w:r>
        <w:rPr>
          <w:rFonts w:ascii="Arial" w:cs="Arial" w:eastAsia="Arial" w:hAnsi="Arial"/>
          <w:b/>
          <w:bCs/>
          <w:color w:val="2E75B6"/>
          <w:sz w:val="22"/>
          <w:szCs w:val="22"/>
        </w:rPr>
        <w:t xml:space="preserve">Commercial</w:t>
      </w:r>
    </w:p>
    <w:p>
      <w:pPr>
        <w:spacing w:after="80" w:before="0"/>
      </w:pPr>
      <w:r>
        <w:rPr>
          <w:rFonts w:ascii="Arial" w:cs="Arial" w:eastAsia="Arial" w:hAnsi="Arial"/>
          <w:b/>
          <w:bCs/>
          <w:color w:val="1F3864"/>
          <w:sz w:val="22"/>
          <w:szCs w:val="22"/>
        </w:rPr>
        <w:t xml:space="preserve">Q4  </w:t>
      </w:r>
      <w:r>
        <w:rPr>
          <w:rFonts w:ascii="Arial" w:cs="Arial" w:eastAsia="Arial" w:hAnsi="Arial"/>
          <w:sz w:val="22"/>
          <w:szCs w:val="22"/>
        </w:rPr>
        <w:t xml:space="preserve">What is the return on investment? How do you justify the cost?</w:t>
      </w:r>
    </w:p>
    <w:p>
      <w:pPr>
        <w:spacing w:after="80" w:before="0"/>
      </w:pPr>
      <w:r>
        <w:rPr>
          <w:rFonts w:ascii="Arial" w:cs="Arial" w:eastAsia="Arial" w:hAnsi="Arial"/>
          <w:b/>
          <w:bCs/>
          <w:color w:val="1F3864"/>
          <w:sz w:val="22"/>
          <w:szCs w:val="22"/>
        </w:rPr>
        <w:t xml:space="preserve">Q9  </w:t>
      </w:r>
      <w:r>
        <w:rPr>
          <w:rFonts w:ascii="Arial" w:cs="Arial" w:eastAsia="Arial" w:hAnsi="Arial"/>
          <w:sz w:val="22"/>
          <w:szCs w:val="22"/>
        </w:rPr>
        <w:t xml:space="preserve">Does this replace our corrosion engineer?</w:t>
      </w:r>
    </w:p>
    <w:p>
      <w:pPr>
        <w:spacing w:after="80" w:before="0"/>
      </w:pPr>
      <w:r>
        <w:rPr>
          <w:rFonts w:ascii="Arial" w:cs="Arial" w:eastAsia="Arial" w:hAnsi="Arial"/>
          <w:b/>
          <w:bCs/>
          <w:color w:val="1F3864"/>
          <w:sz w:val="22"/>
          <w:szCs w:val="22"/>
        </w:rPr>
        <w:t xml:space="preserve">Q19  </w:t>
      </w:r>
      <w:r>
        <w:rPr>
          <w:rFonts w:ascii="Arial" w:cs="Arial" w:eastAsia="Arial" w:hAnsi="Arial"/>
          <w:sz w:val="22"/>
          <w:szCs w:val="22"/>
        </w:rPr>
        <w:t xml:space="preserve">Can this be applied to existing buildings, not just new-build projects?</w:t>
      </w:r>
    </w:p>
    <w:p>
      <w:pPr>
        <w:spacing w:after="80" w:before="160"/>
      </w:pPr>
      <w:r>
        <w:rPr>
          <w:rFonts w:ascii="Arial" w:cs="Arial" w:eastAsia="Arial" w:hAnsi="Arial"/>
          <w:b/>
          <w:bCs/>
          <w:color w:val="2E75B6"/>
          <w:sz w:val="22"/>
          <w:szCs w:val="22"/>
        </w:rPr>
        <w:t xml:space="preserve">Regulatory</w:t>
      </w:r>
    </w:p>
    <w:p>
      <w:pPr>
        <w:spacing w:after="80" w:before="0"/>
      </w:pPr>
      <w:r>
        <w:rPr>
          <w:rFonts w:ascii="Arial" w:cs="Arial" w:eastAsia="Arial" w:hAnsi="Arial"/>
          <w:b/>
          <w:bCs/>
          <w:color w:val="1F3864"/>
          <w:sz w:val="22"/>
          <w:szCs w:val="22"/>
        </w:rPr>
        <w:t xml:space="preserve">Q6  </w:t>
      </w:r>
      <w:r>
        <w:rPr>
          <w:rFonts w:ascii="Arial" w:cs="Arial" w:eastAsia="Arial" w:hAnsi="Arial"/>
          <w:sz w:val="22"/>
          <w:szCs w:val="22"/>
        </w:rPr>
        <w:t xml:space="preserve">How does this help us with the Building Safety Act and the Golden Thread?</w:t>
      </w:r>
    </w:p>
    <w:p>
      <w:pPr>
        <w:spacing w:after="80" w:before="0"/>
      </w:pPr>
      <w:r>
        <w:rPr>
          <w:rFonts w:ascii="Arial" w:cs="Arial" w:eastAsia="Arial" w:hAnsi="Arial"/>
          <w:b/>
          <w:bCs/>
          <w:color w:val="1F3864"/>
          <w:sz w:val="22"/>
          <w:szCs w:val="22"/>
        </w:rPr>
        <w:t xml:space="preserve">Q17  </w:t>
      </w:r>
      <w:r>
        <w:rPr>
          <w:rFonts w:ascii="Arial" w:cs="Arial" w:eastAsia="Arial" w:hAnsi="Arial"/>
          <w:sz w:val="22"/>
          <w:szCs w:val="22"/>
        </w:rPr>
        <w:t xml:space="preserve">What standards does BIMGUARD AI reference, and are they internationally recognised?</w:t>
      </w:r>
    </w:p>
    <w:p>
      <w:pPr>
        <w:spacing w:after="80" w:before="160"/>
      </w:pPr>
      <w:r>
        <w:rPr>
          <w:rFonts w:ascii="Arial" w:cs="Arial" w:eastAsia="Arial" w:hAnsi="Arial"/>
          <w:b/>
          <w:bCs/>
          <w:color w:val="2E75B6"/>
          <w:sz w:val="22"/>
          <w:szCs w:val="22"/>
        </w:rPr>
        <w:t xml:space="preserve">Operational</w:t>
      </w:r>
    </w:p>
    <w:p>
      <w:pPr>
        <w:spacing w:after="80" w:before="0"/>
      </w:pPr>
      <w:r>
        <w:rPr>
          <w:rFonts w:ascii="Arial" w:cs="Arial" w:eastAsia="Arial" w:hAnsi="Arial"/>
          <w:b/>
          <w:bCs/>
          <w:color w:val="1F3864"/>
          <w:sz w:val="22"/>
          <w:szCs w:val="22"/>
        </w:rPr>
        <w:t xml:space="preserve">Q5  </w:t>
      </w:r>
      <w:r>
        <w:rPr>
          <w:rFonts w:ascii="Arial" w:cs="Arial" w:eastAsia="Arial" w:hAnsi="Arial"/>
          <w:sz w:val="22"/>
          <w:szCs w:val="22"/>
        </w:rPr>
        <w:t xml:space="preserve">How long does a compliance check take to run?</w:t>
      </w:r>
    </w:p>
    <w:p>
      <w:pPr>
        <w:spacing w:after="80" w:before="0"/>
      </w:pPr>
      <w:r>
        <w:rPr>
          <w:rFonts w:ascii="Arial" w:cs="Arial" w:eastAsia="Arial" w:hAnsi="Arial"/>
          <w:b/>
          <w:bCs/>
          <w:color w:val="1F3864"/>
          <w:sz w:val="22"/>
          <w:szCs w:val="22"/>
        </w:rPr>
        <w:t xml:space="preserve">Q8  </w:t>
      </w:r>
      <w:r>
        <w:rPr>
          <w:rFonts w:ascii="Arial" w:cs="Arial" w:eastAsia="Arial" w:hAnsi="Arial"/>
          <w:sz w:val="22"/>
          <w:szCs w:val="22"/>
        </w:rPr>
        <w:t xml:space="preserve">What does a BCF issue actually look like, and what does the engineer do with it?</w:t>
      </w:r>
    </w:p>
    <w:p>
      <w:pPr>
        <w:spacing w:after="80" w:before="0"/>
      </w:pPr>
      <w:r>
        <w:rPr>
          <w:rFonts w:ascii="Arial" w:cs="Arial" w:eastAsia="Arial" w:hAnsi="Arial"/>
          <w:b/>
          <w:bCs/>
          <w:color w:val="1F3864"/>
          <w:sz w:val="22"/>
          <w:szCs w:val="22"/>
        </w:rPr>
        <w:t xml:space="preserve">Q13  </w:t>
      </w:r>
      <w:r>
        <w:rPr>
          <w:rFonts w:ascii="Arial" w:cs="Arial" w:eastAsia="Arial" w:hAnsi="Arial"/>
          <w:sz w:val="22"/>
          <w:szCs w:val="22"/>
        </w:rPr>
        <w:t xml:space="preserve">How does it integrate with Plannerly?</w:t>
      </w:r>
    </w:p>
    <w:p>
      <w:pPr>
        <w:spacing w:after="80" w:before="0"/>
      </w:pPr>
      <w:r>
        <w:rPr>
          <w:rFonts w:ascii="Arial" w:cs="Arial" w:eastAsia="Arial" w:hAnsi="Arial"/>
          <w:b/>
          <w:bCs/>
          <w:color w:val="1F3864"/>
          <w:sz w:val="22"/>
          <w:szCs w:val="22"/>
        </w:rPr>
        <w:t xml:space="preserve">Q16  </w:t>
      </w:r>
      <w:r>
        <w:rPr>
          <w:rFonts w:ascii="Arial" w:cs="Arial" w:eastAsia="Arial" w:hAnsi="Arial"/>
          <w:sz w:val="22"/>
          <w:szCs w:val="22"/>
        </w:rPr>
        <w:t xml:space="preserve">Can we export a report to give to our client or pass to our design team?</w:t>
      </w:r>
    </w:p>
    <w:p>
      <w:pPr>
        <w:spacing w:after="80" w:before="160"/>
      </w:pPr>
      <w:r>
        <w:rPr>
          <w:rFonts w:ascii="Arial" w:cs="Arial" w:eastAsia="Arial" w:hAnsi="Arial"/>
          <w:b/>
          <w:bCs/>
          <w:color w:val="2E75B6"/>
          <w:sz w:val="22"/>
          <w:szCs w:val="22"/>
        </w:rPr>
        <w:t xml:space="preserve">Strategic</w:t>
      </w:r>
    </w:p>
    <w:p>
      <w:pPr>
        <w:spacing w:after="80" w:before="0"/>
      </w:pPr>
      <w:r>
        <w:rPr>
          <w:rFonts w:ascii="Arial" w:cs="Arial" w:eastAsia="Arial" w:hAnsi="Arial"/>
          <w:b/>
          <w:bCs/>
          <w:color w:val="1F3864"/>
          <w:sz w:val="22"/>
          <w:szCs w:val="22"/>
        </w:rPr>
        <w:t xml:space="preserve">Q11  </w:t>
      </w:r>
      <w:r>
        <w:rPr>
          <w:rFonts w:ascii="Arial" w:cs="Arial" w:eastAsia="Arial" w:hAnsi="Arial"/>
          <w:sz w:val="22"/>
          <w:szCs w:val="22"/>
        </w:rPr>
        <w:t xml:space="preserve">What types of projects is this most valuable on?</w:t>
      </w:r>
    </w:p>
    <w:p>
      <w:pPr>
        <w:spacing w:after="80" w:before="0"/>
      </w:pPr>
      <w:r>
        <w:rPr>
          <w:rFonts w:ascii="Arial" w:cs="Arial" w:eastAsia="Arial" w:hAnsi="Arial"/>
          <w:b/>
          <w:bCs/>
          <w:color w:val="1F3864"/>
          <w:sz w:val="22"/>
          <w:szCs w:val="22"/>
        </w:rPr>
        <w:t xml:space="preserve">Q15  </w:t>
      </w:r>
      <w:r>
        <w:rPr>
          <w:rFonts w:ascii="Arial" w:cs="Arial" w:eastAsia="Arial" w:hAnsi="Arial"/>
          <w:sz w:val="22"/>
          <w:szCs w:val="22"/>
        </w:rPr>
        <w:t xml:space="preserve">How is this different from a standard Legionella risk assessment?</w:t>
      </w:r>
    </w:p>
    <w:p>
      <w:pPr>
        <w:spacing w:after="80" w:before="0"/>
      </w:pPr>
      <w:r>
        <w:rPr>
          <w:rFonts w:ascii="Arial" w:cs="Arial" w:eastAsia="Arial" w:hAnsi="Arial"/>
          <w:b/>
          <w:bCs/>
          <w:color w:val="1F3864"/>
          <w:sz w:val="22"/>
          <w:szCs w:val="22"/>
        </w:rPr>
        <w:t xml:space="preserve">Q18  </w:t>
      </w:r>
      <w:r>
        <w:rPr>
          <w:rFonts w:ascii="Arial" w:cs="Arial" w:eastAsia="Arial" w:hAnsi="Arial"/>
          <w:sz w:val="22"/>
          <w:szCs w:val="22"/>
        </w:rPr>
        <w:t xml:space="preserve">What are the limitations of the tool and what doesn't it check?</w:t>
      </w:r>
    </w:p>
    <w:p>
      <w:pPr>
        <w:spacing w:after="80" w:before="0"/>
      </w:pPr>
      <w:r>
        <w:rPr>
          <w:rFonts w:ascii="Arial" w:cs="Arial" w:eastAsia="Arial" w:hAnsi="Arial"/>
          <w:b/>
          <w:bCs/>
          <w:color w:val="1F3864"/>
          <w:sz w:val="22"/>
          <w:szCs w:val="22"/>
        </w:rPr>
        <w:t xml:space="preserve">Q20  </w:t>
      </w:r>
      <w:r>
        <w:rPr>
          <w:rFonts w:ascii="Arial" w:cs="Arial" w:eastAsia="Arial" w:hAnsi="Arial"/>
          <w:sz w:val="22"/>
          <w:szCs w:val="22"/>
        </w:rPr>
        <w:t xml:space="preserve">What is the development roadmap? Is this going to keep improving?</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120"/>
    </w:pPr>
    <w:r>
      <w:rPr>
        <w:rFonts w:ascii="Arial" w:cs="Arial" w:eastAsia="Arial" w:hAnsi="Arial"/>
        <w:color w:val="666666"/>
        <w:sz w:val="16"/>
        <w:szCs w:val="16"/>
      </w:rPr>
      <w:t xml:space="preserve">Masters in BIM Management  |  Group 5  |  Zigurat Global Institute of Technology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spacing w:after="120"/>
    </w:pPr>
    <w:r>
      <w:rPr>
        <w:rFonts w:ascii="Arial" w:cs="Arial" w:eastAsia="Arial" w:hAnsi="Arial"/>
        <w:color w:val="666666"/>
        <w:sz w:val="18"/>
        <w:szCs w:val="18"/>
      </w:rPr>
      <w:t xml:space="preserve">BIMGUARD AI  —  Client Q&amp;A Scripts  —  20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2026-04-08T19:02:15.197Z</dcterms:created>
  <dcterms:modified xsi:type="dcterms:W3CDTF">2026-04-08T19:02:15.198Z</dcterms:modified>
</cp:coreProperties>
</file>

<file path=docProps/custom.xml><?xml version="1.0" encoding="utf-8"?>
<Properties xmlns="http://schemas.openxmlformats.org/officeDocument/2006/custom-properties" xmlns:vt="http://schemas.openxmlformats.org/officeDocument/2006/docPropsVTypes"/>
</file>