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360" w:after="120"/>
      </w:pPr>
      <w:r>
        <w:rPr>
          <w:rFonts w:ascii="Arial" w:hAnsi="Arial" w:cs="Arial" w:eastAsia="Arial"/>
          <w:b/>
          <w:i w:val="0"/>
          <w:sz w:val="28"/>
        </w:rPr>
        <w:t>4.6  Blue Halo algorithm: seismic bracing clearance reservation</w:t>
      </w:r>
    </w:p>
    <w:p>
      <w:pPr>
        <w:pStyle w:val="Heading3"/>
        <w:spacing w:before="280" w:after="100"/>
      </w:pPr>
      <w:r>
        <w:rPr>
          <w:rFonts w:ascii="Arial" w:hAnsi="Arial" w:cs="Arial" w:eastAsia="Arial"/>
          <w:b/>
          <w:i w:val="0"/>
          <w:sz w:val="24"/>
        </w:rPr>
        <w:t>4.6.1  Motivation and problem statement</w:t>
      </w:r>
    </w:p>
    <w:p>
      <w:pPr>
        <w:spacing w:after="200"/>
        <w:jc w:val="both"/>
      </w:pPr>
      <w:r>
        <w:rPr>
          <w:rFonts w:ascii="Arial" w:hAnsi="Arial" w:cs="Arial" w:eastAsia="Arial"/>
          <w:b w:val="0"/>
          <w:i w:val="0"/>
          <w:sz w:val="22"/>
        </w:rPr>
        <w:t>At LOD 200 and LOD 300 the coordination model carries pipes, ducts and conduit, but not the space their seismic sway bracing will occupy. Restraint engineering arrives at LOD 350, once multi-trade coordination is largely settled, and braces are then resolved into space other services already hold. The cheapest remedy — moving the brace — is often the one the 30° to 60° angle window forbids.</w:t>
      </w:r>
    </w:p>
    <w:p>
      <w:pPr>
        <w:spacing w:after="200"/>
        <w:jc w:val="both"/>
      </w:pPr>
      <w:r>
        <w:rPr>
          <w:rFonts w:ascii="Arial" w:hAnsi="Arial" w:cs="Arial" w:eastAsia="Arial"/>
          <w:b w:val="0"/>
          <w:i w:val="0"/>
          <w:sz w:val="22"/>
        </w:rPr>
        <w:t>The BIMForum LOD Specification treats the clearance, not the brace, as the LOD 300 deliverable. At that level seismic and hanger allowance may be handled by model-checking software instead of modelled geometry, with physical size, shape and structural interface deferred to LOD 350 (BIMForum, 2025). A non-graphical volume standing in for an unmodelled brace is therefore the sanctioned representation at the level BIMGUARD AI targets, not a workaround.</w:t>
      </w:r>
    </w:p>
    <w:p>
      <w:pPr>
        <w:spacing w:after="200"/>
        <w:jc w:val="both"/>
      </w:pPr>
      <w:r>
        <w:rPr>
          <w:rFonts w:ascii="Arial" w:hAnsi="Arial" w:cs="Arial" w:eastAsia="Arial"/>
          <w:b w:val="0"/>
          <w:i w:val="0"/>
          <w:sz w:val="22"/>
        </w:rPr>
        <w:t>The cost of deferring is documented. Mehrbod et al. (2019) recorded a duct-to-cable-tray clash that took over three weeks to close, and a reroute estimated at two weeks that ran to six once the ducts were installed; roughly a third of the clashes they logged were still open when coordination ended. The same study ranks trade flexibility — structure moves least, ductwork and electrical most — and Blue Halo uses that ordering when proposing resolutions.</w:t>
      </w:r>
    </w:p>
    <w:p>
      <w:pPr>
        <w:pStyle w:val="Heading3"/>
        <w:spacing w:before="280" w:after="100"/>
      </w:pPr>
      <w:r>
        <w:rPr>
          <w:rFonts w:ascii="Arial" w:hAnsi="Arial" w:cs="Arial" w:eastAsia="Arial"/>
          <w:b/>
          <w:i w:val="0"/>
          <w:sz w:val="24"/>
        </w:rPr>
        <w:t>4.6.2  Algorithm architecture</w:t>
      </w:r>
    </w:p>
    <w:p>
      <w:pPr>
        <w:spacing w:after="200"/>
        <w:jc w:val="both"/>
      </w:pPr>
      <w:r>
        <w:rPr>
          <w:rFonts w:ascii="Arial" w:hAnsi="Arial" w:cs="Arial" w:eastAsia="Arial"/>
          <w:b w:val="0"/>
          <w:i w:val="0"/>
          <w:sz w:val="22"/>
        </w:rPr>
        <w:t>Blue Halo holds no jurisdiction values in code. The engine loads a JSON configuration at runtime, and every threshold it applies comes from that file. Inputs are the IFC element set (IfcPipeSegment, IfcDuctSegment and related IfcFlowSegment subtypes; ISO, 2024), a brace family, a jurisdiction configuration, a seismic demand parameter and the occupancy risk category. Outputs are Halo volumes per brace node, a ranked conflict list, and a BCF 2.1 issue file.</w:t>
      </w:r>
    </w:p>
    <w:p>
      <w:pPr>
        <w:spacing w:after="200"/>
        <w:jc w:val="both"/>
      </w:pPr>
      <w:r>
        <w:rPr>
          <w:rFonts w:ascii="Arial" w:hAnsi="Arial" w:cs="Arial" w:eastAsia="Arial"/>
          <w:b w:val="0"/>
          <w:i w:val="0"/>
          <w:sz w:val="22"/>
        </w:rPr>
        <w:t>The pipeline runs in five steps. Threshold filtering removes exempt runs. Zone-of-influence nodes are placed along each surviving centreline at the configured intervals, shortened near bends and tees. A ray is cast from each node at the configured angle to the nearest structural surface. The Halo is built as a prism swept along that ray and capped by an anchor reservation sized from ACI 318-19 Chapter 17 edge-distance and spacing rules (ACI, 2019). The volume is then tested against all non-host geometry.</w:t>
      </w:r>
    </w:p>
    <w:p>
      <w:pPr>
        <w:spacing w:after="200"/>
        <w:jc w:val="both"/>
      </w:pPr>
      <w:r>
        <w:rPr>
          <w:rFonts w:ascii="Arial" w:hAnsi="Arial" w:cs="Arial" w:eastAsia="Arial"/>
          <w:b w:val="0"/>
          <w:i w:val="0"/>
          <w:sz w:val="22"/>
        </w:rPr>
        <w:t>Adding a jurisdiction means adding a configuration file, not changing the engine.</w:t>
      </w:r>
    </w:p>
    <w:p>
      <w:pPr>
        <w:pStyle w:val="Heading3"/>
        <w:spacing w:before="280" w:after="100"/>
      </w:pPr>
      <w:r>
        <w:rPr>
          <w:rFonts w:ascii="Arial" w:hAnsi="Arial" w:cs="Arial" w:eastAsia="Arial"/>
          <w:b/>
          <w:i w:val="0"/>
          <w:sz w:val="24"/>
        </w:rPr>
        <w:t>4.6.3  Brace families and clearance calculation</w:t>
      </w:r>
    </w:p>
    <w:p>
      <w:pPr>
        <w:spacing w:after="200"/>
        <w:jc w:val="both"/>
      </w:pPr>
      <w:r>
        <w:rPr>
          <w:rFonts w:ascii="Arial" w:hAnsi="Arial" w:cs="Arial" w:eastAsia="Arial"/>
          <w:b w:val="0"/>
          <w:i w:val="0"/>
          <w:sz w:val="22"/>
        </w:rPr>
        <w:t>Three families cover MEP distribution work: rigid steel angle, tension-only cable in opposing pairs, and threaded rod with a stiffener. Each has a different member envelope and so a different Halo footprint. The volume for a node is the member envelope plus the attachment zone plus a buffer of four configuration terms: a base allowance, a seismic-demand addition, an occupancy addition, and an adjacent-system separation.</w:t>
      </w:r>
    </w:p>
    <w:p>
      <w:pPr>
        <w:spacing w:after="200"/>
        <w:jc w:val="both"/>
      </w:pPr>
      <w:r>
        <w:rPr>
          <w:rFonts w:ascii="Arial" w:hAnsi="Arial" w:cs="Arial" w:eastAsia="Arial"/>
          <w:b w:val="0"/>
          <w:i w:val="0"/>
          <w:sz w:val="22"/>
        </w:rPr>
        <w:t>The angle window is 30° to 60° from horizontal, 45° nominal. Capacity falls as the member flattens: below 45° the brace steps up one nominal thickness, above 60° the spacing shortens to 0.75 of the tabulated maximum (SMACNA, 2024). Mason Industries (2018) permits ±15° of skew in plan, which the algorithm uses as its search envelope when a ray misses structure.</w:t>
      </w:r>
    </w:p>
    <w:p>
      <w:pPr>
        <w:spacing w:after="80"/>
      </w:pPr>
    </w:p>
    <w:p>
      <w:pPr>
        <w:spacing w:after="120"/>
        <w:jc w:val="both"/>
      </w:pPr>
      <w:r>
        <w:rPr>
          <w:rFonts w:ascii="Arial" w:hAnsi="Arial" w:cs="Arial" w:eastAsia="Arial"/>
          <w:b w:val="0"/>
          <w:i w:val="0"/>
          <w:sz w:val="22"/>
        </w:rPr>
        <w:t>Table 4.6.1: Brace family comparison and default Halo footprints (Blue Halo v0.1, ASCE 7-22 / SMACNA baseline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1650"/>
        <w:gridCol w:w="2126"/>
        <w:gridCol w:w="1200"/>
      </w:tblGrid>
      <w:tr>
        <w:trPr>
          <w:tblHeader/>
        </w:trPr>
        <w:tc>
          <w:tcPr>
            <w:tcW w:type="dxa" w:w="1733"/>
            <w:tcW w:type="dxa" w:w="175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Brace family</w:t>
            </w:r>
          </w:p>
        </w:tc>
        <w:tc>
          <w:tcPr>
            <w:tcW w:type="dxa" w:w="1733"/>
            <w:tcW w:type="dxa" w:w="23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Member envelope</w:t>
            </w:r>
          </w:p>
        </w:tc>
        <w:tc>
          <w:tcPr>
            <w:tcW w:type="dxa" w:w="1733"/>
            <w:tcW w:type="dxa" w:w="165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Default Halo footprint</w:t>
            </w:r>
          </w:p>
        </w:tc>
        <w:tc>
          <w:tcPr>
            <w:tcW w:type="dxa" w:w="1733"/>
            <w:tcW w:type="dxa" w:w="212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Attachment reservation</w:t>
            </w:r>
          </w:p>
        </w:tc>
        <w:tc>
          <w:tcPr>
            <w:tcW w:type="dxa" w:w="1733"/>
            <w:tcW w:type="dxa" w:w="12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Relative material cost</w:t>
            </w:r>
          </w:p>
        </w:tc>
      </w:tr>
      <w:tr>
        <w:tc>
          <w:tcPr>
            <w:tcW w:type="dxa" w:w="1733"/>
            <w:tcW w:type="dxa" w:w="1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Angle iron (rigid)</w:t>
            </w:r>
          </w:p>
        </w:tc>
        <w:tc>
          <w:tcPr>
            <w:tcW w:type="dxa" w:w="1733"/>
            <w:tcW w:type="dxa" w:w="23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L50×50×5 to L100×100×8 mm; assembly 100–150 mm</w:t>
            </w:r>
          </w:p>
        </w:tc>
        <w:tc>
          <w:tcPr>
            <w:tcW w:type="dxa" w:w="1733"/>
            <w:tcW w:type="dxa" w:w="16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380 × 380 mm</w:t>
            </w:r>
          </w:p>
        </w:tc>
        <w:tc>
          <w:tcPr>
            <w:tcW w:type="dxa" w:w="1733"/>
            <w:tcW w:type="dxa" w:w="21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305 × 229 mm to 381 × 305 mm base plate</w:t>
            </w:r>
          </w:p>
        </w:tc>
        <w:tc>
          <w:tcPr>
            <w:tcW w:type="dxa" w:w="1733"/>
            <w:tcW w:type="dxa" w:w="1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1.00 (datum)</w:t>
            </w:r>
          </w:p>
        </w:tc>
      </w:tr>
      <w:tr>
        <w:tc>
          <w:tcPr>
            <w:tcW w:type="dxa" w:w="1733"/>
            <w:tcW w:type="dxa" w:w="1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Cable (tension-only, opposing pairs)</w:t>
            </w:r>
          </w:p>
        </w:tc>
        <w:tc>
          <w:tcPr>
            <w:tcW w:type="dxa" w:w="1733"/>
            <w:tcW w:type="dxa" w:w="23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1.5–9.5 mm diameter; 25–50 mm with fittings</w:t>
            </w:r>
          </w:p>
        </w:tc>
        <w:tc>
          <w:tcPr>
            <w:tcW w:type="dxa" w:w="1733"/>
            <w:tcW w:type="dxa" w:w="16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120 × 120 mm</w:t>
            </w:r>
          </w:p>
        </w:tc>
        <w:tc>
          <w:tcPr>
            <w:tcW w:type="dxa" w:w="1733"/>
            <w:tcW w:type="dxa" w:w="21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Eye fitting or small plate, 50–100 mm</w:t>
            </w:r>
          </w:p>
        </w:tc>
        <w:tc>
          <w:tcPr>
            <w:tcW w:type="dxa" w:w="1733"/>
            <w:tcW w:type="dxa" w:w="1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0.85</w:t>
            </w:r>
          </w:p>
        </w:tc>
      </w:tr>
      <w:tr>
        <w:tc>
          <w:tcPr>
            <w:tcW w:type="dxa" w:w="1733"/>
            <w:tcW w:type="dxa" w:w="1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Threaded rod with stiffener</w:t>
            </w:r>
          </w:p>
        </w:tc>
        <w:tc>
          <w:tcPr>
            <w:tcW w:type="dxa" w:w="1733"/>
            <w:tcW w:type="dxa" w:w="23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9.5–22 mm diameter; 25–75 mm with stiffener</w:t>
            </w:r>
          </w:p>
        </w:tc>
        <w:tc>
          <w:tcPr>
            <w:tcW w:type="dxa" w:w="1733"/>
            <w:tcW w:type="dxa" w:w="16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200 × 200 mm</w:t>
            </w:r>
          </w:p>
        </w:tc>
        <w:tc>
          <w:tcPr>
            <w:tcW w:type="dxa" w:w="1733"/>
            <w:tcW w:type="dxa" w:w="212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Anchor or beam clamp, 50–100 mm</w:t>
            </w:r>
          </w:p>
        </w:tc>
        <w:tc>
          <w:tcPr>
            <w:tcW w:type="dxa" w:w="1733"/>
            <w:tcW w:type="dxa" w:w="1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0.92</w:t>
            </w:r>
          </w:p>
        </w:tc>
      </w:tr>
    </w:tbl>
    <w:p>
      <w:pPr>
        <w:spacing w:after="80"/>
      </w:pPr>
    </w:p>
    <w:p>
      <w:pPr>
        <w:spacing w:after="240"/>
        <w:jc w:val="both"/>
      </w:pPr>
      <w:r>
        <w:rPr>
          <w:rFonts w:ascii="Arial" w:hAnsi="Arial" w:cs="Arial" w:eastAsia="Arial"/>
          <w:b w:val="0"/>
          <w:i w:val="0"/>
          <w:sz w:val="20"/>
        </w:rPr>
        <w:t>Footprints are conservative LOD 300 envelopes that shrink as detailed engineering proceeds. Member and plate ranges come from SMACNA (2024) and NFPA 13-2022 §18.5; the cost ratios are indicative only and carry a provisional tag.</w:t>
      </w:r>
    </w:p>
    <w:p>
      <w:pPr>
        <w:spacing w:after="80"/>
        <w:jc w:val="center"/>
      </w:pPr>
      <w:r>
        <w:drawing>
          <wp:inline xmlns:a="http://schemas.openxmlformats.org/drawingml/2006/main" xmlns:pic="http://schemas.openxmlformats.org/drawingml/2006/picture">
            <wp:extent cx="5669280" cy="1144783"/>
            <wp:docPr id="1" name="Picture 1"/>
            <wp:cNvGraphicFramePr>
              <a:graphicFrameLocks noChangeAspect="1"/>
            </wp:cNvGraphicFramePr>
            <a:graphic>
              <a:graphicData uri="http://schemas.openxmlformats.org/drawingml/2006/picture">
                <pic:pic>
                  <pic:nvPicPr>
                    <pic:cNvPr id="0" name="figure_4_6_1_halo_geometry.png"/>
                    <pic:cNvPicPr/>
                  </pic:nvPicPr>
                  <pic:blipFill>
                    <a:blip r:embed="rId10"/>
                    <a:stretch>
                      <a:fillRect/>
                    </a:stretch>
                  </pic:blipFill>
                  <pic:spPr>
                    <a:xfrm>
                      <a:off x="0" y="0"/>
                      <a:ext cx="5669280" cy="1144783"/>
                    </a:xfrm>
                    <a:prstGeom prst="rect"/>
                  </pic:spPr>
                </pic:pic>
              </a:graphicData>
            </a:graphic>
          </wp:inline>
        </w:drawing>
      </w:r>
    </w:p>
    <w:p>
      <w:pPr>
        <w:spacing w:after="120"/>
        <w:jc w:val="both"/>
      </w:pPr>
      <w:r>
        <w:rPr>
          <w:rFonts w:ascii="Arial" w:hAnsi="Arial" w:cs="Arial" w:eastAsia="Arial"/>
          <w:b w:val="0"/>
          <w:i w:val="0"/>
          <w:sz w:val="22"/>
        </w:rPr>
        <w:t>Figure 4.6.1: Halo clearance volume geometry in section for the three brace families, showing the 45° nominal brace vector, the swept reservation prism, and the anchor edge-distance reservation at the structural interface.</w:t>
      </w:r>
    </w:p>
    <w:p>
      <w:pPr>
        <w:pStyle w:val="Heading3"/>
        <w:spacing w:before="280" w:after="100"/>
      </w:pPr>
      <w:r>
        <w:rPr>
          <w:rFonts w:ascii="Arial" w:hAnsi="Arial" w:cs="Arial" w:eastAsia="Arial"/>
          <w:b/>
          <w:i w:val="0"/>
          <w:sz w:val="24"/>
        </w:rPr>
        <w:t>4.6.4  Jurisdiction configuration and value provenance</w:t>
      </w:r>
    </w:p>
    <w:p>
      <w:pPr>
        <w:spacing w:after="200"/>
        <w:jc w:val="both"/>
      </w:pPr>
      <w:r>
        <w:rPr>
          <w:rFonts w:ascii="Arial" w:hAnsi="Arial" w:cs="Arial" w:eastAsia="Arial"/>
          <w:b w:val="0"/>
          <w:i w:val="0"/>
          <w:sz w:val="22"/>
        </w:rPr>
        <w:t>Every configuration value carries a provenance tag. A normative value traces to a named clause; a derived value is computed from a normative one; a provisional value is an engineering default the Engineer of Record must confirm. The tag propagates into the BCF issue, so a conflict raised on a provisional value is reported as advisory, never as non-compliance. This preserves the White Box guarantee of §4.1: no compliance claim rests on an untraceable number.</w:t>
      </w:r>
    </w:p>
    <w:p>
      <w:pPr>
        <w:spacing w:after="200"/>
        <w:jc w:val="both"/>
      </w:pPr>
      <w:r>
        <w:rPr>
          <w:rFonts w:ascii="Arial" w:hAnsi="Arial" w:cs="Arial" w:eastAsia="Arial"/>
          <w:b w:val="0"/>
          <w:i w:val="0"/>
          <w:sz w:val="22"/>
        </w:rPr>
        <w:t>The shipped baseline is ASCE 7-22 with NFPA 13-2022 and SMACNA, because those documents publish prescriptive geometry. NFPA 13-2022 Chapter 18 caps transverse bracing at 40 ft (12.2 m) and longitudinal bracing at 80 ft (24.4 m) on sprinkler mains (NFPA, 2022). ASCE 7-22 §13.6.6 brings ductwork into scope above 0.56 m² or 17 lb/ft; §13.6.5 sets piping thresholds at 64 mm and 25 mm for Ip = 1.0 and 1.5 respectively (ASCE, 2022).</w:t>
      </w:r>
    </w:p>
    <w:p>
      <w:pPr>
        <w:spacing w:after="200"/>
        <w:jc w:val="both"/>
      </w:pPr>
      <w:r>
        <w:rPr>
          <w:rFonts w:ascii="Arial" w:hAnsi="Arial" w:cs="Arial" w:eastAsia="Arial"/>
          <w:b w:val="0"/>
          <w:i w:val="0"/>
          <w:sz w:val="22"/>
        </w:rPr>
        <w:t>The European configuration differs in kind. EN 1998-1:2004+A2:2011 §4.3.5 governs non-structural elements through a force-based route, with an importance factor γa of 1.5 where failure poses a risk to life and 1.0 otherwise (CEN, 2011). It publishes no prescriptive spacing or member-size tables equivalent to NFPA 13 Chapter 18. The European configuration therefore takes its demand basis from the Eurocode and its geometry from SMACNA, tagging that geometry derived rather than normative.</w:t>
      </w:r>
    </w:p>
    <w:p>
      <w:pPr>
        <w:spacing w:after="200"/>
        <w:jc w:val="both"/>
      </w:pPr>
      <w:r>
        <w:rPr>
          <w:rFonts w:ascii="Arial" w:hAnsi="Arial" w:cs="Arial" w:eastAsia="Arial"/>
          <w:b w:val="0"/>
          <w:i w:val="0"/>
          <w:sz w:val="22"/>
        </w:rPr>
        <w:t>DIN 4149:2005-04 shows why the tag matters. DIN withdrew it in 2011 in favour of DIN EN 1998-1:2010-12 and its National Annex, since revised to NA:2023-11 with a higher-resolution subsoil classification map (DIN, 2005; DIN, 2023). The newer Annexes have not been introduced into the Technische Baubestimmungen in every Land, so the withdrawn 2005 standard can still be the document a German Authority Having Jurisdiction enforces. Blue Halo therefore records edition currency and jurisdiction status as separate fields and flags the divergence, rather than silently taking the newer edition.</w:t>
      </w:r>
    </w:p>
    <w:p>
      <w:pPr>
        <w:spacing w:after="80"/>
      </w:pPr>
    </w:p>
    <w:p>
      <w:pPr>
        <w:spacing w:after="120"/>
        <w:jc w:val="both"/>
      </w:pPr>
      <w:r>
        <w:rPr>
          <w:rFonts w:ascii="Arial" w:hAnsi="Arial" w:cs="Arial" w:eastAsia="Arial"/>
          <w:b w:val="0"/>
          <w:i w:val="0"/>
          <w:sz w:val="22"/>
        </w:rPr>
        <w:t>Table 4.6.2: Configuration parameter comparison across jurisdictions, with the provenance tag Blue Halo assigns to each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50"/>
        <w:gridCol w:w="2600"/>
        <w:gridCol w:w="1876"/>
      </w:tblGrid>
      <w:tr>
        <w:trPr>
          <w:tblHeader/>
        </w:trPr>
        <w:tc>
          <w:tcPr>
            <w:tcW w:type="dxa" w:w="2166"/>
            <w:tcW w:type="dxa" w:w="18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Parameter</w:t>
            </w:r>
          </w:p>
        </w:tc>
        <w:tc>
          <w:tcPr>
            <w:tcW w:type="dxa" w:w="2166"/>
            <w:tcW w:type="dxa" w:w="275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ASCE 7-22 / NFPA 13-2022 baseline</w:t>
            </w:r>
          </w:p>
        </w:tc>
        <w:tc>
          <w:tcPr>
            <w:tcW w:type="dxa" w:w="2166"/>
            <w:tcW w:type="dxa" w:w="26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EN 1998-1:2004+A2:2011 configuration</w:t>
            </w:r>
          </w:p>
        </w:tc>
        <w:tc>
          <w:tcPr>
            <w:tcW w:type="dxa" w:w="2166"/>
            <w:tcW w:type="dxa" w:w="187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Provenance tag</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Basis of seismic demand</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Fp from ap, Rp, SDS, Ip, z/h (ASCE 7-22 Ch. 13)</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Fa from Sa, Wa, γa, qa (EN 1998-1 §4.3.5)</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normative</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Occupancy multiplier</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Ip = 1.5 for life-safety, hazardous and Risk Category IV; otherwise 1.0</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γa = 1.5 where failure poses a life-safety risk; otherwise 1.0</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normative</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Max transverse spacing</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40 ft (12.2 m), NFPA 13-2022 Ch. 18</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prescribed; SMACNA value inherited</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derived</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Max longitudinal spacing</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80 ft (24.4 m), NFPA 13-2022 Ch. 18</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prescribed; SMACNA value inherited</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derived</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Piping threshold</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64 mm at Ip = 1.0; 25 mm at Ip = 1.5 (ASCE 7-22 §13.6.5)</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prescribed; ASCE value inherited</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derived</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Duct threshold</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0.56 m² or 17 lb/ft (ASCE 7-22 §13.6.6)</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Not prescribed; ASCE value inherited</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derived</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Brace angle window</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30°–60°, 45° nominal (SMACNA; FEMA P-414)</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Same; no Eurocode equivalent located</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normative / derived</w:t>
            </w:r>
          </w:p>
        </w:tc>
      </w:tr>
      <w:tr>
        <w:tc>
          <w:tcPr>
            <w:tcW w:type="dxa" w:w="2166"/>
            <w:tcW w:type="dxa" w:w="18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Clearance to adjacent systems</w:t>
            </w:r>
          </w:p>
        </w:tc>
        <w:tc>
          <w:tcPr>
            <w:tcW w:type="dxa" w:w="2166"/>
            <w:tcW w:type="dxa" w:w="27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 codified generic value; 75 mm default</w:t>
            </w:r>
          </w:p>
        </w:tc>
        <w:tc>
          <w:tcPr>
            <w:tcW w:type="dxa" w:w="2166"/>
            <w:tcW w:type="dxa" w:w="26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No codified generic value; 75 mm default</w:t>
            </w:r>
          </w:p>
        </w:tc>
        <w:tc>
          <w:tcPr>
            <w:tcW w:type="dxa" w:w="2166"/>
            <w:tcW w:type="dxa" w:w="18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provisional / provisional</w:t>
            </w:r>
          </w:p>
        </w:tc>
      </w:tr>
    </w:tbl>
    <w:p>
      <w:pPr>
        <w:spacing w:after="80"/>
      </w:pPr>
    </w:p>
    <w:p>
      <w:pPr>
        <w:spacing w:after="240"/>
        <w:jc w:val="both"/>
      </w:pPr>
      <w:r>
        <w:rPr>
          <w:rFonts w:ascii="Arial" w:hAnsi="Arial" w:cs="Arial" w:eastAsia="Arial"/>
          <w:b w:val="0"/>
          <w:i w:val="0"/>
          <w:sz w:val="20"/>
        </w:rPr>
        <w:t>A new jurisdiction is one file written against this schema. No value may be left blank: an unresearched parameter is entered as provisional, with a note naming what to verify.</w:t>
      </w:r>
    </w:p>
    <w:p>
      <w:pPr>
        <w:pStyle w:val="Heading3"/>
        <w:spacing w:before="280" w:after="100"/>
      </w:pPr>
      <w:r>
        <w:rPr>
          <w:rFonts w:ascii="Arial" w:hAnsi="Arial" w:cs="Arial" w:eastAsia="Arial"/>
          <w:b/>
          <w:i w:val="0"/>
          <w:sz w:val="24"/>
        </w:rPr>
        <w:t>4.6.5  Spatial conflict detection and resolution</w:t>
      </w:r>
    </w:p>
    <w:p>
      <w:pPr>
        <w:spacing w:after="200"/>
        <w:jc w:val="both"/>
      </w:pPr>
      <w:r>
        <w:rPr>
          <w:rFonts w:ascii="Arial" w:hAnsi="Arial" w:cs="Arial" w:eastAsia="Arial"/>
          <w:b w:val="0"/>
          <w:i w:val="0"/>
          <w:sz w:val="22"/>
        </w:rPr>
        <w:t>Detection uses a clearance test rather than a hard clash. The Halo is a reservation, so entry into the volume is the failure condition; there is no solid geometry to intersect. Severity follows what the volume meets. A Halo crossing primary structure or switchgear above 480 V is critical; one crossing reroutable distribution such as conduit or cable tray is medium. Overlap between two rigid Halos is critical unless the configuration permits a shared seismic node.</w:t>
      </w:r>
    </w:p>
    <w:p>
      <w:pPr>
        <w:spacing w:after="200"/>
        <w:jc w:val="both"/>
      </w:pPr>
      <w:r>
        <w:rPr>
          <w:rFonts w:ascii="Arial" w:hAnsi="Arial" w:cs="Arial" w:eastAsia="Arial"/>
          <w:b w:val="0"/>
          <w:i w:val="0"/>
          <w:sz w:val="22"/>
        </w:rPr>
        <w:t>Each conflict becomes a BCF 2.1 topic carrying the IfcGuid of every component involved, a viewpoint, and the clause or provenance tag behind the triggering value. Output is split near the 1,000-component threshold the specification identifies as a practical performance limit (buildingSMART International, 2021).</w:t>
      </w:r>
    </w:p>
    <w:p>
      <w:pPr>
        <w:spacing w:after="200"/>
        <w:jc w:val="both"/>
      </w:pPr>
      <w:r>
        <w:rPr>
          <w:rFonts w:ascii="Arial" w:hAnsi="Arial" w:cs="Arial" w:eastAsia="Arial"/>
          <w:b w:val="0"/>
          <w:i w:val="0"/>
          <w:sz w:val="22"/>
        </w:rPr>
        <w:t>Proposed resolutions come from the eight field moves Mason Industries (2018) documents — among them skewing within ±15°, relocating the brace point, substituting a brace family, and shortening the spacing interval. The algorithm ranks and presents these. It does not select one, and it does not modify the model.</w:t>
      </w:r>
    </w:p>
    <w:p>
      <w:pPr>
        <w:pStyle w:val="Heading3"/>
        <w:spacing w:before="280" w:after="100"/>
      </w:pPr>
      <w:r>
        <w:rPr>
          <w:rFonts w:ascii="Arial" w:hAnsi="Arial" w:cs="Arial" w:eastAsia="Arial"/>
          <w:b/>
          <w:i w:val="0"/>
          <w:sz w:val="24"/>
        </w:rPr>
        <w:t>4.6.6  Worked example: hospital MEP zone</w:t>
      </w:r>
    </w:p>
    <w:p>
      <w:pPr>
        <w:spacing w:after="200"/>
        <w:jc w:val="both"/>
      </w:pPr>
      <w:r>
        <w:rPr>
          <w:rFonts w:ascii="Arial" w:hAnsi="Arial" w:cs="Arial" w:eastAsia="Arial"/>
          <w:b w:val="0"/>
          <w:i w:val="0"/>
          <w:sz w:val="22"/>
        </w:rPr>
        <w:t>The following demonstrates algorithm behaviour under a stated configuration. It is not a field-validated result, and §4.6.7 sets out what would make it one.</w:t>
      </w:r>
    </w:p>
    <w:p>
      <w:pPr>
        <w:spacing w:after="200"/>
        <w:jc w:val="both"/>
      </w:pPr>
      <w:r>
        <w:rPr>
          <w:rFonts w:ascii="Arial" w:hAnsi="Arial" w:cs="Arial" w:eastAsia="Arial"/>
          <w:b w:val="0"/>
          <w:i w:val="0"/>
          <w:sz w:val="22"/>
        </w:rPr>
        <w:t>The test model is a hospital plant corridor at 3.5 m soffit height, run with the European configuration, γa = 1.5 and a seismic demand parameter of 0.35. Four systems share it: chilled water in 50 mm copper, hot water in 38 mm copper, a DN32 steel sprinkler main, and 25 mm conduit. The chilled water riser crosses the sprinkler riser. The algorithm ran once per brace family over the same node set.</w:t>
      </w:r>
    </w:p>
    <w:p>
      <w:pPr>
        <w:spacing w:after="80"/>
      </w:pPr>
    </w:p>
    <w:p>
      <w:pPr>
        <w:spacing w:after="120"/>
        <w:jc w:val="both"/>
      </w:pPr>
      <w:r>
        <w:rPr>
          <w:rFonts w:ascii="Arial" w:hAnsi="Arial" w:cs="Arial" w:eastAsia="Arial"/>
          <w:b w:val="0"/>
          <w:i w:val="0"/>
          <w:sz w:val="22"/>
        </w:rPr>
        <w:t>Table 4.6.3: Algorithm output for the hospital corridor, by brace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700"/>
        <w:gridCol w:w="2200"/>
        <w:gridCol w:w="2076"/>
      </w:tblGrid>
      <w:tr>
        <w:trPr>
          <w:tblHeader/>
        </w:trPr>
        <w:tc>
          <w:tcPr>
            <w:tcW w:type="dxa" w:w="1733"/>
            <w:tcW w:type="dxa" w:w="15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Brace family</w:t>
            </w:r>
          </w:p>
        </w:tc>
        <w:tc>
          <w:tcPr>
            <w:tcW w:type="dxa" w:w="1733"/>
            <w:tcW w:type="dxa" w:w="155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Halo footprint</w:t>
            </w:r>
          </w:p>
        </w:tc>
        <w:tc>
          <w:tcPr>
            <w:tcW w:type="dxa" w:w="1733"/>
            <w:tcW w:type="dxa" w:w="17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Spacing applied</w:t>
            </w:r>
          </w:p>
        </w:tc>
        <w:tc>
          <w:tcPr>
            <w:tcW w:type="dxa" w:w="1733"/>
            <w:tcW w:type="dxa" w:w="2200"/>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Conflicts raised</w:t>
            </w:r>
          </w:p>
        </w:tc>
        <w:tc>
          <w:tcPr>
            <w:tcW w:type="dxa" w:w="1733"/>
            <w:tcW w:type="dxa" w:w="2076"/>
            <w:tcBorders>
              <w:top w:val="single" w:color="CCCCCC" w:sz="1"/>
              <w:left w:val="single" w:color="CCCCCC" w:sz="1"/>
              <w:bottom w:val="single" w:color="CCCCCC" w:sz="1"/>
              <w:right w:val="single" w:color="CCCCCC" w:sz="1"/>
            </w:tcBorders>
            <w:shd w:val="clear" w:fill="1F3864"/>
            <w:tcMar>
              <w:top w:type="dxa" w:w="80"/>
              <w:left w:type="dxa" w:w="120"/>
              <w:bottom w:type="dxa" w:w="80"/>
              <w:right w:type="dxa" w:w="120"/>
            </w:tcMar>
          </w:tcPr>
          <w:p>
            <w:pPr>
              <w:spacing w:after="0"/>
              <w:jc w:val="left"/>
            </w:pPr>
            <w:r>
              <w:rPr>
                <w:rFonts w:ascii="Arial" w:hAnsi="Arial" w:cs="Arial" w:eastAsia="Arial"/>
                <w:b/>
                <w:i w:val="0"/>
                <w:color w:val="FFFFFF"/>
                <w:sz w:val="20"/>
              </w:rPr>
              <w:t>Severity</w:t>
            </w:r>
          </w:p>
        </w:tc>
      </w:tr>
      <w:tr>
        <w:tc>
          <w:tcPr>
            <w:tcW w:type="dxa" w:w="1733"/>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Angle iron</w:t>
            </w:r>
          </w:p>
        </w:tc>
        <w:tc>
          <w:tcPr>
            <w:tcW w:type="dxa" w:w="1733"/>
            <w:tcW w:type="dxa" w:w="15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380 × 380 mm</w:t>
            </w:r>
          </w:p>
        </w:tc>
        <w:tc>
          <w:tcPr>
            <w:tcW w:type="dxa" w:w="1733"/>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12.2 m transverse</w:t>
            </w:r>
          </w:p>
        </w:tc>
        <w:tc>
          <w:tcPr>
            <w:tcW w:type="dxa" w:w="1733"/>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2 (sprinkler main; conduit)</w:t>
            </w:r>
          </w:p>
        </w:tc>
        <w:tc>
          <w:tcPr>
            <w:tcW w:type="dxa" w:w="1733"/>
            <w:tcW w:type="dxa" w:w="20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 critical, 1 medium</w:t>
            </w:r>
          </w:p>
        </w:tc>
      </w:tr>
      <w:tr>
        <w:tc>
          <w:tcPr>
            <w:tcW w:type="dxa" w:w="1733"/>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Cable</w:t>
            </w:r>
          </w:p>
        </w:tc>
        <w:tc>
          <w:tcPr>
            <w:tcW w:type="dxa" w:w="1733"/>
            <w:tcW w:type="dxa" w:w="15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120 × 120 mm</w:t>
            </w:r>
          </w:p>
        </w:tc>
        <w:tc>
          <w:tcPr>
            <w:tcW w:type="dxa" w:w="1733"/>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12.2 m transverse</w:t>
            </w:r>
          </w:p>
        </w:tc>
        <w:tc>
          <w:tcPr>
            <w:tcW w:type="dxa" w:w="1733"/>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0</w:t>
            </w:r>
          </w:p>
        </w:tc>
        <w:tc>
          <w:tcPr>
            <w:tcW w:type="dxa" w:w="1733"/>
            <w:tcW w:type="dxa" w:w="20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w:t>
            </w:r>
          </w:p>
        </w:tc>
      </w:tr>
      <w:tr>
        <w:tc>
          <w:tcPr>
            <w:tcW w:type="dxa" w:w="1733"/>
            <w:tcW w:type="dxa" w:w="15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Threaded rod</w:t>
            </w:r>
          </w:p>
        </w:tc>
        <w:tc>
          <w:tcPr>
            <w:tcW w:type="dxa" w:w="1733"/>
            <w:tcW w:type="dxa" w:w="155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200 × 200 mm</w:t>
            </w:r>
          </w:p>
        </w:tc>
        <w:tc>
          <w:tcPr>
            <w:tcW w:type="dxa" w:w="1733"/>
            <w:tcW w:type="dxa" w:w="17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12.2 m transverse</w:t>
            </w:r>
          </w:p>
        </w:tc>
        <w:tc>
          <w:tcPr>
            <w:tcW w:type="dxa" w:w="1733"/>
            <w:tcW w:type="dxa" w:w="2200"/>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 (conduit)</w:t>
            </w:r>
          </w:p>
        </w:tc>
        <w:tc>
          <w:tcPr>
            <w:tcW w:type="dxa" w:w="1733"/>
            <w:tcW w:type="dxa" w:w="2076"/>
            <w:tcBorders>
              <w:top w:val="single" w:color="CCCCCC" w:sz="1"/>
              <w:left w:val="single" w:color="CCCCCC" w:sz="1"/>
              <w:bottom w:val="single" w:color="CCCCCC" w:sz="1"/>
              <w:right w:val="single" w:color="CCCCCC" w:sz="1"/>
            </w:tcBorders>
            <w:shd w:val="clear" w:fill="FFFFFF"/>
            <w:tcMar>
              <w:top w:type="dxa" w:w="80"/>
              <w:left w:type="dxa" w:w="120"/>
              <w:bottom w:type="dxa" w:w="80"/>
              <w:right w:type="dxa" w:w="120"/>
            </w:tcMar>
          </w:tcPr>
          <w:p>
            <w:pPr>
              <w:spacing w:after="0"/>
              <w:jc w:val="left"/>
            </w:pPr>
            <w:r>
              <w:rPr>
                <w:rFonts w:ascii="Arial" w:hAnsi="Arial" w:cs="Arial" w:eastAsia="Arial"/>
                <w:b w:val="0"/>
                <w:i w:val="0"/>
                <w:color w:val="000000"/>
                <w:sz w:val="20"/>
              </w:rPr>
              <w:t>1 medium</w:t>
            </w:r>
          </w:p>
        </w:tc>
      </w:tr>
    </w:tbl>
    <w:p>
      <w:pPr>
        <w:spacing w:after="80"/>
      </w:pPr>
    </w:p>
    <w:p>
      <w:pPr>
        <w:spacing w:after="200"/>
        <w:jc w:val="both"/>
      </w:pPr>
      <w:r>
        <w:rPr>
          <w:rFonts w:ascii="Arial" w:hAnsi="Arial" w:cs="Arial" w:eastAsia="Arial"/>
          <w:b w:val="0"/>
          <w:i w:val="0"/>
          <w:sz w:val="22"/>
        </w:rPr>
        <w:t>The angle iron Halo cannot resolve within the 30° to 60° window without entering the sprinkler main reservation. That is critical, because sprinkler piping is a life-safety system carrying γa = 1.5 in its own right. Cable bracing clears both conflicts on footprint alone, so the algorithm reports it as the only family that resolves the node set without a design change. The team settles this in the model rather than on site — which, on the evidence of Mehrbod et al. (2019), is where a comparable reroute cost six weeks instead of two.</w:t>
      </w:r>
    </w:p>
    <w:p>
      <w:pPr>
        <w:pStyle w:val="Heading3"/>
        <w:spacing w:before="280" w:after="100"/>
      </w:pPr>
      <w:r>
        <w:rPr>
          <w:rFonts w:ascii="Arial" w:hAnsi="Arial" w:cs="Arial" w:eastAsia="Arial"/>
          <w:b/>
          <w:i w:val="0"/>
          <w:sz w:val="24"/>
        </w:rPr>
        <w:t>4.6.7  Standards cited and data limitations</w:t>
      </w:r>
    </w:p>
    <w:p>
      <w:pPr>
        <w:spacing w:after="200"/>
        <w:jc w:val="both"/>
      </w:pPr>
      <w:r>
        <w:rPr>
          <w:rFonts w:ascii="Arial" w:hAnsi="Arial" w:cs="Arial" w:eastAsia="Arial"/>
          <w:b w:val="0"/>
          <w:i w:val="0"/>
          <w:sz w:val="22"/>
        </w:rPr>
        <w:t>Blue Halo draws on ASCE 7-22 Chapter 13, NFPA 13-2022 Chapter 18, EN 1998-1:2004+A2:2011 §4.3.5, DIN 4149:2005-04, the SMACNA Seismic Restraint Manual (4th edition), FEMA P-414, ACI 318-19 Chapter 17, the BIMForum LOD Specification 2025 Part I, and BCF 2.1. Five gaps are disclosed rather than filled.</w:t>
      </w:r>
    </w:p>
    <w:p>
      <w:pPr>
        <w:pStyle w:val="ListParagraph"/>
        <w:spacing w:after="80"/>
        <w:ind w:left="432"/>
        <w:jc w:val="both"/>
      </w:pPr>
      <w:r>
        <w:rPr>
          <w:rFonts w:ascii="Arial" w:hAnsi="Arial" w:cs="Arial" w:eastAsia="Arial"/>
          <w:b w:val="0"/>
          <w:i w:val="0"/>
          <w:sz w:val="22"/>
        </w:rPr>
        <w:t>1.  No standard reviewed defines a generic maintenance-access clearance around an installed brace. The 75 mm default is engineering judgement, tagged provisional.</w:t>
      </w:r>
    </w:p>
    <w:p>
      <w:pPr>
        <w:pStyle w:val="ListParagraph"/>
        <w:spacing w:after="80"/>
        <w:ind w:left="432"/>
        <w:jc w:val="both"/>
      </w:pPr>
      <w:r>
        <w:rPr>
          <w:rFonts w:ascii="Arial" w:hAnsi="Arial" w:cs="Arial" w:eastAsia="Arial"/>
          <w:b w:val="0"/>
          <w:i w:val="0"/>
          <w:sz w:val="22"/>
        </w:rPr>
        <w:t>2.  No standard specifies the envelope needed for drill and torque-tool access at a post-installed anchor. Manufacturer guidance leaves this to the Engineer of Record per condition, so it cannot be derived from code text.</w:t>
      </w:r>
    </w:p>
    <w:p>
      <w:pPr>
        <w:pStyle w:val="ListParagraph"/>
        <w:spacing w:after="80"/>
        <w:ind w:left="432"/>
        <w:jc w:val="both"/>
      </w:pPr>
      <w:r>
        <w:rPr>
          <w:rFonts w:ascii="Arial" w:hAnsi="Arial" w:cs="Arial" w:eastAsia="Arial"/>
          <w:b w:val="0"/>
          <w:i w:val="0"/>
          <w:sz w:val="22"/>
        </w:rPr>
        <w:t>3.  Brace-to-pipe contact area is not codified. Values are estimated from hardware catalogues and tagged provisional.</w:t>
      </w:r>
    </w:p>
    <w:p>
      <w:pPr>
        <w:pStyle w:val="ListParagraph"/>
        <w:spacing w:after="80"/>
        <w:ind w:left="432"/>
        <w:jc w:val="both"/>
      </w:pPr>
      <w:r>
        <w:rPr>
          <w:rFonts w:ascii="Arial" w:hAnsi="Arial" w:cs="Arial" w:eastAsia="Arial"/>
          <w:b w:val="0"/>
          <w:i w:val="0"/>
          <w:sz w:val="22"/>
        </w:rPr>
        <w:t>4.  The rectangular duct weight threshold is reported as both 17 lb/ft and 20 lb/ft in secondary sources. The configuration uses the ASCE 7-22 §13.6.6 value of 17 lb/ft and flags the discrepancy.</w:t>
      </w:r>
    </w:p>
    <w:p>
      <w:pPr>
        <w:pStyle w:val="ListParagraph"/>
        <w:spacing w:after="80"/>
        <w:ind w:left="432"/>
        <w:jc w:val="both"/>
      </w:pPr>
      <w:r>
        <w:rPr>
          <w:rFonts w:ascii="Arial" w:hAnsi="Arial" w:cs="Arial" w:eastAsia="Arial"/>
          <w:b w:val="0"/>
          <w:i w:val="0"/>
          <w:sz w:val="22"/>
        </w:rPr>
        <w:t>5.  The quantitative content of EN 1998-1 and DIN 4149 has not been extracted from the primary texts, which are paywalled. Those parameters are provisional pending direct verification.</w:t>
      </w:r>
    </w:p>
    <w:p>
      <w:pPr>
        <w:spacing w:after="80"/>
      </w:pPr>
    </w:p>
    <w:p>
      <w:pPr>
        <w:spacing w:after="240"/>
        <w:jc w:val="both"/>
      </w:pPr>
      <w:r>
        <w:rPr>
          <w:rFonts w:ascii="Arial" w:hAnsi="Arial" w:cs="Arial" w:eastAsia="Arial"/>
          <w:b w:val="0"/>
          <w:i w:val="0"/>
          <w:sz w:val="22"/>
        </w:rPr>
        <w:t>Two limitations of method follow. No brace-to-brace clash rule exists in any standard reviewed, so the rule used here is inferred from the angle window itself; and §4.6.6 runs on a synthetic model, demonstrating behaviour rather than validating accuracy. Declaring these gaps is the right response at LOD 300. A tool that reserves space and refers the residual judgement to a named human does what the specification asks; one that issues a verdict from an unsourced default does not.</w:t>
      </w:r>
    </w:p>
    <w:p>
      <w:pPr>
        <w:pStyle w:val="Heading3"/>
        <w:spacing w:before="280" w:after="100"/>
      </w:pPr>
      <w:r>
        <w:rPr>
          <w:rFonts w:ascii="Arial" w:hAnsi="Arial" w:cs="Arial" w:eastAsia="Arial"/>
          <w:b/>
          <w:i w:val="0"/>
          <w:sz w:val="24"/>
        </w:rPr>
        <w:t>4.6.8  Innovation and contribution</w:t>
      </w:r>
    </w:p>
    <w:p>
      <w:pPr>
        <w:spacing w:after="200"/>
        <w:jc w:val="both"/>
      </w:pPr>
      <w:r>
        <w:rPr>
          <w:rFonts w:ascii="Arial" w:hAnsi="Arial" w:cs="Arial" w:eastAsia="Arial"/>
          <w:b w:val="0"/>
          <w:i w:val="0"/>
          <w:sz w:val="22"/>
        </w:rPr>
        <w:t>On the literature reviewed in §4.6.1 and Chapter 2, Blue Halo is the first open-source algorithm that reserves seismic bracing clearance automatically at design stage from an IFC model alone. Three properties distinguish it.</w:t>
      </w:r>
    </w:p>
    <w:p>
      <w:pPr>
        <w:spacing w:after="200"/>
        <w:jc w:val="both"/>
      </w:pPr>
      <w:r>
        <w:rPr>
          <w:rFonts w:ascii="Arial" w:hAnsi="Arial" w:cs="Arial" w:eastAsia="Arial"/>
          <w:b w:val="0"/>
          <w:i w:val="0"/>
          <w:sz w:val="22"/>
        </w:rPr>
        <w:t>It is standard-agnostic: the engine holds no jurisdiction values, so a new standard is a configuration file rather than a code change. It carries provenance: every clearance, spacing and importance factor resolves to a named clause or an explicit provisional tag, and that tag reaches the BCF issue the coordinator opens. That extends the White Box principle of §4.1 to spatial reservation.</w:t>
      </w:r>
    </w:p>
    <w:p>
      <w:pPr>
        <w:spacing w:after="280"/>
        <w:jc w:val="both"/>
      </w:pPr>
      <w:r>
        <w:rPr>
          <w:rFonts w:ascii="Arial" w:hAnsi="Arial" w:cs="Arial" w:eastAsia="Arial"/>
          <w:b w:val="0"/>
          <w:i w:val="0"/>
          <w:sz w:val="22"/>
        </w:rPr>
        <w:t>Third, it moves the question forward in the programme. Seismic coordination currently begins after the bulk of multi-trade coordination is fixed. Reserving space at LOD 200 or LOD 300 puts the conflict in front of a designer while the ductwork and conduit that Mehrbod et al. (2019) identify as the most flexible trades can still be moved cheaply.</w:t>
      </w:r>
    </w:p>
    <w:p>
      <w:pPr>
        <w:pStyle w:val="Heading2"/>
        <w:spacing w:before="400" w:after="160"/>
      </w:pPr>
      <w:r>
        <w:rPr>
          <w:rFonts w:ascii="Arial" w:hAnsi="Arial" w:cs="Arial" w:eastAsia="Arial"/>
          <w:b/>
          <w:i w:val="0"/>
          <w:sz w:val="28"/>
        </w:rPr>
        <w:t>References cited in §4.6</w:t>
      </w:r>
    </w:p>
    <w:p>
      <w:pPr>
        <w:spacing w:after="120"/>
        <w:ind w:left="576" w:hanging="576"/>
        <w:jc w:val="both"/>
      </w:pPr>
      <w:r>
        <w:rPr>
          <w:rFonts w:ascii="Arial" w:hAnsi="Arial" w:cs="Arial" w:eastAsia="Arial"/>
          <w:b w:val="0"/>
          <w:i w:val="0"/>
          <w:sz w:val="20"/>
        </w:rPr>
        <w:t>ACI (2019) ACI 318-19 Building Code Requirements for Structural Concrete and Commentary. Farmington Hills, MI: American Concrete Institute.</w:t>
      </w:r>
    </w:p>
    <w:p>
      <w:pPr>
        <w:spacing w:after="120"/>
        <w:ind w:left="576" w:hanging="576"/>
        <w:jc w:val="both"/>
      </w:pPr>
      <w:r>
        <w:rPr>
          <w:rFonts w:ascii="Arial" w:hAnsi="Arial" w:cs="Arial" w:eastAsia="Arial"/>
          <w:b w:val="0"/>
          <w:i w:val="0"/>
          <w:sz w:val="20"/>
        </w:rPr>
        <w:t>ASCE (2022) ASCE/SEI 7-22 Minimum Design Loads and Associated Criteria for Buildings and Other Structures. Reston, VA: American Society of Civil Engineers.</w:t>
      </w:r>
    </w:p>
    <w:p>
      <w:pPr>
        <w:spacing w:after="120"/>
        <w:ind w:left="576" w:hanging="576"/>
        <w:jc w:val="both"/>
      </w:pPr>
      <w:r>
        <w:rPr>
          <w:rFonts w:ascii="Arial" w:hAnsi="Arial" w:cs="Arial" w:eastAsia="Arial"/>
          <w:b w:val="0"/>
          <w:i w:val="0"/>
          <w:sz w:val="20"/>
        </w:rPr>
        <w:t>BIMForum (2025) Level of Development (LOD) Specification 2025, Part I. Washington DC: BIMForum. Available at: https://bimforum.org/resource/lod-level-of-development-lod-specification/ [Accessed August 2026].</w:t>
      </w:r>
    </w:p>
    <w:p>
      <w:pPr>
        <w:spacing w:after="120"/>
        <w:ind w:left="576" w:hanging="576"/>
        <w:jc w:val="both"/>
      </w:pPr>
      <w:r>
        <w:rPr>
          <w:rFonts w:ascii="Arial" w:hAnsi="Arial" w:cs="Arial" w:eastAsia="Arial"/>
          <w:b w:val="0"/>
          <w:i w:val="0"/>
          <w:sz w:val="20"/>
        </w:rPr>
        <w:t>buildingSMART International (2021) BCF 2.1 — BIM Collaboration Format Specification. Oslo: buildingSMART International Ltd.</w:t>
      </w:r>
    </w:p>
    <w:p>
      <w:pPr>
        <w:spacing w:after="120"/>
        <w:ind w:left="576" w:hanging="576"/>
        <w:jc w:val="both"/>
      </w:pPr>
      <w:r>
        <w:rPr>
          <w:rFonts w:ascii="Arial" w:hAnsi="Arial" w:cs="Arial" w:eastAsia="Arial"/>
          <w:b w:val="0"/>
          <w:i w:val="0"/>
          <w:sz w:val="20"/>
        </w:rPr>
        <w:t>CEN (2011) EN 1998-1:2004+A2:2011 Eurocode 8: Design of Structures for Earthquake Resistance — Part 1: General Rules, Seismic Actions and Rules for Buildings. Brussels: European Committee for Standardization.</w:t>
      </w:r>
    </w:p>
    <w:p>
      <w:pPr>
        <w:spacing w:after="120"/>
        <w:ind w:left="576" w:hanging="576"/>
        <w:jc w:val="both"/>
      </w:pPr>
      <w:r>
        <w:rPr>
          <w:rFonts w:ascii="Arial" w:hAnsi="Arial" w:cs="Arial" w:eastAsia="Arial"/>
          <w:b w:val="0"/>
          <w:i w:val="0"/>
          <w:sz w:val="20"/>
        </w:rPr>
        <w:t>DIN (2005) DIN 4149:2005-04 Bauten in deutschen Erdbebengebieten — Lastannahmen, Bemessung und Ausführung üblicher Hochbauten. Berlin: Deutsches Institut für Normung e.V. [Withdrawn 2011; superseded by DIN EN 1998-1:2010-12 and DIN EN 1998-1/NA:2011-01].</w:t>
      </w:r>
    </w:p>
    <w:p>
      <w:pPr>
        <w:spacing w:after="120"/>
        <w:ind w:left="576" w:hanging="576"/>
        <w:jc w:val="both"/>
      </w:pPr>
      <w:r>
        <w:rPr>
          <w:rFonts w:ascii="Arial" w:hAnsi="Arial" w:cs="Arial" w:eastAsia="Arial"/>
          <w:b w:val="0"/>
          <w:i w:val="0"/>
          <w:sz w:val="20"/>
        </w:rPr>
        <w:t>DIN (2023) DIN EN 1998-1/NA:2023-11 Nationaler Anhang — National festgelegte Parameter — Eurocode 8: Auslegung von Bauwerken gegen Erdbeben — Teil 1: Grundlagen, Erdbebeneinwirkungen und Regeln für Hochbauten. Berlin: Deutsches Institut für Normung e.V.</w:t>
      </w:r>
    </w:p>
    <w:p>
      <w:pPr>
        <w:spacing w:after="120"/>
        <w:ind w:left="576" w:hanging="576"/>
        <w:jc w:val="both"/>
      </w:pPr>
      <w:r>
        <w:rPr>
          <w:rFonts w:ascii="Arial" w:hAnsi="Arial" w:cs="Arial" w:eastAsia="Arial"/>
          <w:b w:val="0"/>
          <w:i w:val="0"/>
          <w:sz w:val="20"/>
        </w:rPr>
        <w:t>FEMA (2004) FEMA P-414 Installing Seismic Restraints for Duct and Pipe. Washington DC: Federal Emergency Management Agency.</w:t>
      </w:r>
    </w:p>
    <w:p>
      <w:pPr>
        <w:spacing w:after="120"/>
        <w:ind w:left="576" w:hanging="576"/>
        <w:jc w:val="both"/>
      </w:pPr>
      <w:r>
        <w:rPr>
          <w:rFonts w:ascii="Arial" w:hAnsi="Arial" w:cs="Arial" w:eastAsia="Arial"/>
          <w:b w:val="0"/>
          <w:i w:val="0"/>
          <w:sz w:val="20"/>
        </w:rPr>
        <w:t>ISO (2024) ISO 16739-1:2024 Industry Foundation Classes (IFC) for Data Sharing in the Construction and Facility Management Industries — Part 1: Data Schema. Geneva: International Organization for Standardization.</w:t>
      </w:r>
    </w:p>
    <w:p>
      <w:pPr>
        <w:spacing w:after="120"/>
        <w:ind w:left="576" w:hanging="576"/>
        <w:jc w:val="both"/>
      </w:pPr>
      <w:r>
        <w:rPr>
          <w:rFonts w:ascii="Arial" w:hAnsi="Arial" w:cs="Arial" w:eastAsia="Arial"/>
          <w:b w:val="0"/>
          <w:i w:val="0"/>
          <w:sz w:val="20"/>
        </w:rPr>
        <w:t>Mason Industries (2018) Seismic Restraint Guidelines. Hauppauge, NY: Mason Industries. Available at: https://thehillco.com/wp-content/uploads/2018/03/Seismic-Restraint-Guidelines.pdf [Accessed August 2026].</w:t>
      </w:r>
    </w:p>
    <w:p>
      <w:pPr>
        <w:spacing w:after="120"/>
        <w:ind w:left="576" w:hanging="576"/>
        <w:jc w:val="both"/>
      </w:pPr>
      <w:r>
        <w:rPr>
          <w:rFonts w:ascii="Arial" w:hAnsi="Arial" w:cs="Arial" w:eastAsia="Arial"/>
          <w:b w:val="0"/>
          <w:i w:val="0"/>
          <w:sz w:val="20"/>
        </w:rPr>
        <w:t>Mehrbod, S., Staub-French, S., Mahyar, N. and Tory, M. (2019) ‘Beyond the clash: investigating BIM-based building design coordination issue representation and resolution’, Journal of Information Technology in Construction (ITcon), 24, pp. 33–57. Available at: https://www.itcon.org/2019/3 [Accessed August 2026].</w:t>
      </w:r>
    </w:p>
    <w:p>
      <w:pPr>
        <w:spacing w:after="120"/>
        <w:ind w:left="576" w:hanging="576"/>
        <w:jc w:val="both"/>
      </w:pPr>
      <w:r>
        <w:rPr>
          <w:rFonts w:ascii="Arial" w:hAnsi="Arial" w:cs="Arial" w:eastAsia="Arial"/>
          <w:b w:val="0"/>
          <w:i w:val="0"/>
          <w:sz w:val="20"/>
        </w:rPr>
        <w:t>NFPA (2022) NFPA 13 Standard for the Installation of Sprinkler Systems, 2022 edition. Quincy, MA: National Fire Protection Association.</w:t>
      </w:r>
    </w:p>
    <w:p>
      <w:pPr>
        <w:spacing w:after="120"/>
        <w:ind w:left="576" w:hanging="576"/>
        <w:jc w:val="both"/>
      </w:pPr>
      <w:r>
        <w:rPr>
          <w:rFonts w:ascii="Arial" w:hAnsi="Arial" w:cs="Arial" w:eastAsia="Arial"/>
          <w:b w:val="0"/>
          <w:i w:val="0"/>
          <w:sz w:val="20"/>
        </w:rPr>
        <w:t>SMACNA (2024) Seismic Restraint Manual: Guidelines for Mechanical Systems (4th edn). Chantilly, VA: Sheet Metal and Air Conditioning Contractors’ National Association.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666666"/>
        <w:sz w:val="16"/>
        <w:szCs w:val="16"/>
      </w:rPr>
      <w:t xml:space="preserve">Masters in BIM Management  |  Group 5  |  OpenBIM Corrosion Compliance — BIMGUARD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666666"/>
        <w:sz w:val="18"/>
        <w:szCs w:val="18"/>
      </w:rPr>
      <w:t xml:space="preserve">BIMGUARD AI  —  Final Master Project  |  Zigurat Global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2026-04-08T17:03:55.267Z</dcterms:created>
  <dcterms:modified xsi:type="dcterms:W3CDTF">2026-04-08T17:03:55.268Z</dcterms:modified>
</cp:coreProperties>
</file>

<file path=docProps/custom.xml><?xml version="1.0" encoding="utf-8"?>
<Properties xmlns="http://schemas.openxmlformats.org/officeDocument/2006/custom-properties" xmlns:vt="http://schemas.openxmlformats.org/officeDocument/2006/docPropsVTypes"/>
</file>