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80" w:after="240"/>
      </w:pPr>
      <w:r>
        <w:rPr>
          <w:rFonts w:ascii="Arial" w:hAnsi="Arial" w:cs="Arial" w:eastAsia="Arial"/>
          <w:b/>
          <w:i w:val="0"/>
          <w:sz w:val="36"/>
        </w:rPr>
        <w:t>Chapter 13 — Extended Material Engines: MM-001 and XM-001</w:t>
      </w:r>
    </w:p>
    <w:p>
      <w:pPr>
        <w:pStyle w:val="Heading2"/>
        <w:spacing w:before="360" w:after="120"/>
      </w:pPr>
      <w:r>
        <w:rPr>
          <w:rFonts w:ascii="Arial" w:hAnsi="Arial" w:cs="Arial" w:eastAsia="Arial"/>
          <w:b/>
          <w:i w:val="0"/>
          <w:sz w:val="28"/>
        </w:rPr>
        <w:t>13.1  Rationale — what the first three engines do not cover</w:t>
      </w:r>
    </w:p>
    <w:p>
      <w:pPr>
        <w:spacing w:after="200"/>
        <w:jc w:val="both"/>
      </w:pPr>
      <w:r>
        <w:rPr>
          <w:rFonts w:ascii="Arial" w:hAnsi="Arial" w:cs="Arial" w:eastAsia="Arial"/>
          <w:b w:val="0"/>
          <w:i w:val="0"/>
          <w:sz w:val="22"/>
        </w:rPr>
        <w:t>GC-001, CC-001 and MC-001 each ask whether a mechanism will attack an element given that element's own material and its surroundings. Neither asks whether the material suits the fluid it carries, and GC-001 evaluates galvanic risk from the material pair recorded against a single element rather than from the couple formed where two modelled elements actually meet. Two further engines close those gaps. MM-001 scores material-media compatibility. XM-001 scores the galvanic couple at a joint between dissimilar modelled elements.</w:t>
      </w:r>
    </w:p>
    <w:p>
      <w:pPr>
        <w:spacing w:after="200"/>
        <w:jc w:val="both"/>
      </w:pPr>
      <w:r>
        <w:rPr>
          <w:rFonts w:ascii="Arial" w:hAnsi="Arial" w:cs="Arial" w:eastAsia="Arial"/>
          <w:b w:val="0"/>
          <w:i w:val="0"/>
          <w:sz w:val="22"/>
        </w:rPr>
        <w:t>Both are built on the same principle as the first three: a weighted composite on a continuous 0–1 scale, banded at thresholds shared across every engine, with each term traceable to a named source.</w:t>
      </w:r>
    </w:p>
    <w:p>
      <w:pPr>
        <w:pStyle w:val="Heading2"/>
        <w:spacing w:before="360" w:after="120"/>
      </w:pPr>
      <w:r>
        <w:rPr>
          <w:rFonts w:ascii="Arial" w:hAnsi="Arial" w:cs="Arial" w:eastAsia="Arial"/>
          <w:b/>
          <w:i w:val="0"/>
          <w:sz w:val="28"/>
        </w:rPr>
        <w:t>13.2  MM-001 — material-media compatibility</w:t>
      </w:r>
    </w:p>
    <w:p>
      <w:pPr>
        <w:spacing w:after="200"/>
        <w:jc w:val="both"/>
      </w:pPr>
      <w:r>
        <w:rPr>
          <w:rFonts w:ascii="Arial" w:hAnsi="Arial" w:cs="Arial" w:eastAsia="Arial"/>
          <w:b w:val="0"/>
          <w:i w:val="0"/>
          <w:sz w:val="22"/>
        </w:rPr>
        <w:t>MM-001 holds a compatibility matrix of twelve materials against eight media. The materials are carbon steel, galvanised steel, cast iron, ductile iron, copper C12200, brass C46400, 90/10 copper-nickel, SS304, SS316, duplex 2205, titanium and PVC. The media are cold water, hot water, chilled water, condenser water, pool water, steam, condensate and stagnant water. Each cell carries a score, a nominal service life in years, the governing degradation mechanism, a citation and a confidence tag, so a reader can see not only what the engine concluded but which mechanism drove it.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rPr>
          <w:tblHeader/>
        </w:trPr>
        <w:tc>
          <w:tcPr>
            <w:tcW w:type="dxa" w:w="2889"/>
            <w:tcW w:type="dxa" w:w="3000"/>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pPr>
              <w:spacing w:after="0"/>
              <w:jc w:val="left"/>
            </w:pPr>
            <w:r>
              <w:rPr>
                <w:rFonts w:ascii="Arial" w:hAnsi="Arial" w:cs="Arial" w:eastAsia="Arial"/>
                <w:b/>
                <w:i w:val="0"/>
                <w:color w:val="FFFFFF"/>
                <w:sz w:val="20"/>
              </w:rPr>
              <w:t>Term</w:t>
            </w:r>
          </w:p>
        </w:tc>
        <w:tc>
          <w:tcPr>
            <w:tcW w:type="dxa" w:w="2889"/>
            <w:tcW w:type="dxa" w:w="1800"/>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pPr>
              <w:spacing w:after="0"/>
              <w:jc w:val="left"/>
            </w:pPr>
            <w:r>
              <w:rPr>
                <w:rFonts w:ascii="Arial" w:hAnsi="Arial" w:cs="Arial" w:eastAsia="Arial"/>
                <w:b/>
                <w:i w:val="0"/>
                <w:color w:val="FFFFFF"/>
                <w:sz w:val="20"/>
              </w:rPr>
              <w:t>Weight</w:t>
            </w:r>
          </w:p>
        </w:tc>
        <w:tc>
          <w:tcPr>
            <w:tcW w:type="dxa" w:w="2889"/>
            <w:tcW w:type="dxa" w:w="4226"/>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pPr>
              <w:spacing w:after="0"/>
              <w:jc w:val="left"/>
            </w:pPr>
            <w:r>
              <w:rPr>
                <w:rFonts w:ascii="Arial" w:hAnsi="Arial" w:cs="Arial" w:eastAsia="Arial"/>
                <w:b/>
                <w:i w:val="0"/>
                <w:color w:val="FFFFFF"/>
                <w:sz w:val="20"/>
              </w:rPr>
              <w:t>Source of the value</w:t>
            </w:r>
          </w:p>
        </w:tc>
      </w:tr>
      <w:tr>
        <w:tc>
          <w:tcPr>
            <w:tcW w:type="dxa" w:w="2889"/>
            <w:tcW w:type="dxa" w:w="30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Material-media compatibility</w:t>
            </w:r>
          </w:p>
        </w:tc>
        <w:tc>
          <w:tcPr>
            <w:tcW w:type="dxa" w:w="2889"/>
            <w:tcW w:type="dxa" w:w="18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0.40</w:t>
            </w:r>
          </w:p>
        </w:tc>
        <w:tc>
          <w:tcPr>
            <w:tcW w:type="dxa" w:w="2889"/>
            <w:tcW w:type="dxa" w:w="42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Compatibility matrix cell (12 materials × 8 media)</w:t>
            </w:r>
          </w:p>
        </w:tc>
      </w:tr>
      <w:tr>
        <w:tc>
          <w:tcPr>
            <w:tcW w:type="dxa" w:w="2889"/>
            <w:tcW w:type="dxa" w:w="30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Environment severity</w:t>
            </w:r>
          </w:p>
        </w:tc>
        <w:tc>
          <w:tcPr>
            <w:tcW w:type="dxa" w:w="2889"/>
            <w:tcW w:type="dxa" w:w="18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0.35</w:t>
            </w:r>
          </w:p>
        </w:tc>
        <w:tc>
          <w:tcPr>
            <w:tcW w:type="dxa" w:w="2889"/>
            <w:tcW w:type="dxa" w:w="42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Wetting-class ladder borrowed from CC-001 (EN ISO 15329:2007)</w:t>
            </w:r>
          </w:p>
        </w:tc>
      </w:tr>
      <w:tr>
        <w:tc>
          <w:tcPr>
            <w:tcW w:type="dxa" w:w="2889"/>
            <w:tcW w:type="dxa" w:w="30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Temperature stress</w:t>
            </w:r>
          </w:p>
        </w:tc>
        <w:tc>
          <w:tcPr>
            <w:tcW w:type="dxa" w:w="2889"/>
            <w:tcW w:type="dxa" w:w="18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0.25</w:t>
            </w:r>
          </w:p>
        </w:tc>
        <w:tc>
          <w:tcPr>
            <w:tcW w:type="dxa" w:w="2889"/>
            <w:tcW w:type="dxa" w:w="42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Combined corrosion-kinetics and material-limit term</w:t>
            </w:r>
          </w:p>
        </w:tc>
      </w:tr>
      <w:tr>
        <w:tc>
          <w:tcPr>
            <w:tcW w:type="dxa" w:w="2889"/>
            <w:tcW w:type="dxa" w:w="30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Risk bands</w:t>
            </w:r>
          </w:p>
        </w:tc>
        <w:tc>
          <w:tcPr>
            <w:tcW w:type="dxa" w:w="2889"/>
            <w:tcW w:type="dxa" w:w="18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0.35 / 0.65 / 0.85</w:t>
            </w:r>
          </w:p>
        </w:tc>
        <w:tc>
          <w:tcPr>
            <w:tcW w:type="dxa" w:w="2889"/>
            <w:tcW w:type="dxa" w:w="42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Medium / High / Critical — matched to GC-001 and CC-001</w:t>
            </w:r>
          </w:p>
        </w:tc>
      </w:tr>
    </w:tbl>
    <w:p>
      <w:pPr>
        <w:spacing w:after="120"/>
        <w:jc w:val="both"/>
      </w:pPr>
      <w:r>
        <w:rPr>
          <w:rFonts w:ascii="Arial" w:hAnsi="Arial" w:cs="Arial" w:eastAsia="Arial"/>
          <w:b w:val="0"/>
          <w:i w:val="0"/>
          <w:sz w:val="22"/>
        </w:rPr>
        <w:t>Table 13.1: MM-001 composite scoring terms, weights and band thresholds</w:t>
      </w:r>
    </w:p>
    <w:p>
      <w:pPr>
        <w:spacing w:after="200"/>
        <w:jc w:val="both"/>
      </w:pPr>
      <w:r>
        <w:rPr>
          <w:rFonts w:ascii="Arial" w:hAnsi="Arial" w:cs="Arial" w:eastAsia="Arial"/>
          <w:b w:val="0"/>
          <w:i w:val="0"/>
          <w:sz w:val="22"/>
        </w:rPr>
        <w:t>The band thresholds are deliberately identical to those of GC-001 and CC-001. A Critical band means the same thing whichever engine raised it, which is what allows the combined assessment to take the highest band across engines without rescaling.</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226"/>
        <w:gridCol w:w="2200"/>
      </w:tblGrid>
      <w:tr>
        <w:trPr>
          <w:tblHeader/>
        </w:trPr>
        <w:tc>
          <w:tcPr>
            <w:tcW w:type="dxa" w:w="2166"/>
            <w:tcW w:type="dxa" w:w="2200"/>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pPr>
              <w:spacing w:after="0"/>
              <w:jc w:val="left"/>
            </w:pPr>
            <w:r>
              <w:rPr>
                <w:rFonts w:ascii="Arial" w:hAnsi="Arial" w:cs="Arial" w:eastAsia="Arial"/>
                <w:b/>
                <w:i w:val="0"/>
                <w:color w:val="FFFFFF"/>
                <w:sz w:val="20"/>
              </w:rPr>
              <w:t>Environment class</w:t>
            </w:r>
          </w:p>
        </w:tc>
        <w:tc>
          <w:tcPr>
            <w:tcW w:type="dxa" w:w="2166"/>
            <w:tcW w:type="dxa" w:w="1400"/>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pPr>
              <w:spacing w:after="0"/>
              <w:jc w:val="left"/>
            </w:pPr>
            <w:r>
              <w:rPr>
                <w:rFonts w:ascii="Arial" w:hAnsi="Arial" w:cs="Arial" w:eastAsia="Arial"/>
                <w:b/>
                <w:i w:val="0"/>
                <w:color w:val="FFFFFF"/>
                <w:sz w:val="20"/>
              </w:rPr>
              <w:t>Severity</w:t>
            </w:r>
          </w:p>
        </w:tc>
        <w:tc>
          <w:tcPr>
            <w:tcW w:type="dxa" w:w="2166"/>
            <w:tcW w:type="dxa" w:w="3226"/>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pPr>
              <w:spacing w:after="0"/>
              <w:jc w:val="left"/>
            </w:pPr>
            <w:r>
              <w:rPr>
                <w:rFonts w:ascii="Arial" w:hAnsi="Arial" w:cs="Arial" w:eastAsia="Arial"/>
                <w:b/>
                <w:i w:val="0"/>
                <w:color w:val="FFFFFF"/>
                <w:sz w:val="20"/>
              </w:rPr>
              <w:t>CC-001 equivalent</w:t>
            </w:r>
          </w:p>
        </w:tc>
        <w:tc>
          <w:tcPr>
            <w:tcW w:type="dxa" w:w="2166"/>
            <w:tcW w:type="dxa" w:w="2200"/>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pPr>
              <w:spacing w:after="0"/>
              <w:jc w:val="left"/>
            </w:pPr>
            <w:r>
              <w:rPr>
                <w:rFonts w:ascii="Arial" w:hAnsi="Arial" w:cs="Arial" w:eastAsia="Arial"/>
                <w:b/>
                <w:i w:val="0"/>
                <w:color w:val="FFFFFF"/>
                <w:sz w:val="20"/>
              </w:rPr>
              <w:t>Confidence</w:t>
            </w:r>
          </w:p>
        </w:tc>
      </w:tr>
      <w:tr>
        <w:tc>
          <w:tcPr>
            <w:tcW w:type="dxa" w:w="2166"/>
            <w:tcW w:type="dxa" w:w="22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T0 dry</w:t>
            </w:r>
          </w:p>
        </w:tc>
        <w:tc>
          <w:tcPr>
            <w:tcW w:type="dxa" w:w="2166"/>
            <w:tcW w:type="dxa" w:w="14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0.05</w:t>
            </w:r>
          </w:p>
        </w:tc>
        <w:tc>
          <w:tcPr>
            <w:tcW w:type="dxa" w:w="2166"/>
            <w:tcW w:type="dxa" w:w="32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T0_DRY</w:t>
            </w:r>
          </w:p>
        </w:tc>
        <w:tc>
          <w:tcPr>
            <w:tcW w:type="dxa" w:w="2166"/>
            <w:tcW w:type="dxa" w:w="22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established</w:t>
            </w:r>
          </w:p>
        </w:tc>
      </w:tr>
      <w:tr>
        <w:tc>
          <w:tcPr>
            <w:tcW w:type="dxa" w:w="2166"/>
            <w:tcW w:type="dxa" w:w="22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T1 indoor damp</w:t>
            </w:r>
          </w:p>
        </w:tc>
        <w:tc>
          <w:tcPr>
            <w:tcW w:type="dxa" w:w="2166"/>
            <w:tcW w:type="dxa" w:w="14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0.20</w:t>
            </w:r>
          </w:p>
        </w:tc>
        <w:tc>
          <w:tcPr>
            <w:tcW w:type="dxa" w:w="2166"/>
            <w:tcW w:type="dxa" w:w="32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T1_OCCASIONAL</w:t>
            </w:r>
          </w:p>
        </w:tc>
        <w:tc>
          <w:tcPr>
            <w:tcW w:type="dxa" w:w="2166"/>
            <w:tcW w:type="dxa" w:w="22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established</w:t>
            </w:r>
          </w:p>
        </w:tc>
      </w:tr>
      <w:tr>
        <w:tc>
          <w:tcPr>
            <w:tcW w:type="dxa" w:w="2166"/>
            <w:tcW w:type="dxa" w:w="22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T2 humid</w:t>
            </w:r>
          </w:p>
        </w:tc>
        <w:tc>
          <w:tcPr>
            <w:tcW w:type="dxa" w:w="2166"/>
            <w:tcW w:type="dxa" w:w="14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0.40</w:t>
            </w:r>
          </w:p>
        </w:tc>
        <w:tc>
          <w:tcPr>
            <w:tcW w:type="dxa" w:w="2166"/>
            <w:tcW w:type="dxa" w:w="32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T2_INTERMITTENT</w:t>
            </w:r>
          </w:p>
        </w:tc>
        <w:tc>
          <w:tcPr>
            <w:tcW w:type="dxa" w:w="2166"/>
            <w:tcW w:type="dxa" w:w="22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established</w:t>
            </w:r>
          </w:p>
        </w:tc>
      </w:tr>
      <w:tr>
        <w:tc>
          <w:tcPr>
            <w:tcW w:type="dxa" w:w="2166"/>
            <w:tcW w:type="dxa" w:w="22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T3 chloride</w:t>
            </w:r>
          </w:p>
        </w:tc>
        <w:tc>
          <w:tcPr>
            <w:tcW w:type="dxa" w:w="2166"/>
            <w:tcW w:type="dxa" w:w="14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0.80</w:t>
            </w:r>
          </w:p>
        </w:tc>
        <w:tc>
          <w:tcPr>
            <w:tcW w:type="dxa" w:w="2166"/>
            <w:tcW w:type="dxa" w:w="32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T4_PERSISTENT (not T3)</w:t>
            </w:r>
          </w:p>
        </w:tc>
        <w:tc>
          <w:tcPr>
            <w:tcW w:type="dxa" w:w="2166"/>
            <w:tcW w:type="dxa" w:w="22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established</w:t>
            </w:r>
          </w:p>
        </w:tc>
      </w:tr>
      <w:tr>
        <w:tc>
          <w:tcPr>
            <w:tcW w:type="dxa" w:w="2166"/>
            <w:tcW w:type="dxa" w:w="22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T4 marine</w:t>
            </w:r>
          </w:p>
        </w:tc>
        <w:tc>
          <w:tcPr>
            <w:tcW w:type="dxa" w:w="2166"/>
            <w:tcW w:type="dxa" w:w="14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1.00</w:t>
            </w:r>
          </w:p>
        </w:tc>
        <w:tc>
          <w:tcPr>
            <w:tcW w:type="dxa" w:w="2166"/>
            <w:tcW w:type="dxa" w:w="32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T5_IMMERSION</w:t>
            </w:r>
          </w:p>
        </w:tc>
        <w:tc>
          <w:tcPr>
            <w:tcW w:type="dxa" w:w="2166"/>
            <w:tcW w:type="dxa" w:w="22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established</w:t>
            </w:r>
          </w:p>
        </w:tc>
      </w:tr>
      <w:tr>
        <w:tc>
          <w:tcPr>
            <w:tcW w:type="dxa" w:w="2166"/>
            <w:tcW w:type="dxa" w:w="22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T5 industrial</w:t>
            </w:r>
          </w:p>
        </w:tc>
        <w:tc>
          <w:tcPr>
            <w:tcW w:type="dxa" w:w="2166"/>
            <w:tcW w:type="dxa" w:w="14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0.85</w:t>
            </w:r>
          </w:p>
        </w:tc>
        <w:tc>
          <w:tcPr>
            <w:tcW w:type="dxa" w:w="2166"/>
            <w:tcW w:type="dxa" w:w="32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none — interpolated</w:t>
            </w:r>
          </w:p>
        </w:tc>
        <w:tc>
          <w:tcPr>
            <w:tcW w:type="dxa" w:w="2166"/>
            <w:tcW w:type="dxa" w:w="22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provisional</w:t>
            </w:r>
          </w:p>
        </w:tc>
      </w:tr>
      <w:tr>
        <w:tc>
          <w:tcPr>
            <w:tcW w:type="dxa" w:w="2166"/>
            <w:tcW w:type="dxa" w:w="22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unclassified</w:t>
            </w:r>
          </w:p>
        </w:tc>
        <w:tc>
          <w:tcPr>
            <w:tcW w:type="dxa" w:w="2166"/>
            <w:tcW w:type="dxa" w:w="14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no value</w:t>
            </w:r>
          </w:p>
        </w:tc>
        <w:tc>
          <w:tcPr>
            <w:tcW w:type="dxa" w:w="2166"/>
            <w:tcW w:type="dxa" w:w="32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raises a data-quality issue</w:t>
            </w:r>
          </w:p>
        </w:tc>
        <w:tc>
          <w:tcPr>
            <w:tcW w:type="dxa" w:w="2166"/>
            <w:tcW w:type="dxa" w:w="22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n/a</w:t>
            </w:r>
          </w:p>
        </w:tc>
      </w:tr>
    </w:tbl>
    <w:p>
      <w:pPr>
        <w:spacing w:after="120"/>
        <w:jc w:val="both"/>
      </w:pPr>
      <w:r>
        <w:rPr>
          <w:rFonts w:ascii="Arial" w:hAnsi="Arial" w:cs="Arial" w:eastAsia="Arial"/>
          <w:b w:val="0"/>
          <w:i w:val="0"/>
          <w:sz w:val="22"/>
        </w:rPr>
        <w:t>Table 13.2: MM-001 environment severity ladder and its mapping to CC-001 wetting classes</w:t>
      </w:r>
    </w:p>
    <w:p>
      <w:pPr>
        <w:spacing w:after="200"/>
        <w:jc w:val="both"/>
      </w:pPr>
      <w:r>
        <w:rPr>
          <w:rFonts w:ascii="Arial" w:hAnsi="Arial" w:cs="Arial" w:eastAsia="Arial"/>
          <w:b w:val="0"/>
          <w:i w:val="0"/>
          <w:sz w:val="22"/>
        </w:rPr>
        <w:t>Two entries in that table carry the argument. T3 chloride borrows CC-001's T4 class rather than its positional T3, because pool halls and coastal interiors are chloride-dominated and the positional mapping would understate them. T5 industrial has no CC-001 counterpart at all, so its value is interpolated rather than borrowed and is tagged provisional — the weakest cell in the table, pinned by a fixture scenario so that a later edit cannot move it unnoticed.</w:t>
      </w:r>
    </w:p>
    <w:p>
      <w:pPr>
        <w:spacing w:after="200"/>
        <w:jc w:val="both"/>
      </w:pPr>
      <w:r>
        <w:rPr>
          <w:rFonts w:ascii="Arial" w:hAnsi="Arial" w:cs="Arial" w:eastAsia="Arial"/>
          <w:b w:val="0"/>
          <w:i w:val="0"/>
          <w:sz w:val="22"/>
        </w:rPr>
        <w:t>An unclassified environment raises a data-quality issue and never a numeric severity. Scoring an unclassified environment as benign would silently suppress findings on every element the producer could not classify. This is the same fail-conservative property recorded for MC-001 in §12.7, applied to a different input.</w:t>
      </w:r>
    </w:p>
    <w:p>
      <w:pPr>
        <w:spacing w:after="200"/>
        <w:jc w:val="both"/>
      </w:pPr>
      <w:r>
        <w:rPr>
          <w:rFonts w:ascii="Arial" w:hAnsi="Arial" w:cs="Arial" w:eastAsia="Arial"/>
          <w:b w:val="0"/>
          <w:i w:val="0"/>
          <w:sz w:val="22"/>
        </w:rPr>
        <w:t>A kinetics guard prevents temperature alone from escalating a benign pairing: where the matrix cell sits below 0.35, the temperature stress term is capped at 0.35. Without it, a material well suited to its medium could be driven into a Medium band by operating temperature that the material comfortably tolerates.</w:t>
      </w:r>
    </w:p>
    <w:p>
      <w:pPr>
        <w:pStyle w:val="Heading2"/>
        <w:spacing w:before="360" w:after="120"/>
      </w:pPr>
      <w:r>
        <w:rPr>
          <w:rFonts w:ascii="Arial" w:hAnsi="Arial" w:cs="Arial" w:eastAsia="Arial"/>
          <w:b/>
          <w:i w:val="0"/>
          <w:sz w:val="28"/>
        </w:rPr>
        <w:t>13.3  XM-001 — cross-material contamination</w:t>
      </w:r>
    </w:p>
    <w:p>
      <w:pPr>
        <w:spacing w:after="200"/>
        <w:jc w:val="both"/>
      </w:pPr>
      <w:r>
        <w:rPr>
          <w:rFonts w:ascii="Arial" w:hAnsi="Arial" w:cs="Arial" w:eastAsia="Arial"/>
          <w:b w:val="0"/>
          <w:i w:val="0"/>
          <w:sz w:val="22"/>
        </w:rPr>
        <w:t>Where MM-001 asks about one element and its fluid, XM-001 asks about two elements and the joint between them. It scores the galvanic couple formed where dissimilar materials meet, either in direct contact or through shared media in the same loop.</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4926"/>
      </w:tblGrid>
      <w:tr>
        <w:trPr>
          <w:tblHeader/>
        </w:trPr>
        <w:tc>
          <w:tcPr>
            <w:tcW w:type="dxa" w:w="2889"/>
            <w:tcW w:type="dxa" w:w="2600"/>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pPr>
              <w:spacing w:after="0"/>
              <w:jc w:val="left"/>
            </w:pPr>
            <w:r>
              <w:rPr>
                <w:rFonts w:ascii="Arial" w:hAnsi="Arial" w:cs="Arial" w:eastAsia="Arial"/>
                <w:b/>
                <w:i w:val="0"/>
                <w:color w:val="FFFFFF"/>
                <w:sz w:val="20"/>
              </w:rPr>
              <w:t>Term or factor</w:t>
            </w:r>
          </w:p>
        </w:tc>
        <w:tc>
          <w:tcPr>
            <w:tcW w:type="dxa" w:w="2889"/>
            <w:tcW w:type="dxa" w:w="1500"/>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pPr>
              <w:spacing w:after="0"/>
              <w:jc w:val="left"/>
            </w:pPr>
            <w:r>
              <w:rPr>
                <w:rFonts w:ascii="Arial" w:hAnsi="Arial" w:cs="Arial" w:eastAsia="Arial"/>
                <w:b/>
                <w:i w:val="0"/>
                <w:color w:val="FFFFFF"/>
                <w:sz w:val="20"/>
              </w:rPr>
              <w:t>Value</w:t>
            </w:r>
          </w:p>
        </w:tc>
        <w:tc>
          <w:tcPr>
            <w:tcW w:type="dxa" w:w="2889"/>
            <w:tcW w:type="dxa" w:w="4926"/>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pPr>
              <w:spacing w:after="0"/>
              <w:jc w:val="left"/>
            </w:pPr>
            <w:r>
              <w:rPr>
                <w:rFonts w:ascii="Arial" w:hAnsi="Arial" w:cs="Arial" w:eastAsia="Arial"/>
                <w:b/>
                <w:i w:val="0"/>
                <w:color w:val="FFFFFF"/>
                <w:sz w:val="20"/>
              </w:rPr>
              <w:t>Basis</w:t>
            </w:r>
          </w:p>
        </w:tc>
      </w:tr>
      <w:tr>
        <w:tc>
          <w:tcPr>
            <w:tcW w:type="dxa" w:w="2889"/>
            <w:tcW w:type="dxa" w:w="26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Voltage risk (weight)</w:t>
            </w:r>
          </w:p>
        </w:tc>
        <w:tc>
          <w:tcPr>
            <w:tcW w:type="dxa" w:w="2889"/>
            <w:tcW w:type="dxa" w:w="15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0.50</w:t>
            </w:r>
          </w:p>
        </w:tc>
        <w:tc>
          <w:tcPr>
            <w:tcW w:type="dxa" w:w="2889"/>
            <w:tcW w:type="dxa" w:w="49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Potential gap normalised over 1.0 V, clamped above</w:t>
            </w:r>
          </w:p>
        </w:tc>
      </w:tr>
      <w:tr>
        <w:tc>
          <w:tcPr>
            <w:tcW w:type="dxa" w:w="2889"/>
            <w:tcW w:type="dxa" w:w="26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Separation (weight)</w:t>
            </w:r>
          </w:p>
        </w:tc>
        <w:tc>
          <w:tcPr>
            <w:tcW w:type="dxa" w:w="2889"/>
            <w:tcW w:type="dxa" w:w="15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0.30</w:t>
            </w:r>
          </w:p>
        </w:tc>
        <w:tc>
          <w:tcPr>
            <w:tcW w:type="dxa" w:w="2889"/>
            <w:tcW w:type="dxa" w:w="49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Joint condition between the two elements</w:t>
            </w:r>
          </w:p>
        </w:tc>
      </w:tr>
      <w:tr>
        <w:tc>
          <w:tcPr>
            <w:tcW w:type="dxa" w:w="2889"/>
            <w:tcW w:type="dxa" w:w="26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Environment (weight)</w:t>
            </w:r>
          </w:p>
        </w:tc>
        <w:tc>
          <w:tcPr>
            <w:tcW w:type="dxa" w:w="2889"/>
            <w:tcW w:type="dxa" w:w="15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0.20</w:t>
            </w:r>
          </w:p>
        </w:tc>
        <w:tc>
          <w:tcPr>
            <w:tcW w:type="dxa" w:w="2889"/>
            <w:tcW w:type="dxa" w:w="49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Environment class, via the MM-001 table</w:t>
            </w:r>
          </w:p>
        </w:tc>
      </w:tr>
      <w:tr>
        <w:tc>
          <w:tcPr>
            <w:tcW w:type="dxa" w:w="2889"/>
            <w:tcW w:type="dxa" w:w="26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Separation — direct contact</w:t>
            </w:r>
          </w:p>
        </w:tc>
        <w:tc>
          <w:tcPr>
            <w:tcW w:type="dxa" w:w="2889"/>
            <w:tcW w:type="dxa" w:w="15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 1.00</w:t>
            </w:r>
          </w:p>
        </w:tc>
        <w:tc>
          <w:tcPr>
            <w:tcW w:type="dxa" w:w="2889"/>
            <w:tcW w:type="dxa" w:w="49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Shared joint: metallic continuity plus shared electrolyte</w:t>
            </w:r>
          </w:p>
        </w:tc>
      </w:tr>
      <w:tr>
        <w:tc>
          <w:tcPr>
            <w:tcW w:type="dxa" w:w="2889"/>
            <w:tcW w:type="dxa" w:w="26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Separation — same loop</w:t>
            </w:r>
          </w:p>
        </w:tc>
        <w:tc>
          <w:tcPr>
            <w:tcW w:type="dxa" w:w="2889"/>
            <w:tcW w:type="dxa" w:w="15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 0.80</w:t>
            </w:r>
          </w:p>
        </w:tc>
        <w:tc>
          <w:tcPr>
            <w:tcW w:type="dxa" w:w="2889"/>
            <w:tcW w:type="dxa" w:w="49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No joint, but a shared electrolyte path</w:t>
            </w:r>
          </w:p>
        </w:tc>
      </w:tr>
      <w:tr>
        <w:tc>
          <w:tcPr>
            <w:tcW w:type="dxa" w:w="2889"/>
            <w:tcW w:type="dxa" w:w="26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Mitigation — dielectric union</w:t>
            </w:r>
          </w:p>
        </w:tc>
        <w:tc>
          <w:tcPr>
            <w:tcW w:type="dxa" w:w="2889"/>
            <w:tcW w:type="dxa" w:w="15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 0.10</w:t>
            </w:r>
          </w:p>
        </w:tc>
        <w:tc>
          <w:tcPr>
            <w:tcW w:type="dxa" w:w="2889"/>
            <w:tcW w:type="dxa" w:w="49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JT-014 breaks metallic continuity; residual covers installation error</w:t>
            </w:r>
          </w:p>
        </w:tc>
      </w:tr>
    </w:tbl>
    <w:p>
      <w:pPr>
        <w:spacing w:after="120"/>
        <w:jc w:val="both"/>
      </w:pPr>
      <w:r>
        <w:rPr>
          <w:rFonts w:ascii="Arial" w:hAnsi="Arial" w:cs="Arial" w:eastAsia="Arial"/>
          <w:b w:val="0"/>
          <w:i w:val="0"/>
          <w:sz w:val="22"/>
        </w:rPr>
        <w:t>Table 13.3: XM-001 composite scoring terms, separation and mitigation factors</w:t>
      </w:r>
    </w:p>
    <w:p>
      <w:pPr>
        <w:spacing w:after="200"/>
        <w:jc w:val="both"/>
      </w:pPr>
      <w:r>
        <w:rPr>
          <w:rFonts w:ascii="Arial" w:hAnsi="Arial" w:cs="Arial" w:eastAsia="Arial"/>
          <w:b w:val="0"/>
          <w:i w:val="0"/>
          <w:sz w:val="22"/>
        </w:rPr>
        <w:t>The pack holds no galvanic series of its own. The series lives in exactly one place, the GC-001 ruleset, and XM-001 reads it from there. That single-source rule is what made an inconsistency findable. Approval flipped the series convention from more-negative-is-anodic to more-positive-is-anodic after verification against the seeded GC-001 payload, which is an anodic index rather than an electrode-potential series: all twenty values are positive and ascend from platinum at 0.00 to magnesium at 0.95. The check resolved a live contradiction between two engines — the deployed galvanic engine was correct and the dormant one was wrong, and the dormant one was corrected. Because the engine holding the wrong convention had never been wired into the live pipeline, no user-facing finding ever named the wrong material as the anode. The verification is recorded against the recovered ruleset payload rather than the live database, and is re-runnable.</w:t>
      </w:r>
    </w:p>
    <w:p>
      <w:pPr>
        <w:spacing w:after="200"/>
        <w:jc w:val="both"/>
      </w:pPr>
      <w:r>
        <w:rPr>
          <w:rFonts w:ascii="Arial" w:hAnsi="Arial" w:cs="Arial" w:eastAsia="Arial"/>
          <w:b w:val="0"/>
          <w:i w:val="0"/>
          <w:sz w:val="22"/>
        </w:rPr>
        <w:t>A compatibility floor suppresses couples below the environment's NASA-STD-6012 threshold entirely: no finding at all, rather than a Low-band finding. Above that floor every dissimilar couple produces an issue, including mitigated ones banded Low, because the audience is modellers who do not routinely consider dissimilar-metal joints and for whom a visible Low is more useful than silence.</w:t>
      </w:r>
    </w:p>
    <w:p>
      <w:pPr>
        <w:pStyle w:val="Heading2"/>
        <w:spacing w:before="360" w:after="120"/>
      </w:pPr>
      <w:r>
        <w:rPr>
          <w:rFonts w:ascii="Arial" w:hAnsi="Arial" w:cs="Arial" w:eastAsia="Arial"/>
          <w:b/>
          <w:i w:val="0"/>
          <w:sz w:val="28"/>
        </w:rPr>
        <w:t>13.4  Integration — two comparator paths</w:t>
      </w:r>
    </w:p>
    <w:p>
      <w:pPr>
        <w:spacing w:after="200"/>
        <w:jc w:val="both"/>
      </w:pPr>
      <w:r>
        <w:rPr>
          <w:rFonts w:ascii="Arial" w:hAnsi="Arial" w:cs="Arial" w:eastAsia="Arial"/>
          <w:b w:val="0"/>
          <w:i w:val="0"/>
          <w:sz w:val="22"/>
        </w:rPr>
        <w:t>The two engines do not share the output shape of the first three, and the difference is structural rather than cosmetic. The established path emits one flat record per element, always, whether or not anything is wrong. The extended path emits an issue only where there is a finding, and an XM-001 issue references two elements rather than one.</w:t>
      </w:r>
    </w:p>
    <w:p>
      <w:pPr>
        <w:spacing w:after="200"/>
        <w:jc w:val="both"/>
      </w:pPr>
      <w:r>
        <w:rPr>
          <w:rFonts w:ascii="Arial" w:hAnsi="Arial" w:cs="Arial" w:eastAsia="Arial"/>
          <w:b w:val="0"/>
          <w:i w:val="0"/>
          <w:sz w:val="22"/>
        </w:rPr>
        <w:t>Three differences drive the adapter between them. Cardinality: one row per element against zero or more issues per element. Absence semantics: a compliant element is a Low row on the first path and nothing at all on the second, so merging naively would make every compliant element appear unassessed by MM-001 and XM-001. Identity: both key on the IFC GUID, so the join key already exists and needs no invention.</w:t>
      </w:r>
    </w:p>
    <w:p>
      <w:pPr>
        <w:spacing w:after="200"/>
        <w:jc w:val="both"/>
      </w:pPr>
      <w:r>
        <w:rPr>
          <w:rFonts w:ascii="Arial" w:hAnsi="Arial" w:cs="Arial" w:eastAsia="Arial"/>
          <w:b w:val="0"/>
          <w:i w:val="0"/>
          <w:sz w:val="22"/>
        </w:rPr>
        <w:t>The engines sit behind separate feature flags, both defaulting to off. They are deliberately not on one switch. MM-001 runs entirely from disk, while XM-001's loader reads the GC-001 series from the database and must degrade to ‘not assessed’ if that read fails, never to an empty result that would read as ‘no couples found’. Reporting absence of data as absence of risk is the specific failure this separation prevents.</w:t>
      </w:r>
    </w:p>
    <w:p>
      <w:pPr>
        <w:pStyle w:val="Heading2"/>
        <w:spacing w:before="360" w:after="120"/>
      </w:pPr>
      <w:r>
        <w:rPr>
          <w:rFonts w:ascii="Arial" w:hAnsi="Arial" w:cs="Arial" w:eastAsia="Arial"/>
          <w:b/>
          <w:i w:val="0"/>
          <w:sz w:val="28"/>
        </w:rPr>
        <w:t>13.5  Validation</w:t>
      </w:r>
    </w:p>
    <w:p>
      <w:pPr>
        <w:spacing w:after="200"/>
        <w:jc w:val="both"/>
      </w:pPr>
      <w:r>
        <w:rPr>
          <w:rFonts w:ascii="Arial" w:hAnsi="Arial" w:cs="Arial" w:eastAsia="Arial"/>
          <w:b w:val="0"/>
          <w:i w:val="0"/>
          <w:sz w:val="22"/>
        </w:rPr>
        <w:t>Both engines are covered by automated test suites — 29 tests for MM-001 and 39 for XM-001. The suites are organised by what each group protects, and three of those groups test the ruleset rather than the arithmetic: that the pack carries an approved status, that its weights sum to one, and that every cell in the compatibility matrix carries a citation. A ruleset that lost a citation would fail the suite before any scoring was exercised.</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900"/>
        <w:gridCol w:w="4726"/>
      </w:tblGrid>
      <w:tr>
        <w:trPr>
          <w:tblHeader/>
        </w:trPr>
        <w:tc>
          <w:tcPr>
            <w:tcW w:type="dxa" w:w="2166"/>
            <w:tcW w:type="dxa" w:w="2500"/>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pPr>
              <w:spacing w:after="0"/>
              <w:jc w:val="left"/>
            </w:pPr>
            <w:r>
              <w:rPr>
                <w:rFonts w:ascii="Arial" w:hAnsi="Arial" w:cs="Arial" w:eastAsia="Arial"/>
                <w:b/>
                <w:i w:val="0"/>
                <w:color w:val="FFFFFF"/>
                <w:sz w:val="20"/>
              </w:rPr>
              <w:t>Test group</w:t>
            </w:r>
          </w:p>
        </w:tc>
        <w:tc>
          <w:tcPr>
            <w:tcW w:type="dxa" w:w="2166"/>
            <w:tcW w:type="dxa" w:w="900"/>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pPr>
              <w:spacing w:after="0"/>
              <w:jc w:val="left"/>
            </w:pPr>
            <w:r>
              <w:rPr>
                <w:rFonts w:ascii="Arial" w:hAnsi="Arial" w:cs="Arial" w:eastAsia="Arial"/>
                <w:b/>
                <w:i w:val="0"/>
                <w:color w:val="FFFFFF"/>
                <w:sz w:val="20"/>
              </w:rPr>
              <w:t>MM-001</w:t>
            </w:r>
          </w:p>
        </w:tc>
        <w:tc>
          <w:tcPr>
            <w:tcW w:type="dxa" w:w="2166"/>
            <w:tcW w:type="dxa" w:w="900"/>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pPr>
              <w:spacing w:after="0"/>
              <w:jc w:val="left"/>
            </w:pPr>
            <w:r>
              <w:rPr>
                <w:rFonts w:ascii="Arial" w:hAnsi="Arial" w:cs="Arial" w:eastAsia="Arial"/>
                <w:b/>
                <w:i w:val="0"/>
                <w:color w:val="FFFFFF"/>
                <w:sz w:val="20"/>
              </w:rPr>
              <w:t>XM-001</w:t>
            </w:r>
          </w:p>
        </w:tc>
        <w:tc>
          <w:tcPr>
            <w:tcW w:type="dxa" w:w="2166"/>
            <w:tcW w:type="dxa" w:w="4726"/>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pPr>
              <w:spacing w:after="0"/>
              <w:jc w:val="left"/>
            </w:pPr>
            <w:r>
              <w:rPr>
                <w:rFonts w:ascii="Arial" w:hAnsi="Arial" w:cs="Arial" w:eastAsia="Arial"/>
                <w:b/>
                <w:i w:val="0"/>
                <w:color w:val="FFFFFF"/>
                <w:sz w:val="20"/>
              </w:rPr>
              <w:t>What it protects</w:t>
            </w:r>
          </w:p>
        </w:tc>
      </w:tr>
      <w:tr>
        <w:tc>
          <w:tcPr>
            <w:tcW w:type="dxa" w:w="2166"/>
            <w:tcW w:type="dxa" w:w="25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Rule pack contract</w:t>
            </w:r>
          </w:p>
        </w:tc>
        <w:tc>
          <w:tcPr>
            <w:tcW w:type="dxa" w:w="2166"/>
            <w:tcW w:type="dxa" w:w="9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4</w:t>
            </w:r>
          </w:p>
        </w:tc>
        <w:tc>
          <w:tcPr>
            <w:tcW w:type="dxa" w:w="2166"/>
            <w:tcW w:type="dxa" w:w="9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4</w:t>
            </w:r>
          </w:p>
        </w:tc>
        <w:tc>
          <w:tcPr>
            <w:tcW w:type="dxa" w:w="2166"/>
            <w:tcW w:type="dxa" w:w="47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Approved status, required keys, weights sum to one, every cell cited</w:t>
            </w:r>
          </w:p>
        </w:tc>
      </w:tr>
      <w:tr>
        <w:tc>
          <w:tcPr>
            <w:tcW w:type="dxa" w:w="2166"/>
            <w:tcW w:type="dxa" w:w="25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Scenario verdicts</w:t>
            </w:r>
          </w:p>
        </w:tc>
        <w:tc>
          <w:tcPr>
            <w:tcW w:type="dxa" w:w="2166"/>
            <w:tcW w:type="dxa" w:w="9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7</w:t>
            </w:r>
          </w:p>
        </w:tc>
        <w:tc>
          <w:tcPr>
            <w:tcW w:type="dxa" w:w="2166"/>
            <w:tcW w:type="dxa" w:w="9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5</w:t>
            </w:r>
          </w:p>
        </w:tc>
        <w:tc>
          <w:tcPr>
            <w:tcW w:type="dxa" w:w="2166"/>
            <w:tcW w:type="dxa" w:w="47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Named cases land in the expected band</w:t>
            </w:r>
          </w:p>
        </w:tc>
      </w:tr>
      <w:tr>
        <w:tc>
          <w:tcPr>
            <w:tcW w:type="dxa" w:w="2166"/>
            <w:tcW w:type="dxa" w:w="25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Data quality / tier semantics</w:t>
            </w:r>
          </w:p>
        </w:tc>
        <w:tc>
          <w:tcPr>
            <w:tcW w:type="dxa" w:w="2166"/>
            <w:tcW w:type="dxa" w:w="9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5</w:t>
            </w:r>
          </w:p>
        </w:tc>
        <w:tc>
          <w:tcPr>
            <w:tcW w:type="dxa" w:w="2166"/>
            <w:tcW w:type="dxa" w:w="9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3</w:t>
            </w:r>
          </w:p>
        </w:tc>
        <w:tc>
          <w:tcPr>
            <w:tcW w:type="dxa" w:w="2166"/>
            <w:tcW w:type="dxa" w:w="47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Missing input never scored as benign</w:t>
            </w:r>
          </w:p>
        </w:tc>
      </w:tr>
      <w:tr>
        <w:tc>
          <w:tcPr>
            <w:tcW w:type="dxa" w:w="2166"/>
            <w:tcW w:type="dxa" w:w="25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Audit trail</w:t>
            </w:r>
          </w:p>
        </w:tc>
        <w:tc>
          <w:tcPr>
            <w:tcW w:type="dxa" w:w="2166"/>
            <w:tcW w:type="dxa" w:w="9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5</w:t>
            </w:r>
          </w:p>
        </w:tc>
        <w:tc>
          <w:tcPr>
            <w:tcW w:type="dxa" w:w="2166"/>
            <w:tcW w:type="dxa" w:w="9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2</w:t>
            </w:r>
          </w:p>
        </w:tc>
        <w:tc>
          <w:tcPr>
            <w:tcW w:type="dxa" w:w="2166"/>
            <w:tcW w:type="dxa" w:w="47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Findings carry citations and match their stored score</w:t>
            </w:r>
          </w:p>
        </w:tc>
      </w:tr>
      <w:tr>
        <w:tc>
          <w:tcPr>
            <w:tcW w:type="dxa" w:w="2166"/>
            <w:tcW w:type="dxa" w:w="25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Mechanism-specific</w:t>
            </w:r>
          </w:p>
        </w:tc>
        <w:tc>
          <w:tcPr>
            <w:tcW w:type="dxa" w:w="2166"/>
            <w:tcW w:type="dxa" w:w="9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4</w:t>
            </w:r>
          </w:p>
        </w:tc>
        <w:tc>
          <w:tcPr>
            <w:tcW w:type="dxa" w:w="2166"/>
            <w:tcW w:type="dxa" w:w="9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21</w:t>
            </w:r>
          </w:p>
        </w:tc>
        <w:tc>
          <w:tcPr>
            <w:tcW w:type="dxa" w:w="2166"/>
            <w:tcW w:type="dxa" w:w="47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Kinetics guard; anode identification, mitigation, separation, floor</w:t>
            </w:r>
          </w:p>
        </w:tc>
      </w:tr>
      <w:tr>
        <w:tc>
          <w:tcPr>
            <w:tcW w:type="dxa" w:w="2166"/>
            <w:tcW w:type="dxa" w:w="25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Output shape</w:t>
            </w:r>
          </w:p>
        </w:tc>
        <w:tc>
          <w:tcPr>
            <w:tcW w:type="dxa" w:w="2166"/>
            <w:tcW w:type="dxa" w:w="9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4</w:t>
            </w:r>
          </w:p>
        </w:tc>
        <w:tc>
          <w:tcPr>
            <w:tcW w:type="dxa" w:w="2166"/>
            <w:tcW w:type="dxa" w:w="9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4</w:t>
            </w:r>
          </w:p>
        </w:tc>
        <w:tc>
          <w:tcPr>
            <w:tcW w:type="dxa" w:w="2166"/>
            <w:tcW w:type="dxa" w:w="47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Unique issue ids, real element references, silence when compliant</w:t>
            </w:r>
          </w:p>
        </w:tc>
      </w:tr>
    </w:tbl>
    <w:p>
      <w:pPr>
        <w:spacing w:after="120"/>
        <w:jc w:val="both"/>
      </w:pPr>
      <w:r>
        <w:rPr>
          <w:rFonts w:ascii="Arial" w:hAnsi="Arial" w:cs="Arial" w:eastAsia="Arial"/>
          <w:b w:val="0"/>
          <w:i w:val="0"/>
          <w:sz w:val="22"/>
        </w:rPr>
        <w:t>Table 13.4: Test coverage for MM-001 and XM-001 by group</w:t>
      </w:r>
    </w:p>
    <w:p>
      <w:pPr>
        <w:spacing w:after="200"/>
        <w:jc w:val="both"/>
      </w:pPr>
      <w:r>
        <w:rPr>
          <w:rFonts w:ascii="Arial" w:hAnsi="Arial" w:cs="Arial" w:eastAsia="Arial"/>
          <w:b w:val="0"/>
          <w:i w:val="0"/>
          <w:sz w:val="22"/>
        </w:rPr>
        <w:t>Two groups carry the arguments made earlier in this chapter. The data-quality group enforces the fail-conservative property: an unclassified environment, an unknown material and an unmapped pairing each raise a data-quality issue, and a separate test asserts that a data-quality issue never presents as a scored verdict. The provisional T5 industrial cell of §13.2 is pinned by its own scenario, so an edit to that value fails the suite rather than passing unnoticed — which is what makes the word ‘provisional’ enforceable rather than decorative.</w:t>
      </w:r>
    </w:p>
    <w:p>
      <w:pPr>
        <w:spacing w:after="200"/>
        <w:jc w:val="both"/>
      </w:pPr>
      <w:r>
        <w:rPr>
          <w:rFonts w:ascii="Arial" w:hAnsi="Arial" w:cs="Arial" w:eastAsia="Arial"/>
          <w:b w:val="0"/>
          <w:i w:val="0"/>
          <w:sz w:val="22"/>
        </w:rPr>
        <w:t>For XM-001 the single-source contract is itself a test: the pack file is asserted to hold no material potentials, so the galvanic series cannot silently fork into a second copy. The compatibility floor is tested to suppress a compatible pair rather than downgrade it, to vary its threshold by environment, and to fail open on an environment it cannot map — reporting the couple rather than discarding it.</w:t>
      </w:r>
    </w:p>
    <w:p>
      <w:pPr>
        <w:spacing w:after="200"/>
        <w:jc w:val="both"/>
      </w:pPr>
      <w:r>
        <w:rPr>
          <w:rFonts w:ascii="Arial" w:hAnsi="Arial" w:cs="Arial" w:eastAsia="Arial"/>
          <w:b w:val="0"/>
          <w:i w:val="0"/>
          <w:sz w:val="22"/>
        </w:rPr>
        <w:t>These are unit and contract tests on synthetic fixtures. They establish that the engines behave as their rulesets specify; they do not establish that the rulesets are correctly calibrated against built assets, which is the distinction §14.1 draws between what a test can prove and what only an expert can judge.</w:t>
      </w:r>
    </w:p>
    <w:p>
      <w:pPr>
        <w:pStyle w:val="Heading2"/>
        <w:spacing w:before="360" w:after="120"/>
      </w:pPr>
      <w:r>
        <w:rPr>
          <w:rFonts w:ascii="Arial" w:hAnsi="Arial" w:cs="Arial" w:eastAsia="Arial"/>
          <w:b/>
          <w:i w:val="0"/>
          <w:sz w:val="28"/>
        </w:rPr>
        <w:t>13.6  Approval record and carried limitations</w:t>
      </w:r>
    </w:p>
    <w:p>
      <w:pPr>
        <w:spacing w:after="200"/>
        <w:jc w:val="both"/>
      </w:pPr>
      <w:r>
        <w:rPr>
          <w:rFonts w:ascii="Arial" w:hAnsi="Arial" w:cs="Arial" w:eastAsia="Arial"/>
          <w:b w:val="0"/>
          <w:i w:val="0"/>
          <w:sz w:val="22"/>
        </w:rPr>
        <w:t>Both rulesets are approved at version 1.0 with a named approver and a recorded amendment list. Four limitations are carried in the pack rather than hidden.</w:t>
      </w:r>
    </w:p>
    <w:p>
      <w:pPr>
        <w:pStyle w:val="ListParagraph"/>
        <w:spacing w:after="80"/>
        <w:ind w:left="432"/>
        <w:jc w:val="both"/>
      </w:pPr>
      <w:r>
        <w:rPr>
          <w:rFonts w:ascii="Arial" w:hAnsi="Arial" w:cs="Arial" w:eastAsia="Arial"/>
          <w:b w:val="0"/>
          <w:i w:val="0"/>
          <w:sz w:val="22"/>
        </w:rPr>
        <w:t>1.  The T5 industrial severity of 0.85 is provisional. It is the only environment value with no CC-001 counterpart, so it is interpolated rather than borrowed.</w:t>
      </w:r>
    </w:p>
    <w:p>
      <w:pPr>
        <w:pStyle w:val="ListParagraph"/>
        <w:spacing w:after="80"/>
        <w:ind w:left="432"/>
        <w:jc w:val="both"/>
      </w:pPr>
      <w:r>
        <w:rPr>
          <w:rFonts w:ascii="Arial" w:hAnsi="Arial" w:cs="Arial" w:eastAsia="Arial"/>
          <w:b w:val="0"/>
          <w:i w:val="0"/>
          <w:sz w:val="22"/>
        </w:rPr>
        <w:t>2.  Water chemistry — chloride concentration, pH, hardness and dissolved oxygen — is absent from the element schema. Cells assume typical UK potable chemistry, so copper Type 2 pitting in soft-water regions is understated.</w:t>
      </w:r>
    </w:p>
    <w:p>
      <w:pPr>
        <w:pStyle w:val="ListParagraph"/>
        <w:spacing w:after="80"/>
        <w:ind w:left="432"/>
        <w:jc w:val="both"/>
      </w:pPr>
      <w:r>
        <w:rPr>
          <w:rFonts w:ascii="Arial" w:hAnsi="Arial" w:cs="Arial" w:eastAsia="Arial"/>
          <w:b w:val="0"/>
          <w:i w:val="0"/>
          <w:sz w:val="22"/>
        </w:rPr>
        <w:t>3.  Flow velocity is absent, so copper erosion-corrosion above roughly 1.5 m/s and the minimum-flow film maintenance that copper-nickel requires are not modelled.</w:t>
      </w:r>
    </w:p>
    <w:p>
      <w:pPr>
        <w:pStyle w:val="ListParagraph"/>
        <w:spacing w:after="80"/>
        <w:ind w:left="432"/>
        <w:jc w:val="both"/>
      </w:pPr>
      <w:r>
        <w:rPr>
          <w:rFonts w:ascii="Arial" w:hAnsi="Arial" w:cs="Arial" w:eastAsia="Arial"/>
          <w:b w:val="0"/>
          <w:i w:val="0"/>
          <w:sz w:val="22"/>
        </w:rPr>
        <w:t>4.  The digits are a calibration authored for these rulesets, not values quoted from the cited standards. The citations name the standard governing each mechanism; they do not supply the number.</w:t>
      </w:r>
    </w:p>
    <w:p>
      <w:pPr>
        <w:spacing w:after="80"/>
      </w:pPr>
    </w:p>
    <w:p>
      <w:pPr>
        <w:spacing w:after="280"/>
        <w:jc w:val="both"/>
      </w:pPr>
      <w:r>
        <w:rPr>
          <w:rFonts w:ascii="Arial" w:hAnsi="Arial" w:cs="Arial" w:eastAsia="Arial"/>
          <w:b w:val="0"/>
          <w:i w:val="0"/>
          <w:sz w:val="22"/>
        </w:rPr>
        <w:t>The fourth is the most important and the least comfortable. It is the same distinction §4.6.4 draws between a normative value and a provisional one, applied here to material chemistry: a citation that establishes a mechanism is not a citation that establishes a threshold, and a ruleset that conflates the two would claim more authority than it holds.</w:t>
      </w:r>
    </w:p>
    <w:p>
      <w:pPr>
        <w:pStyle w:val="Heading1"/>
        <w:spacing w:before="480" w:after="240"/>
      </w:pPr>
      <w:r>
        <w:rPr>
          <w:rFonts w:ascii="Arial" w:hAnsi="Arial" w:cs="Arial" w:eastAsia="Arial"/>
          <w:b/>
          <w:i w:val="0"/>
          <w:sz w:val="36"/>
        </w:rPr>
        <w:t>Chapter 14 — The Expert Review Process</w:t>
      </w:r>
    </w:p>
    <w:p>
      <w:pPr>
        <w:pStyle w:val="Heading2"/>
        <w:spacing w:before="360" w:after="120"/>
      </w:pPr>
      <w:r>
        <w:rPr>
          <w:rFonts w:ascii="Arial" w:hAnsi="Arial" w:cs="Arial" w:eastAsia="Arial"/>
          <w:b/>
          <w:i w:val="0"/>
          <w:sz w:val="28"/>
        </w:rPr>
        <w:t>14.1  Why the process exists</w:t>
      </w:r>
    </w:p>
    <w:p>
      <w:pPr>
        <w:spacing w:after="200"/>
        <w:jc w:val="both"/>
      </w:pPr>
      <w:r>
        <w:rPr>
          <w:rFonts w:ascii="Arial" w:hAnsi="Arial" w:cs="Arial" w:eastAsia="Arial"/>
          <w:b w:val="0"/>
          <w:i w:val="0"/>
          <w:sz w:val="22"/>
        </w:rPr>
        <w:t>Two of the three components produce output that unit tests cannot validate. A test can prove that an extracted rule is schema-valid and executable; only a domain expert can judge whether it means what the clause means. A test can prove that a composite score matches the published formula; only an expert can judge whether the resulting risk band is engineering-credible for that element.</w:t>
      </w:r>
    </w:p>
    <w:p>
      <w:pPr>
        <w:spacing w:after="200"/>
        <w:jc w:val="both"/>
      </w:pPr>
      <w:r>
        <w:rPr>
          <w:rFonts w:ascii="Arial" w:hAnsi="Arial" w:cs="Arial" w:eastAsia="Arial"/>
          <w:b w:val="0"/>
          <w:i w:val="0"/>
          <w:sz w:val="22"/>
        </w:rPr>
        <w:t>The generic comparator is deliberately excluded as a review object. It performs deterministic threshold evaluation whose correctness is fully decidable by unit tests, and subjecting it to expert review would spend scarce specialist time on the one component that does not need it. That leaves two review objects: a candidate rule produced from a regulatory clause, and a compliance finding produced by a corrosion engine.</w:t>
      </w:r>
    </w:p>
    <w:p>
      <w:pPr>
        <w:pStyle w:val="Heading2"/>
        <w:spacing w:before="360" w:after="120"/>
      </w:pPr>
      <w:r>
        <w:rPr>
          <w:rFonts w:ascii="Arial" w:hAnsi="Arial" w:cs="Arial" w:eastAsia="Arial"/>
          <w:b/>
          <w:i w:val="0"/>
          <w:sz w:val="28"/>
        </w:rPr>
        <w:t>14.2  Roles and independence</w:t>
      </w:r>
    </w:p>
    <w:p>
      <w:pPr>
        <w:spacing w:after="200"/>
        <w:jc w:val="both"/>
      </w:pPr>
      <w:r>
        <w:rPr>
          <w:rFonts w:ascii="Arial" w:hAnsi="Arial" w:cs="Arial" w:eastAsia="Arial"/>
          <w:b w:val="0"/>
          <w:i w:val="0"/>
          <w:sz w:val="22"/>
        </w:rPr>
        <w:t>Five roles carry the process. The Extraction Author is the system itself, producing candidates with confidence, source text and clause reference populated; it may approve nothing. The Reviewing Expert scores candidates against the rubric and records a decision with a rationale. The BIM Coordinator confirms the rule is checkable against the delivered model, holding a veto on IFC-mappability alone. The Accountable Approver publishes approved rules and owns the audit trail, an ISO 19650 information-management responsibility. The Process Owner aggregates rejection reasons and owns the extraction prompt and the engine tables.</w:t>
      </w:r>
    </w:p>
    <w:p>
      <w:pPr>
        <w:spacing w:after="200"/>
        <w:jc w:val="both"/>
      </w:pPr>
      <w:r>
        <w:rPr>
          <w:rFonts w:ascii="Arial" w:hAnsi="Arial" w:cs="Arial" w:eastAsia="Arial"/>
          <w:b w:val="0"/>
          <w:i w:val="0"/>
          <w:sz w:val="22"/>
        </w:rPr>
        <w:t>Roles are functions rather than people, and one person may hold several on a small project, but two separations are absolute. The Extraction Author and the Reviewing Expert must never be the same individual, and the Accountable Approver must never be the person who authored the amendment being approved. For any rule of mandatory severity the Reviewing Expert must additionally be independent of whoever authored the source specification. This mirrors ordinary design-assurance practice and stops the process degenerating into self-certification.</w:t>
      </w:r>
    </w:p>
    <w:p>
      <w:pPr>
        <w:pStyle w:val="Heading2"/>
        <w:spacing w:before="360" w:after="120"/>
      </w:pPr>
      <w:r>
        <w:rPr>
          <w:rFonts w:ascii="Arial" w:hAnsi="Arial" w:cs="Arial" w:eastAsia="Arial"/>
          <w:b/>
          <w:i w:val="0"/>
          <w:sz w:val="28"/>
        </w:rPr>
        <w:t>14.3  States and the enforcement gate</w:t>
      </w:r>
    </w:p>
    <w:p>
      <w:pPr>
        <w:spacing w:after="200"/>
        <w:jc w:val="both"/>
      </w:pPr>
      <w:r>
        <w:rPr>
          <w:rFonts w:ascii="Arial" w:hAnsi="Arial" w:cs="Arial" w:eastAsia="Arial"/>
          <w:b w:val="0"/>
          <w:i w:val="0"/>
          <w:sz w:val="22"/>
        </w:rPr>
        <w:t>Every review object moves through one state machine: DRAFT, IN_REVIEW, AMENDED, REJECTED, APPROVED, PUBLISHED and SUPERSEDED. State is a property of the record rather than of a person's inbox, which is what makes the process auditable after the fact rather than only observable while it runs.</w:t>
      </w:r>
    </w:p>
    <w:p>
      <w:pPr>
        <w:spacing w:after="200"/>
        <w:jc w:val="both"/>
      </w:pPr>
      <w:r>
        <w:rPr>
          <w:rFonts w:ascii="Arial" w:hAnsi="Arial" w:cs="Arial" w:eastAsia="Arial"/>
          <w:b w:val="0"/>
          <w:i w:val="0"/>
          <w:sz w:val="22"/>
        </w:rPr>
        <w:t>One property of that machine matters more than the rest: only PUBLISHED rules are evaluated. That single constraint is the enforcement gate, and §14.6 records honestly that it is the part of this specification not yet built.</w:t>
      </w:r>
    </w:p>
    <w:p>
      <w:pPr>
        <w:pStyle w:val="Heading2"/>
        <w:spacing w:before="360" w:after="120"/>
      </w:pPr>
      <w:r>
        <w:rPr>
          <w:rFonts w:ascii="Arial" w:hAnsi="Arial" w:cs="Arial" w:eastAsia="Arial"/>
          <w:b/>
          <w:i w:val="0"/>
          <w:sz w:val="28"/>
        </w:rPr>
        <w:t>14.4  The review rubric</w:t>
      </w:r>
    </w:p>
    <w:p>
      <w:pPr>
        <w:spacing w:after="200"/>
        <w:jc w:val="both"/>
      </w:pPr>
      <w:r>
        <w:rPr>
          <w:rFonts w:ascii="Arial" w:hAnsi="Arial" w:cs="Arial" w:eastAsia="Arial"/>
          <w:b w:val="0"/>
          <w:i w:val="0"/>
          <w:sz w:val="22"/>
        </w:rPr>
        <w:t>A Reviewing Expert scores each candidate rule on five dimensions from 1 to 5. A rule is approved only if every dimension scores at least 4 and Traceability scores 5. There is no approval with reservations; anything short of that threshold is amended or rejected.</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4333"/>
            <w:tcW w:type="dxa" w:w="2600"/>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pPr>
              <w:spacing w:after="0"/>
              <w:jc w:val="left"/>
            </w:pPr>
            <w:r>
              <w:rPr>
                <w:rFonts w:ascii="Arial" w:hAnsi="Arial" w:cs="Arial" w:eastAsia="Arial"/>
                <w:b/>
                <w:i w:val="0"/>
                <w:color w:val="FFFFFF"/>
                <w:sz w:val="20"/>
              </w:rPr>
              <w:t>Dimension</w:t>
            </w:r>
          </w:p>
        </w:tc>
        <w:tc>
          <w:tcPr>
            <w:tcW w:type="dxa" w:w="4333"/>
            <w:tcW w:type="dxa" w:w="6426"/>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pPr>
              <w:spacing w:after="0"/>
              <w:jc w:val="left"/>
            </w:pPr>
            <w:r>
              <w:rPr>
                <w:rFonts w:ascii="Arial" w:hAnsi="Arial" w:cs="Arial" w:eastAsia="Arial"/>
                <w:b/>
                <w:i w:val="0"/>
                <w:color w:val="FFFFFF"/>
                <w:sz w:val="20"/>
              </w:rPr>
              <w:t>The question the expert answers</w:t>
            </w:r>
          </w:p>
        </w:tc>
      </w:tr>
      <w:tr>
        <w:tc>
          <w:tcPr>
            <w:tcW w:type="dxa" w:w="4333"/>
            <w:tcW w:type="dxa" w:w="26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Traceability</w:t>
            </w:r>
          </w:p>
        </w:tc>
        <w:tc>
          <w:tcPr>
            <w:tcW w:type="dxa" w:w="4333"/>
            <w:tcW w:type="dxa" w:w="64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Can I find this requirement in the cited clause?</w:t>
            </w:r>
          </w:p>
        </w:tc>
      </w:tr>
      <w:tr>
        <w:tc>
          <w:tcPr>
            <w:tcW w:type="dxa" w:w="4333"/>
            <w:tcW w:type="dxa" w:w="26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Semantic fidelity</w:t>
            </w:r>
          </w:p>
        </w:tc>
        <w:tc>
          <w:tcPr>
            <w:tcW w:type="dxa" w:w="4333"/>
            <w:tcW w:type="dxa" w:w="64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Does the rule mean what the clause means?</w:t>
            </w:r>
          </w:p>
        </w:tc>
      </w:tr>
      <w:tr>
        <w:tc>
          <w:tcPr>
            <w:tcW w:type="dxa" w:w="4333"/>
            <w:tcW w:type="dxa" w:w="26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IFC mappability</w:t>
            </w:r>
          </w:p>
        </w:tc>
        <w:tc>
          <w:tcPr>
            <w:tcW w:type="dxa" w:w="4333"/>
            <w:tcW w:type="dxa" w:w="64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Can this be checked against a delivered model?</w:t>
            </w:r>
          </w:p>
        </w:tc>
      </w:tr>
      <w:tr>
        <w:tc>
          <w:tcPr>
            <w:tcW w:type="dxa" w:w="4333"/>
            <w:tcW w:type="dxa" w:w="26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Executability</w:t>
            </w:r>
          </w:p>
        </w:tc>
        <w:tc>
          <w:tcPr>
            <w:tcW w:type="dxa" w:w="4333"/>
            <w:tcW w:type="dxa" w:w="64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Will the comparator produce a decidable result?</w:t>
            </w:r>
          </w:p>
        </w:tc>
      </w:tr>
      <w:tr>
        <w:tc>
          <w:tcPr>
            <w:tcW w:type="dxa" w:w="4333"/>
            <w:tcW w:type="dxa" w:w="26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Scope correctness</w:t>
            </w:r>
          </w:p>
        </w:tc>
        <w:tc>
          <w:tcPr>
            <w:tcW w:type="dxa" w:w="4333"/>
            <w:tcW w:type="dxa" w:w="64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Are the conditions and exceptions right?</w:t>
            </w:r>
          </w:p>
        </w:tc>
      </w:tr>
    </w:tbl>
    <w:p>
      <w:pPr>
        <w:spacing w:after="120"/>
        <w:jc w:val="both"/>
      </w:pPr>
      <w:r>
        <w:rPr>
          <w:rFonts w:ascii="Arial" w:hAnsi="Arial" w:cs="Arial" w:eastAsia="Arial"/>
          <w:b w:val="0"/>
          <w:i w:val="0"/>
          <w:sz w:val="22"/>
        </w:rPr>
        <w:t>Table 14.1: The five-dimension review rubric for a candidate rule</w:t>
      </w:r>
    </w:p>
    <w:p>
      <w:pPr>
        <w:spacing w:after="200"/>
        <w:jc w:val="both"/>
      </w:pPr>
      <w:r>
        <w:rPr>
          <w:rFonts w:ascii="Arial" w:hAnsi="Arial" w:cs="Arial" w:eastAsia="Arial"/>
          <w:b w:val="0"/>
          <w:i w:val="0"/>
          <w:sz w:val="22"/>
        </w:rPr>
        <w:t>For a compliance finding the rubric changes to four dimensions at the same threshold: input fidelity, term plausibility, band credibility and action proportionality. The question shifts from whether the rule was extracted faithfully to whether a competent engineer would place this element in this band and act on it this way.</w:t>
      </w:r>
    </w:p>
    <w:p>
      <w:pPr>
        <w:spacing w:after="200"/>
        <w:jc w:val="both"/>
      </w:pPr>
      <w:r>
        <w:rPr>
          <w:rFonts w:ascii="Arial" w:hAnsi="Arial" w:cs="Arial" w:eastAsia="Arial"/>
          <w:b w:val="0"/>
          <w:i w:val="0"/>
          <w:sz w:val="22"/>
        </w:rPr>
        <w:t>Every rule of mandatory severity is reviewed. For the remainder a stratified random sample of 20% is reviewed, stratified by rule type because the failure modes observed in development cluster by rule type rather than by clause. A further 20% overlap is double-reviewed by two independent experts to measure inter-rater agreement. A Cohen's kappa below 0.6 on any dimension is treated as a defect in the rubric rather than in the reviewers, and triggers a rubric revision before reviewing continues.</w:t>
      </w:r>
    </w:p>
    <w:p>
      <w:pPr>
        <w:pStyle w:val="Heading2"/>
        <w:spacing w:before="360" w:after="120"/>
      </w:pPr>
      <w:r>
        <w:rPr>
          <w:rFonts w:ascii="Arial" w:hAnsi="Arial" w:cs="Arial" w:eastAsia="Arial"/>
          <w:b/>
          <w:i w:val="0"/>
          <w:sz w:val="28"/>
        </w:rPr>
        <w:t>14.5  Failure classes and the feedback cycle</w:t>
      </w:r>
    </w:p>
    <w:p>
      <w:pPr>
        <w:spacing w:after="200"/>
        <w:jc w:val="both"/>
      </w:pPr>
      <w:r>
        <w:rPr>
          <w:rFonts w:ascii="Arial" w:hAnsi="Arial" w:cs="Arial" w:eastAsia="Arial"/>
          <w:b w:val="0"/>
          <w:i w:val="0"/>
          <w:sz w:val="22"/>
        </w:rPr>
        <w:t>Expert review is not only a filter. Its primary product is a classified rejection record that drives systematic improvement, so every rejection or amendment is tagged with one failure class and each class routes to a named owner.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326"/>
        <w:gridCol w:w="3000"/>
      </w:tblGrid>
      <w:tr>
        <w:trPr>
          <w:tblHeader/>
        </w:trPr>
        <w:tc>
          <w:tcPr>
            <w:tcW w:type="dxa" w:w="2889"/>
            <w:tcW w:type="dxa" w:w="1700"/>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pPr>
              <w:spacing w:after="0"/>
              <w:jc w:val="left"/>
            </w:pPr>
            <w:r>
              <w:rPr>
                <w:rFonts w:ascii="Arial" w:hAnsi="Arial" w:cs="Arial" w:eastAsia="Arial"/>
                <w:b/>
                <w:i w:val="0"/>
                <w:color w:val="FFFFFF"/>
                <w:sz w:val="20"/>
              </w:rPr>
              <w:t>Class</w:t>
            </w:r>
          </w:p>
        </w:tc>
        <w:tc>
          <w:tcPr>
            <w:tcW w:type="dxa" w:w="2889"/>
            <w:tcW w:type="dxa" w:w="4326"/>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pPr>
              <w:spacing w:after="0"/>
              <w:jc w:val="left"/>
            </w:pPr>
            <w:r>
              <w:rPr>
                <w:rFonts w:ascii="Arial" w:hAnsi="Arial" w:cs="Arial" w:eastAsia="Arial"/>
                <w:b/>
                <w:i w:val="0"/>
                <w:color w:val="FFFFFF"/>
                <w:sz w:val="20"/>
              </w:rPr>
              <w:t>Typical cause</w:t>
            </w:r>
          </w:p>
        </w:tc>
        <w:tc>
          <w:tcPr>
            <w:tcW w:type="dxa" w:w="2889"/>
            <w:tcW w:type="dxa" w:w="3000"/>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pPr>
              <w:spacing w:after="0"/>
              <w:jc w:val="left"/>
            </w:pPr>
            <w:r>
              <w:rPr>
                <w:rFonts w:ascii="Arial" w:hAnsi="Arial" w:cs="Arial" w:eastAsia="Arial"/>
                <w:b/>
                <w:i w:val="0"/>
                <w:color w:val="FFFFFF"/>
                <w:sz w:val="20"/>
              </w:rPr>
              <w:t>Routed to</w:t>
            </w:r>
          </w:p>
        </w:tc>
      </w:tr>
      <w:tr>
        <w:tc>
          <w:tcPr>
            <w:tcW w:type="dxa" w:w="2889"/>
            <w:tcW w:type="dxa" w:w="17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F1 Citation</w:t>
            </w:r>
          </w:p>
        </w:tc>
        <w:tc>
          <w:tcPr>
            <w:tcW w:type="dxa" w:w="2889"/>
            <w:tcW w:type="dxa" w:w="43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Clause reference wrong or hallucinated</w:t>
            </w:r>
          </w:p>
        </w:tc>
        <w:tc>
          <w:tcPr>
            <w:tcW w:type="dxa" w:w="2889"/>
            <w:tcW w:type="dxa" w:w="30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Extraction prompt</w:t>
            </w:r>
          </w:p>
        </w:tc>
      </w:tr>
      <w:tr>
        <w:tc>
          <w:tcPr>
            <w:tcW w:type="dxa" w:w="2889"/>
            <w:tcW w:type="dxa" w:w="17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F2 Semantic</w:t>
            </w:r>
          </w:p>
        </w:tc>
        <w:tc>
          <w:tcPr>
            <w:tcW w:type="dxa" w:w="2889"/>
            <w:tcW w:type="dxa" w:w="43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Operator inverted, threshold or unit wrong</w:t>
            </w:r>
          </w:p>
        </w:tc>
        <w:tc>
          <w:tcPr>
            <w:tcW w:type="dxa" w:w="2889"/>
            <w:tcW w:type="dxa" w:w="30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Prompt and few-shot examples</w:t>
            </w:r>
          </w:p>
        </w:tc>
      </w:tr>
      <w:tr>
        <w:tc>
          <w:tcPr>
            <w:tcW w:type="dxa" w:w="2889"/>
            <w:tcW w:type="dxa" w:w="17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F3 Mapping</w:t>
            </w:r>
          </w:p>
        </w:tc>
        <w:tc>
          <w:tcPr>
            <w:tcW w:type="dxa" w:w="2889"/>
            <w:tcW w:type="dxa" w:w="43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Target property is not a real IFC property</w:t>
            </w:r>
          </w:p>
        </w:tc>
        <w:tc>
          <w:tcPr>
            <w:tcW w:type="dxa" w:w="2889"/>
            <w:tcW w:type="dxa" w:w="30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IFC enrichment maps</w:t>
            </w:r>
          </w:p>
        </w:tc>
      </w:tr>
      <w:tr>
        <w:tc>
          <w:tcPr>
            <w:tcW w:type="dxa" w:w="2889"/>
            <w:tcW w:type="dxa" w:w="17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F4 Scope</w:t>
            </w:r>
          </w:p>
        </w:tc>
        <w:tc>
          <w:tcPr>
            <w:tcW w:type="dxa" w:w="2889"/>
            <w:tcW w:type="dxa" w:w="43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Conditions or exceptions dropped</w:t>
            </w:r>
          </w:p>
        </w:tc>
        <w:tc>
          <w:tcPr>
            <w:tcW w:type="dxa" w:w="2889"/>
            <w:tcW w:type="dxa" w:w="30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Extraction prompt</w:t>
            </w:r>
          </w:p>
        </w:tc>
      </w:tr>
      <w:tr>
        <w:tc>
          <w:tcPr>
            <w:tcW w:type="dxa" w:w="2889"/>
            <w:tcW w:type="dxa" w:w="17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F5 Granularity</w:t>
            </w:r>
          </w:p>
        </w:tc>
        <w:tc>
          <w:tcPr>
            <w:tcW w:type="dxa" w:w="2889"/>
            <w:tcW w:type="dxa" w:w="43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One clause split into too many or too few rules</w:t>
            </w:r>
          </w:p>
        </w:tc>
        <w:tc>
          <w:tcPr>
            <w:tcW w:type="dxa" w:w="2889"/>
            <w:tcW w:type="dxa" w:w="30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Section chunking</w:t>
            </w:r>
          </w:p>
        </w:tc>
      </w:tr>
      <w:tr>
        <w:tc>
          <w:tcPr>
            <w:tcW w:type="dxa" w:w="2889"/>
            <w:tcW w:type="dxa" w:w="17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F6 Engine</w:t>
            </w:r>
          </w:p>
        </w:tc>
        <w:tc>
          <w:tcPr>
            <w:tcW w:type="dxa" w:w="2889"/>
            <w:tcW w:type="dxa" w:w="43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Corrosion band judged not credible</w:t>
            </w:r>
          </w:p>
        </w:tc>
        <w:tc>
          <w:tcPr>
            <w:tcW w:type="dxa" w:w="2889"/>
            <w:tcW w:type="dxa" w:w="30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Engine tables and thresholds</w:t>
            </w:r>
          </w:p>
        </w:tc>
      </w:tr>
      <w:tr>
        <w:tc>
          <w:tcPr>
            <w:tcW w:type="dxa" w:w="2889"/>
            <w:tcW w:type="dxa" w:w="17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F7 Input</w:t>
            </w:r>
          </w:p>
        </w:tc>
        <w:tc>
          <w:tcPr>
            <w:tcW w:type="dxa" w:w="2889"/>
            <w:tcW w:type="dxa" w:w="43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Model data read incorrectly</w:t>
            </w:r>
          </w:p>
        </w:tc>
        <w:tc>
          <w:tcPr>
            <w:tcW w:type="dxa" w:w="2889"/>
            <w:tcW w:type="dxa" w:w="30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IFC parser</w:t>
            </w:r>
          </w:p>
        </w:tc>
      </w:tr>
    </w:tbl>
    <w:p>
      <w:pPr>
        <w:spacing w:after="120"/>
        <w:jc w:val="both"/>
      </w:pPr>
      <w:r>
        <w:rPr>
          <w:rFonts w:ascii="Arial" w:hAnsi="Arial" w:cs="Arial" w:eastAsia="Arial"/>
          <w:b w:val="0"/>
          <w:i w:val="0"/>
          <w:sz w:val="22"/>
        </w:rPr>
        <w:t>Table 14.2: Failure classes and the owner each routes to</w:t>
      </w:r>
    </w:p>
    <w:p>
      <w:pPr>
        <w:spacing w:after="200"/>
        <w:jc w:val="both"/>
      </w:pPr>
      <w:r>
        <w:rPr>
          <w:rFonts w:ascii="Arial" w:hAnsi="Arial" w:cs="Arial" w:eastAsia="Arial"/>
          <w:b w:val="0"/>
          <w:i w:val="0"/>
          <w:sz w:val="22"/>
        </w:rPr>
        <w:t>The cycle runs on the project's weekly coordination rhythm so that review effort and model drop coincide: extraction on Monday, review on Tuesday and Wednesday, triage on Thursday, regression on Friday, publication ahead of the next drop. Any failure class exceeding 10% of a week's decisions becomes a corrective action with a named owner. The Friday step carries the safeguard: a prompt or table change is kept only if the golden-set score does not regress, which is what stops the loop over-fitting to last week's rejections.</w:t>
      </w:r>
    </w:p>
    <w:p>
      <w:pPr>
        <w:spacing w:after="200"/>
        <w:jc w:val="both"/>
      </w:pPr>
      <w:r>
        <w:rPr>
          <w:rFonts w:ascii="Arial" w:hAnsi="Arial" w:cs="Arial" w:eastAsia="Arial"/>
          <w:b w:val="0"/>
          <w:i w:val="0"/>
          <w:sz w:val="22"/>
        </w:rPr>
        <w:t>Five metrics are tracked per cycle — first-pass acceptance rate, amendment rate, rejection rate by class, median review time per item, and inter-rater agreement on the double-reviewed overlap. A sixth, the defect escape rate of approved rules later found wrong, is the lagging indicator that reveals whether the rubric is calibrated at all.</w:t>
      </w:r>
    </w:p>
    <w:p>
      <w:pPr>
        <w:pStyle w:val="Heading2"/>
        <w:spacing w:before="360" w:after="120"/>
      </w:pPr>
      <w:r>
        <w:rPr>
          <w:rFonts w:ascii="Arial" w:hAnsi="Arial" w:cs="Arial" w:eastAsia="Arial"/>
          <w:b/>
          <w:i w:val="0"/>
          <w:sz w:val="28"/>
        </w:rPr>
        <w:t>14.6  Implementation status</w:t>
      </w:r>
    </w:p>
    <w:p>
      <w:pPr>
        <w:spacing w:after="200"/>
        <w:jc w:val="both"/>
      </w:pPr>
      <w:r>
        <w:rPr>
          <w:rFonts w:ascii="Arial" w:hAnsi="Arial" w:cs="Arial" w:eastAsia="Arial"/>
          <w:b w:val="0"/>
          <w:i w:val="0"/>
          <w:sz w:val="22"/>
        </w:rPr>
        <w:t>This specification exists because an earlier draft asserted that expert review validated the engines' risk-band distribution and that a human-in-the-loop safeguard governed LLM-extracted rules, without defining who reviews, against what criteria, at what cadence, or what becomes of the finding afterwards. Defining the process makes the gap between specification and implementation visible, and that gap is stated here rather than left to be discovered.</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26"/>
        <w:gridCol w:w="3400"/>
      </w:tblGrid>
      <w:tr>
        <w:trPr>
          <w:tblHeader/>
        </w:trPr>
        <w:tc>
          <w:tcPr>
            <w:tcW w:type="dxa" w:w="4333"/>
            <w:tcW w:type="dxa" w:w="5626"/>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pPr>
              <w:spacing w:after="0"/>
              <w:jc w:val="left"/>
            </w:pPr>
            <w:r>
              <w:rPr>
                <w:rFonts w:ascii="Arial" w:hAnsi="Arial" w:cs="Arial" w:eastAsia="Arial"/>
                <w:b/>
                <w:i w:val="0"/>
                <w:color w:val="FFFFFF"/>
                <w:sz w:val="20"/>
              </w:rPr>
              <w:t>Element of the process</w:t>
            </w:r>
          </w:p>
        </w:tc>
        <w:tc>
          <w:tcPr>
            <w:tcW w:type="dxa" w:w="4333"/>
            <w:tcW w:type="dxa" w:w="3400"/>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pPr>
              <w:spacing w:after="0"/>
              <w:jc w:val="left"/>
            </w:pPr>
            <w:r>
              <w:rPr>
                <w:rFonts w:ascii="Arial" w:hAnsi="Arial" w:cs="Arial" w:eastAsia="Arial"/>
                <w:b/>
                <w:i w:val="0"/>
                <w:color w:val="FFFFFF"/>
                <w:sz w:val="20"/>
              </w:rPr>
              <w:t>Status</w:t>
            </w:r>
          </w:p>
        </w:tc>
      </w:tr>
      <w:tr>
        <w:tc>
          <w:tcPr>
            <w:tcW w:type="dxa" w:w="4333"/>
            <w:tcW w:type="dxa" w:w="56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Review flag, confidence score and clause traceability on every rule</w:t>
            </w:r>
          </w:p>
        </w:tc>
        <w:tc>
          <w:tcPr>
            <w:tcW w:type="dxa" w:w="4333"/>
            <w:tcW w:type="dxa" w:w="34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Implemented</w:t>
            </w:r>
          </w:p>
        </w:tc>
      </w:tr>
      <w:tr>
        <w:tc>
          <w:tcPr>
            <w:tcW w:type="dxa" w:w="4333"/>
            <w:tcW w:type="dxa" w:w="56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Query for items awaiting review; schema and executability pre-check</w:t>
            </w:r>
          </w:p>
        </w:tc>
        <w:tc>
          <w:tcPr>
            <w:tcW w:type="dxa" w:w="4333"/>
            <w:tcW w:type="dxa" w:w="34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Implemented</w:t>
            </w:r>
          </w:p>
        </w:tc>
      </w:tr>
      <w:tr>
        <w:tc>
          <w:tcPr>
            <w:tcW w:type="dxa" w:w="4333"/>
            <w:tcW w:type="dxa" w:w="56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Reviewer-facing interface</w:t>
            </w:r>
          </w:p>
        </w:tc>
        <w:tc>
          <w:tcPr>
            <w:tcW w:type="dxa" w:w="4333"/>
            <w:tcW w:type="dxa" w:w="34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Partial — displays rules, but has no scoring form</w:t>
            </w:r>
          </w:p>
        </w:tc>
      </w:tr>
      <w:tr>
        <w:tc>
          <w:tcPr>
            <w:tcW w:type="dxa" w:w="4333"/>
            <w:tcW w:type="dxa" w:w="56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The state machine of §14.3</w:t>
            </w:r>
          </w:p>
        </w:tc>
        <w:tc>
          <w:tcPr>
            <w:tcW w:type="dxa" w:w="4333"/>
            <w:tcW w:type="dxa" w:w="34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Not implemented</w:t>
            </w:r>
          </w:p>
        </w:tc>
      </w:tr>
      <w:tr>
        <w:tc>
          <w:tcPr>
            <w:tcW w:type="dxa" w:w="4333"/>
            <w:tcW w:type="dxa" w:w="56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The enforcement gate — evaluating PUBLISHED rules only</w:t>
            </w:r>
          </w:p>
        </w:tc>
        <w:tc>
          <w:tcPr>
            <w:tcW w:type="dxa" w:w="4333"/>
            <w:tcW w:type="dxa" w:w="34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Not implemented</w:t>
            </w:r>
          </w:p>
        </w:tc>
      </w:tr>
      <w:tr>
        <w:tc>
          <w:tcPr>
            <w:tcW w:type="dxa" w:w="4333"/>
            <w:tcW w:type="dxa" w:w="56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Reviewer identity, decision, rationale and timestamp</w:t>
            </w:r>
          </w:p>
        </w:tc>
        <w:tc>
          <w:tcPr>
            <w:tcW w:type="dxa" w:w="4333"/>
            <w:tcW w:type="dxa" w:w="34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Not implemented</w:t>
            </w:r>
          </w:p>
        </w:tc>
      </w:tr>
      <w:tr>
        <w:tc>
          <w:tcPr>
            <w:tcW w:type="dxa" w:w="4333"/>
            <w:tcW w:type="dxa" w:w="56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Failure-class tagging and aggregation</w:t>
            </w:r>
          </w:p>
        </w:tc>
        <w:tc>
          <w:tcPr>
            <w:tcW w:type="dxa" w:w="4333"/>
            <w:tcW w:type="dxa" w:w="34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Not implemented</w:t>
            </w:r>
          </w:p>
        </w:tc>
      </w:tr>
      <w:tr>
        <w:tc>
          <w:tcPr>
            <w:tcW w:type="dxa" w:w="4333"/>
            <w:tcW w:type="dxa" w:w="56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Review of compliance findings</w:t>
            </w:r>
          </w:p>
        </w:tc>
        <w:tc>
          <w:tcPr>
            <w:tcW w:type="dxa" w:w="4333"/>
            <w:tcW w:type="dxa" w:w="34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Not implemented</w:t>
            </w:r>
          </w:p>
        </w:tc>
      </w:tr>
      <w:tr>
        <w:tc>
          <w:tcPr>
            <w:tcW w:type="dxa" w:w="4333"/>
            <w:tcW w:type="dxa" w:w="56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Golden-set regression on prompt change</w:t>
            </w:r>
          </w:p>
        </w:tc>
        <w:tc>
          <w:tcPr>
            <w:tcW w:type="dxa" w:w="4333"/>
            <w:tcW w:type="dxa" w:w="34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Blocked — harness calls a missing method</w:t>
            </w:r>
          </w:p>
        </w:tc>
      </w:tr>
    </w:tbl>
    <w:p>
      <w:pPr>
        <w:spacing w:after="120"/>
        <w:jc w:val="both"/>
      </w:pPr>
      <w:r>
        <w:rPr>
          <w:rFonts w:ascii="Arial" w:hAnsi="Arial" w:cs="Arial" w:eastAsia="Arial"/>
          <w:b w:val="0"/>
          <w:i w:val="0"/>
          <w:sz w:val="22"/>
        </w:rPr>
        <w:t>Table 14.3: Implementation status of the expert review process</w:t>
      </w:r>
    </w:p>
    <w:p>
      <w:pPr>
        <w:spacing w:after="280"/>
        <w:jc w:val="both"/>
      </w:pPr>
      <w:r>
        <w:rPr>
          <w:rFonts w:ascii="Arial" w:hAnsi="Arial" w:cs="Arial" w:eastAsia="Arial"/>
          <w:b w:val="0"/>
          <w:i w:val="0"/>
          <w:sz w:val="22"/>
        </w:rPr>
        <w:t>One line in that table governs the honesty of the whole claim. Because the enforcement gate does not exist, the comparator evaluates saved rules regardless of whether they have been reviewed, which makes the human-in-the-loop claim partially true rather than true. The minimum viable remedy, in order, is to add a review-state column and gate the comparator's rule query on it, then add a review record capturing reviewer, decision, rationale, failure class and timestamp, then build the scoring form over the existing interface, and finally repair the regression harness. The first two are small schema changes and are the highest-leverage work identified anywhere in this project.</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before="120"/>
    </w:pPr>
    <w:r>
      <w:rPr>
        <w:rFonts w:ascii="Arial" w:cs="Arial" w:eastAsia="Arial" w:hAnsi="Arial"/>
        <w:color w:val="666666"/>
        <w:sz w:val="16"/>
        <w:szCs w:val="16"/>
      </w:rPr>
      <w:t xml:space="preserve">Masters in BIM Management  |  Group 5  |  OpenBIM Corrosion Compliance — BIMGUARD 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spacing w:after="120"/>
    </w:pPr>
    <w:r>
      <w:rPr>
        <w:rFonts w:ascii="Arial" w:cs="Arial" w:eastAsia="Arial" w:hAnsi="Arial"/>
        <w:color w:val="666666"/>
        <w:sz w:val="18"/>
        <w:szCs w:val="18"/>
      </w:rPr>
      <w:t xml:space="preserve">BIMGUARD AI  —  Final Master Project  |  Zigurat Global Institute of Technology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2026-04-08T17:03:55.267Z</dcterms:created>
  <dcterms:modified xsi:type="dcterms:W3CDTF">2026-04-08T17:03:55.268Z</dcterms:modified>
</cp:coreProperties>
</file>

<file path=docProps/custom.xml><?xml version="1.0" encoding="utf-8"?>
<Properties xmlns="http://schemas.openxmlformats.org/officeDocument/2006/custom-properties" xmlns:vt="http://schemas.openxmlformats.org/officeDocument/2006/docPropsVTypes"/>
</file>