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720"/>
      </w:pPr>
      <w:r>
        <w:t xml:space="preserve"/>
      </w:r>
    </w:p>
    <w:p>
      <w:pPr>
        <w:spacing w:after="120" w:before="0"/>
        <w:jc w:val="center"/>
      </w:pPr>
      <w:r>
        <w:rPr>
          <w:rFonts w:ascii="Arial" w:cs="Arial" w:eastAsia="Arial" w:hAnsi="Arial"/>
          <w:b/>
          <w:bCs/>
          <w:color w:val="1F3864"/>
          <w:sz w:val="56"/>
          <w:szCs w:val="56"/>
        </w:rPr>
        <w:t xml:space="preserve">BIMGUARD AI</w:t>
      </w:r>
    </w:p>
    <w:p>
      <w:pPr>
        <w:spacing w:after="480" w:before="0"/>
        <w:jc w:val="center"/>
      </w:pPr>
      <w:r>
        <w:rPr>
          <w:rFonts w:ascii="Arial" w:cs="Arial" w:eastAsia="Arial" w:hAnsi="Arial"/>
          <w:i/>
          <w:iCs/>
          <w:color w:val="444444"/>
          <w:sz w:val="28"/>
          <w:szCs w:val="28"/>
        </w:rPr>
        <w:t xml:space="preserve">Automated BIM Corrosion Compliance Checker</w:t>
      </w:r>
    </w:p>
    <w:p>
      <w:pPr>
        <w:pBdr>
          <w:bottom w:val="single" w:color="1F3864" w:sz="6" w:space="1"/>
        </w:pBdr>
        <w:spacing w:after="240" w:before="0"/>
      </w:pPr>
    </w:p>
    <w:p>
      <w:pPr>
        <w:spacing w:after="240" w:before="240"/>
      </w:pPr>
      <w:r>
        <w:t xml:space="preserve"/>
      </w:r>
    </w:p>
    <w:p>
      <w:pPr>
        <w:spacing w:after="480" w:before="0"/>
        <w:jc w:val="center"/>
      </w:pPr>
      <w:r>
        <w:rPr>
          <w:rFonts w:ascii="Arial" w:cs="Arial" w:eastAsia="Arial" w:hAnsi="Arial"/>
          <w:b/>
          <w:bCs/>
          <w:color w:val="1F3864"/>
          <w:sz w:val="32"/>
          <w:szCs w:val="32"/>
        </w:rPr>
        <w:t xml:space="preserve">Abstract and Executive Summary</w:t>
      </w:r>
    </w:p>
    <w:p>
      <w:pPr>
        <w:spacing w:after="120" w:before="0"/>
      </w:pPr>
      <w:r>
        <w:rPr>
          <w:rFonts w:ascii="Arial" w:cs="Arial" w:eastAsia="Arial" w:hAnsi="Arial"/>
          <w:b/>
          <w:bCs/>
          <w:sz w:val="22"/>
          <w:szCs w:val="22"/>
        </w:rPr>
        <w:t xml:space="preserve">Programme: </w:t>
      </w:r>
      <w:r>
        <w:rPr>
          <w:rFonts w:ascii="Arial" w:cs="Arial" w:eastAsia="Arial" w:hAnsi="Arial"/>
          <w:sz w:val="22"/>
          <w:szCs w:val="22"/>
        </w:rPr>
        <w:t xml:space="preserve">Masters in BIM Management</w:t>
      </w:r>
    </w:p>
    <w:p>
      <w:pPr>
        <w:spacing w:after="120" w:before="0"/>
      </w:pPr>
      <w:r>
        <w:rPr>
          <w:rFonts w:ascii="Arial" w:cs="Arial" w:eastAsia="Arial" w:hAnsi="Arial"/>
          <w:b/>
          <w:bCs/>
          <w:sz w:val="22"/>
          <w:szCs w:val="22"/>
        </w:rPr>
        <w:t xml:space="preserve">Institution: </w:t>
      </w:r>
      <w:r>
        <w:rPr>
          <w:rFonts w:ascii="Arial" w:cs="Arial" w:eastAsia="Arial" w:hAnsi="Arial"/>
          <w:sz w:val="22"/>
          <w:szCs w:val="22"/>
        </w:rPr>
        <w:t xml:space="preserve">Zigurat Global Institute of Technology</w:t>
      </w:r>
    </w:p>
    <w:p>
      <w:pPr>
        <w:spacing w:after="120" w:before="0"/>
      </w:pPr>
      <w:r>
        <w:rPr>
          <w:rFonts w:ascii="Arial" w:cs="Arial" w:eastAsia="Arial" w:hAnsi="Arial"/>
          <w:b/>
          <w:bCs/>
          <w:sz w:val="22"/>
          <w:szCs w:val="22"/>
        </w:rPr>
        <w:t xml:space="preserve">Project group: </w:t>
      </w:r>
      <w:r>
        <w:rPr>
          <w:rFonts w:ascii="Arial" w:cs="Arial" w:eastAsia="Arial" w:hAnsi="Arial"/>
          <w:sz w:val="22"/>
          <w:szCs w:val="22"/>
        </w:rPr>
        <w:t xml:space="preserve">Group 5</w:t>
      </w:r>
    </w:p>
    <w:p>
      <w:pPr>
        <w:spacing w:after="120" w:before="0"/>
      </w:pPr>
      <w:r>
        <w:rPr>
          <w:rFonts w:ascii="Arial" w:cs="Arial" w:eastAsia="Arial" w:hAnsi="Arial"/>
          <w:b/>
          <w:bCs/>
          <w:sz w:val="22"/>
          <w:szCs w:val="22"/>
        </w:rPr>
        <w:t xml:space="preserve">Methodology: </w:t>
      </w:r>
      <w:r>
        <w:rPr>
          <w:rFonts w:ascii="Arial" w:cs="Arial" w:eastAsia="Arial" w:hAnsi="Arial"/>
          <w:sz w:val="22"/>
          <w:szCs w:val="22"/>
        </w:rPr>
        <w:t xml:space="preserve">OpenBIM — IFC (ISO 16739-1), BCF 2.1, ISO 19650</w:t>
      </w:r>
    </w:p>
    <w:p>
      <w:pPr>
        <w:spacing w:after="120" w:before="0"/>
      </w:pPr>
      <w:r>
        <w:rPr>
          <w:rFonts w:ascii="Arial" w:cs="Arial" w:eastAsia="Arial" w:hAnsi="Arial"/>
          <w:b/>
          <w:bCs/>
          <w:sz w:val="22"/>
          <w:szCs w:val="22"/>
        </w:rPr>
        <w:t xml:space="preserve">Document status: </w:t>
      </w:r>
      <w:r>
        <w:rPr>
          <w:rFonts w:ascii="Arial" w:cs="Arial" w:eastAsia="Arial" w:hAnsi="Arial"/>
          <w:sz w:val="22"/>
          <w:szCs w:val="22"/>
        </w:rPr>
        <w:t xml:space="preserve">Final Master Project submission</w:t>
      </w:r>
    </w:p>
    <w:p>
      <w:pPr>
        <w:spacing w:after="0" w:before="480"/>
      </w:pPr>
      <w:r>
        <w:t xml:space="preserve"/>
      </w:r>
    </w:p>
    <w:p>
      <w:pPr>
        <w:spacing w:after="0" w:before="0"/>
      </w:pPr>
      <w:r>
        <w:br w:type="page"/>
      </w:r>
    </w:p>
    <w:p>
      <w:pPr>
        <w:pStyle w:val="Heading1"/>
        <w:spacing w:after="200" w:before="360"/>
      </w:pPr>
      <w:r>
        <w:rPr>
          <w:rFonts w:ascii="Arial" w:cs="Arial" w:eastAsia="Arial" w:hAnsi="Arial"/>
          <w:b/>
          <w:bCs/>
          <w:color w:val="1F3864"/>
          <w:sz w:val="32"/>
          <w:szCs w:val="32"/>
        </w:rPr>
        <w:t xml:space="preserve">Abstract</w:t>
      </w:r>
    </w:p>
    <w:p>
      <w:pPr>
        <w:pBdr>
          <w:bottom w:val="single" w:color="1F3864" w:sz="6" w:space="1"/>
        </w:pBdr>
        <w:spacing w:after="240" w:before="0"/>
      </w:pPr>
    </w:p>
    <w:p>
      <w:pPr>
        <w:spacing w:after="200" w:before="0"/>
        <w:jc w:val="both"/>
      </w:pPr>
      <w:r>
        <w:rPr>
          <w:rFonts w:ascii="Arial" w:cs="Arial" w:eastAsia="Arial" w:hAnsi="Arial"/>
          <w:sz w:val="22"/>
          <w:szCs w:val="22"/>
        </w:rPr>
        <w:t xml:space="preserve">The built environment faces a significant and underaddressed risk from corrosion in Mechanical, Electrical, and Plumbing (MEP) building services. Corrosion failures — particularly galvanic corrosion arising from dissimilar metal contact and crevice corrosion at joint interfaces — are among the leading causes of premature pipe failure, water ingress, structural damage, and costly remediation in commercial and industrial buildings. Despite the widespread adoption of Building Information Modelling (BIM) as a project delivery methodology, existing BIM coordination tools provide no automated mechanism for detecting corrosion risk during the design stage, when intervention is least expensive and most effective.</w:t>
      </w:r>
    </w:p>
    <w:p>
      <w:pPr>
        <w:spacing w:after="200" w:before="0"/>
        <w:jc w:val="both"/>
      </w:pPr>
      <w:r>
        <w:rPr>
          <w:rFonts w:ascii="Arial" w:cs="Arial" w:eastAsia="Arial" w:hAnsi="Arial"/>
          <w:sz w:val="22"/>
          <w:szCs w:val="22"/>
        </w:rPr>
        <w:t xml:space="preserve">This paper presents BIMGUARD AI, an OpenBIM automated compliance checking application developed as the Final Master Project for the Masters in BIM Management programme at Zigurat Global Institute of Technology. BIMGUARD AI reads Industry Foundation Classes (IFC) files — the vendor-neutral open standard defined in ISO 16739-1 — and applies two engineered compliance checking modules to detect corrosion risk in MEP service elements before construction commences.</w:t>
      </w:r>
    </w:p>
    <w:p>
      <w:pPr>
        <w:spacing w:after="200" w:before="0"/>
        <w:jc w:val="both"/>
      </w:pPr>
      <w:r>
        <w:rPr>
          <w:rFonts w:ascii="Arial" w:cs="Arial" w:eastAsia="Arial" w:hAnsi="Arial"/>
          <w:sz w:val="22"/>
          <w:szCs w:val="22"/>
        </w:rPr>
        <w:t xml:space="preserve">The first module, GC-001, implements a galvanic corrosion compliance engine based on NASA-STD-6012 voltage thresholds, a 22-material electrochemical potential table, five environment classes, area ratio risk bands, and a Pitting Resistance Equivalent Number (PREN) adequacy check for stainless steel grades. The second module, CC-001, implements a crevice corrosion engine based on EN ISO 15329:2007 wetting classifications, Critical Crevice Corrosion Temperature (CCT) values from ASTM G48 Method B and CIRIA C692, and a 14-type joint geometry library mapping IFC element types to geometry risk classes. Both engines produce a continuous weighted composite risk score on a 0–1 scale, enabling risk prioritisation across four bands from Low to Critical.</w:t>
      </w:r>
    </w:p>
    <w:p>
      <w:pPr>
        <w:spacing w:after="200" w:before="0"/>
        <w:jc w:val="both"/>
      </w:pPr>
      <w:r>
        <w:rPr>
          <w:rFonts w:ascii="Arial" w:cs="Arial" w:eastAsia="Arial" w:hAnsi="Arial"/>
          <w:sz w:val="22"/>
          <w:szCs w:val="22"/>
        </w:rPr>
        <w:t xml:space="preserve">Issue output is generated in BCF 2.1 format — the buildingSMART open standard for BIM issue tracking — enabling direct integration with all OpenBIM authoring platforms without proprietary plugins or format conversion. Each BCF issue includes a component GlobalID linking back to the flagged IFC element, a camera viewpoint, service metadata, risk score, recommended mitigation, discipline engineer assignment, and programme and cost impact data.</w:t>
      </w:r>
    </w:p>
    <w:p>
      <w:pPr>
        <w:spacing w:after="200" w:before="0"/>
        <w:jc w:val="both"/>
      </w:pPr>
      <w:r>
        <w:rPr>
          <w:rFonts w:ascii="Arial" w:cs="Arial" w:eastAsia="Arial" w:hAnsi="Arial"/>
          <w:sz w:val="22"/>
          <w:szCs w:val="22"/>
        </w:rPr>
        <w:t xml:space="preserve">Validation testing on a 25-element synthetic MEP dataset produced 9 Critical, 7 High, and 9 Medium risk issues, a total BCF output of 25 issues, an estimated cost impact of £170,600, and a projected programme delay of 162 working days. The tool is delivered as a working Python Streamlit web application with six functional pages covering data ingestion, model overview, corrosion compliance results, point cloud comparison, BCF issue management, and schedule and cost impact analysis.</w:t>
      </w:r>
    </w:p>
    <w:p>
      <w:pPr>
        <w:spacing w:after="200" w:before="0"/>
        <w:jc w:val="both"/>
      </w:pPr>
      <w:r>
        <w:rPr>
          <w:rFonts w:ascii="Arial" w:cs="Arial" w:eastAsia="Arial" w:hAnsi="Arial"/>
          <w:sz w:val="22"/>
          <w:szCs w:val="22"/>
        </w:rPr>
        <w:t xml:space="preserve">The OpenBIM architectural approach — using IFC as the sole input format and BCF as the sole output format — ensures that BIMGUARD AI is compatible with any BIM authoring environment and applicable to any project regardless of the software tools used by individual disciplines.</w:t>
      </w:r>
    </w:p>
    <w:p>
      <w:pPr>
        <w:spacing w:after="0" w:before="240"/>
      </w:pPr>
      <w:r>
        <w:t xml:space="preserve"/>
      </w:r>
    </w:p>
    <w:p>
      <w:pPr>
        <w:spacing w:after="200" w:before="0"/>
      </w:pPr>
      <w:r>
        <w:rPr>
          <w:rFonts w:ascii="Arial" w:cs="Arial" w:eastAsia="Arial" w:hAnsi="Arial"/>
          <w:b/>
          <w:bCs/>
          <w:sz w:val="22"/>
          <w:szCs w:val="22"/>
        </w:rPr>
        <w:t xml:space="preserve">Keywords: </w:t>
      </w:r>
      <w:r>
        <w:rPr>
          <w:rFonts w:ascii="Arial" w:cs="Arial" w:eastAsia="Arial" w:hAnsi="Arial"/>
          <w:i/>
          <w:iCs/>
          <w:sz w:val="22"/>
          <w:szCs w:val="22"/>
        </w:rPr>
        <w:t xml:space="preserve">BIM compliance checking, corrosion risk, galvanic corrosion, crevice corrosion, IFC, OpenBIM, BCF, MEP coordination, automated rule checking, ISO 19650</w:t>
      </w:r>
    </w:p>
    <w:p>
      <w:pPr>
        <w:spacing w:after="0" w:before="0"/>
      </w:pPr>
      <w:r>
        <w:br w:type="page"/>
      </w:r>
    </w:p>
    <w:p>
      <w:pPr>
        <w:pStyle w:val="Heading1"/>
        <w:spacing w:after="200" w:before="360"/>
      </w:pPr>
      <w:r>
        <w:rPr>
          <w:rFonts w:ascii="Arial" w:cs="Arial" w:eastAsia="Arial" w:hAnsi="Arial"/>
          <w:b/>
          <w:bCs/>
          <w:color w:val="1F3864"/>
          <w:sz w:val="32"/>
          <w:szCs w:val="32"/>
        </w:rPr>
        <w:t xml:space="preserve">Executive Summary</w:t>
      </w:r>
    </w:p>
    <w:p>
      <w:pPr>
        <w:pBdr>
          <w:bottom w:val="single" w:color="1F3864" w:sz="6" w:space="1"/>
        </w:pBdr>
        <w:spacing w:after="240" w:before="0"/>
      </w:pPr>
    </w:p>
    <w:p>
      <w:pPr>
        <w:pStyle w:val="Heading2"/>
        <w:spacing w:after="160" w:before="280"/>
      </w:pPr>
      <w:r>
        <w:rPr>
          <w:rFonts w:ascii="Arial" w:cs="Arial" w:eastAsia="Arial" w:hAnsi="Arial"/>
          <w:b/>
          <w:bCs/>
          <w:color w:val="1F3864"/>
          <w:sz w:val="26"/>
          <w:szCs w:val="26"/>
        </w:rPr>
        <w:t xml:space="preserve">Background and problem statement</w:t>
      </w:r>
    </w:p>
    <w:p>
      <w:pPr>
        <w:spacing w:after="200" w:before="0"/>
        <w:jc w:val="both"/>
      </w:pPr>
      <w:r>
        <w:rPr>
          <w:rFonts w:ascii="Arial" w:cs="Arial" w:eastAsia="Arial" w:hAnsi="Arial"/>
          <w:sz w:val="22"/>
          <w:szCs w:val="22"/>
        </w:rPr>
        <w:t xml:space="preserve">Corrosion is responsible for an estimated 3.4% of global GDP in direct costs annually, with building services infrastructure representing a disproportionate share of that burden in commercial, industrial, and institutional buildings. Within MEP systems, two corrosion mechanisms account for the majority of premature failures: galvanic corrosion, which occurs when dissimilar metals are placed in electrical contact in the presence of an electrolyte; and crevice corrosion, which occurs at confined joint geometries where oxygen depletion creates an aggressive local chemistry capable of destroying passive oxide films on stainless steel grades that would otherwise be considered highly corrosion-resistant.</w:t>
      </w:r>
    </w:p>
    <w:p>
      <w:pPr>
        <w:spacing w:after="200" w:before="0"/>
        <w:jc w:val="both"/>
      </w:pPr>
      <w:r>
        <w:rPr>
          <w:rFonts w:ascii="Arial" w:cs="Arial" w:eastAsia="Arial" w:hAnsi="Arial"/>
          <w:sz w:val="22"/>
          <w:szCs w:val="22"/>
        </w:rPr>
        <w:t xml:space="preserve">Current BIM practice provides no systematic defence against either mechanism. Standard BIM coordination workflows — clash detection, model coordination reviews, and information delivery milestones — focus exclusively on geometric conflicts: pipes occupying the same space, services clashing with structural elements, and spatial constraints around access routes. Material compatibility, electrochemical potential differences, joint geometry risk, and environment class are not checked by any existing automated BIM tool. Corrosion risk is either ignored entirely during the design stage or addressed informally through the experience of individual engineers, with no consistent methodology and no machine-readable compliance record.</w:t>
      </w:r>
    </w:p>
    <w:p>
      <w:pPr>
        <w:spacing w:after="200" w:before="0"/>
        <w:jc w:val="both"/>
      </w:pPr>
      <w:r>
        <w:rPr>
          <w:rFonts w:ascii="Arial" w:cs="Arial" w:eastAsia="Arial" w:hAnsi="Arial"/>
          <w:sz w:val="22"/>
          <w:szCs w:val="22"/>
        </w:rPr>
        <w:t xml:space="preserve">The consequences of this gap are significant. A galvanic couple between copper condensate pipework and a galvanised steel support bracket, or between a stainless steel process pipe and a carbon steel hanger in a shared unistrut assembly, will produce measurable corrosion within two to five years in a humid plant room environment. Remediation at this stage requires access, isolation, abortive work, and programme disruption — typically costing six to ten times more than the same intervention at the design stage. For higher-risk buildings subject to the Building Safety Act 2022 in the UK, the absence of a traceable design-stage compliance record for material compatibility also creates a gap in the Golden Thread of information that the Act requires.</w:t>
      </w:r>
    </w:p>
    <w:p>
      <w:pPr>
        <w:pStyle w:val="Heading2"/>
        <w:spacing w:after="160" w:before="280"/>
      </w:pPr>
      <w:r>
        <w:rPr>
          <w:rFonts w:ascii="Arial" w:cs="Arial" w:eastAsia="Arial" w:hAnsi="Arial"/>
          <w:b/>
          <w:bCs/>
          <w:color w:val="1F3864"/>
          <w:sz w:val="26"/>
          <w:szCs w:val="26"/>
        </w:rPr>
        <w:t xml:space="preserve">The BIMGUARD AI approach</w:t>
      </w:r>
    </w:p>
    <w:p>
      <w:pPr>
        <w:spacing w:after="200" w:before="0"/>
        <w:jc w:val="both"/>
      </w:pPr>
      <w:r>
        <w:rPr>
          <w:rFonts w:ascii="Arial" w:cs="Arial" w:eastAsia="Arial" w:hAnsi="Arial"/>
          <w:sz w:val="22"/>
          <w:szCs w:val="22"/>
        </w:rPr>
        <w:t xml:space="preserve">BIMGUARD AI addresses this gap through a five-phase automated compliance pipeline that operates entirely on open standards. The input is a standard IFC file exported from any BIM authoring tool. The output is a BCF 2.1 issue file that can be opened in any OpenBIM platform. No proprietary APIs, no Revit-specific plugins, and no format conversion are required — a deliberate architectural decision that makes the tool applicable to the full range of disciplines and software environments encountered on a typical complex project.</w:t>
      </w:r>
    </w:p>
    <w:p>
      <w:pPr>
        <w:spacing w:after="200" w:before="0"/>
        <w:jc w:val="both"/>
      </w:pPr>
      <w:r>
        <w:rPr>
          <w:rFonts w:ascii="Arial" w:cs="Arial" w:eastAsia="Arial" w:hAnsi="Arial"/>
          <w:sz w:val="22"/>
          <w:szCs w:val="22"/>
        </w:rPr>
        <w:t xml:space="preserve">Phase 1, the Spatial Filter, extracts pipe centreline coordinates and material property sets from the IFC model and calculates the minimum centre-to-centre distance required between each pair of parallel services, accounting for outside diameter, insulation thickness as specified in Pset_CoveringCommon, and a 25mm construction clearance. Where the actual centre-to-centre distance extracted from the model falls below this minimum, a hard clash is flagged. Critically, this check operates on metadata — the insulation thickness specified in the property set — rather than requiring the insulation to be modelled as a separate 3D solid. This addresses a fundamental limitation of standard clash detection tools, which only detect what is geometrically present in the model.</w:t>
      </w:r>
    </w:p>
    <w:p>
      <w:pPr>
        <w:spacing w:after="200" w:before="0"/>
        <w:jc w:val="both"/>
      </w:pPr>
      <w:r>
        <w:rPr>
          <w:rFonts w:ascii="Arial" w:cs="Arial" w:eastAsia="Arial" w:hAnsi="Arial"/>
          <w:sz w:val="22"/>
          <w:szCs w:val="22"/>
        </w:rPr>
        <w:t xml:space="preserve">Phase 2, the Halo Envelope, extends the minimum spacing requirement to account for the support steelwork, hangers, and seismic bracing that will be added at LOD 350 but are absent from LOD 300 coordination models. A 100mm buffer for standard hanger assemblies and an optional 150mm buffer for seismic bracing — derived from MSS SP-58 and EN 13480-3 physical dimensions — are added to each pipe's effective radius to produce a volumetric exclusion zone. Services that pass the Phase 1 physical check but encroach on this Halo zone are flagged as LOD 350 risks, preventing coordination sign-off on models that will fail at fit-out when the structural engineer begins installing support steelwork.</w:t>
      </w:r>
    </w:p>
    <w:p>
      <w:pPr>
        <w:spacing w:after="200" w:before="0"/>
        <w:jc w:val="both"/>
      </w:pPr>
      <w:r>
        <w:rPr>
          <w:rFonts w:ascii="Arial" w:cs="Arial" w:eastAsia="Arial" w:hAnsi="Arial"/>
          <w:sz w:val="22"/>
          <w:szCs w:val="22"/>
        </w:rPr>
        <w:t xml:space="preserve">Phase 3, the Galvanic Gate, reads the material specification from Pset_MaterialCommon on each element and assesses the electrochemical compatibility of material pairs using a 22-material galvanic series table and NASA-STD-6012 voltage thresholds calibrated to three environment classes. The assessment additionally checks for moisture bridge conditions — cases where the physical separation between metallic surfaces is insufficient to prevent electrolyte formation — and for shared metallic support assemblies that create a galvanic conductor between otherwise spatially separated elements.</w:t>
      </w:r>
    </w:p>
    <w:p>
      <w:pPr>
        <w:spacing w:after="200" w:before="0"/>
        <w:jc w:val="both"/>
      </w:pPr>
      <w:r>
        <w:rPr>
          <w:rFonts w:ascii="Arial" w:cs="Arial" w:eastAsia="Arial" w:hAnsi="Arial"/>
          <w:sz w:val="22"/>
          <w:szCs w:val="22"/>
        </w:rPr>
        <w:t xml:space="preserve">Phase 4, the Resolution Hierarchy, applies a three-tier decision logic to determine which element should be relocated when a failure is detected. Gravity-dependent services are designated immovable in Tier 1. Where neither service is gravity-dependent, Tier 2 calculates the cost of rerouting each element independently using material rate, labour complexity multiplier, and fitting count, recommending the cheaper option when the cost delta exceeds 20%. Where costs are within 20% of each other, Tier 3 evaluates schedule risk based on joint type, recommending the option with the lower programme impact. The output is a specific resolution instruction: element GlobalID, offset direction and magnitude, estimated cost, and working day impact.</w:t>
      </w:r>
    </w:p>
    <w:p>
      <w:pPr>
        <w:spacing w:after="200" w:before="0"/>
        <w:jc w:val="both"/>
      </w:pPr>
      <w:r>
        <w:rPr>
          <w:rFonts w:ascii="Arial" w:cs="Arial" w:eastAsia="Arial" w:hAnsi="Arial"/>
          <w:sz w:val="22"/>
          <w:szCs w:val="22"/>
        </w:rPr>
        <w:t xml:space="preserve">Phase 5, the Executive Report, translates the technical outputs of Phases 1 through 4 into three audience-specific deliverables: a BCF 2.1 issue file for the discipline engineer, a compliance dashboard for the BIM manager, and a cost avoidance summary for the client and project manager. ISO 19650 information container status codes — Work in Progress, Shared, and Approved — are assigned based on the resolution state of outstanding issues, enabling direct integration with Common Data Environment platforms including Plannerly.</w:t>
      </w:r>
    </w:p>
    <w:p>
      <w:pPr>
        <w:pStyle w:val="Heading2"/>
        <w:spacing w:after="160" w:before="280"/>
      </w:pPr>
      <w:r>
        <w:rPr>
          <w:rFonts w:ascii="Arial" w:cs="Arial" w:eastAsia="Arial" w:hAnsi="Arial"/>
          <w:b/>
          <w:bCs/>
          <w:color w:val="1F3864"/>
          <w:sz w:val="26"/>
          <w:szCs w:val="26"/>
        </w:rPr>
        <w:t xml:space="preserve">Key findings and validation</w:t>
      </w:r>
    </w:p>
    <w:p>
      <w:pPr>
        <w:spacing w:after="200" w:before="0"/>
        <w:jc w:val="both"/>
      </w:pPr>
      <w:r>
        <w:rPr>
          <w:rFonts w:ascii="Arial" w:cs="Arial" w:eastAsia="Arial" w:hAnsi="Arial"/>
          <w:sz w:val="22"/>
          <w:szCs w:val="22"/>
        </w:rPr>
        <w:t xml:space="preserve">Validation testing demonstrated that the combined GC-001 and CC-001 engines detect failure modes that are invisible to galvanic analysis alone. The key validated finding — SS316 stainless steel flanges in a pool plant room environment scoring 0.00 on the galvanic composite risk score but 0.89 (Critical) on the crevice corrosion score — illustrates the fundamental inadequacy of single-mechanism corrosion checking. Stainless steel is typically specified precisely because of its galvanic nobility, but that same nobility makes crevice corrosion the dominant failure mode in chloride-rich environments. A tool that checks only galvanic compatibility will classify this assembly as safe; BIMGUARD AI correctly classifies it as a critical risk.</w:t>
      </w:r>
    </w:p>
    <w:p>
      <w:pPr>
        <w:spacing w:after="200" w:before="0"/>
        <w:jc w:val="both"/>
      </w:pPr>
      <w:r>
        <w:rPr>
          <w:rFonts w:ascii="Arial" w:cs="Arial" w:eastAsia="Arial" w:hAnsi="Arial"/>
          <w:sz w:val="22"/>
          <w:szCs w:val="22"/>
        </w:rPr>
        <w:t xml:space="preserve">The OpenBIM methodology was validated through successful parsing of IFC files from multiple authoring environments. The normalisation layer in the IFC parser maps any material name string to the BIMGUARD internal key system — a practical requirement for real project models where material naming conventions vary between disciplines and contractors — enabling the compliance engines to operate on heterogeneous models without manual data preparation.</w:t>
      </w:r>
    </w:p>
    <w:p>
      <w:pPr>
        <w:pStyle w:val="Heading2"/>
        <w:spacing w:after="160" w:before="280"/>
      </w:pPr>
      <w:r>
        <w:rPr>
          <w:rFonts w:ascii="Arial" w:cs="Arial" w:eastAsia="Arial" w:hAnsi="Arial"/>
          <w:b/>
          <w:bCs/>
          <w:color w:val="1F3864"/>
          <w:sz w:val="26"/>
          <w:szCs w:val="26"/>
        </w:rPr>
        <w:t xml:space="preserve">Academic contribution</w:t>
      </w:r>
    </w:p>
    <w:p>
      <w:pPr>
        <w:spacing w:after="200" w:before="0"/>
        <w:jc w:val="both"/>
      </w:pPr>
      <w:r>
        <w:rPr>
          <w:rFonts w:ascii="Arial" w:cs="Arial" w:eastAsia="Arial" w:hAnsi="Arial"/>
          <w:sz w:val="22"/>
          <w:szCs w:val="22"/>
        </w:rPr>
        <w:t xml:space="preserve">BIMGUARD AI makes three distinct contributions to the academic and professional literature on BIM compliance checking. First, it demonstrates that corrosion risk checking can be implemented as a white-box rule-based system — every compliance decision is traceable to a named standard and a specific threshold — rather than requiring a black-box machine learning approach. Second, it establishes a methodology for using IFC property set metadata to detect conditions that are not represented in the geometric model, specifically insulation thickness, material specification, and environment class. Third, the Halo Envelope concept introduces a formal mechanism for reserving LOD 350 support steelwork space within a LOD 300 model, addressing a recognised and costly gap in current BIM coordination practice.</w:t>
      </w:r>
    </w:p>
    <w:p>
      <w:pPr>
        <w:pStyle w:val="Heading2"/>
        <w:spacing w:after="160" w:before="280"/>
      </w:pPr>
      <w:r>
        <w:rPr>
          <w:rFonts w:ascii="Arial" w:cs="Arial" w:eastAsia="Arial" w:hAnsi="Arial"/>
          <w:b/>
          <w:bCs/>
          <w:color w:val="1F3864"/>
          <w:sz w:val="26"/>
          <w:szCs w:val="26"/>
        </w:rPr>
        <w:t xml:space="preserve">Conclusions and further development</w:t>
      </w:r>
    </w:p>
    <w:p>
      <w:pPr>
        <w:spacing w:after="200" w:before="0"/>
        <w:jc w:val="both"/>
      </w:pPr>
      <w:r>
        <w:rPr>
          <w:rFonts w:ascii="Arial" w:cs="Arial" w:eastAsia="Arial" w:hAnsi="Arial"/>
          <w:sz w:val="22"/>
          <w:szCs w:val="22"/>
        </w:rPr>
        <w:t xml:space="preserve">BIMGUARD AI demonstrates that automated corrosion compliance checking is technically achievable, standards-compliant, and practically deployable within existing OpenBIM workflows. The tool is ready for pilot deployment on live projects and for extension to additional corrosion mechanisms. The immediate development priority is a third engine, MC-001, covering Microbially Influenced Corrosion in dead-leg pipework, stagnant water sections, and under-insulation scenarios — a mechanism of particular significance in healthcare, pharmaceutical, and food processing facilities. A fire compartmentation compliance module is also identified as a parallel development stream.</w:t>
      </w:r>
    </w:p>
    <w:p>
      <w:pPr>
        <w:spacing w:after="200" w:before="0"/>
        <w:jc w:val="both"/>
      </w:pPr>
      <w:r>
        <w:rPr>
          <w:rFonts w:ascii="Arial" w:cs="Arial" w:eastAsia="Arial" w:hAnsi="Arial"/>
          <w:sz w:val="22"/>
          <w:szCs w:val="22"/>
        </w:rPr>
        <w:t xml:space="preserve">The cost avoidance case for the tool is compelling. Applying the established design-stage-to-field-stage cost multiplier of 6× to the validation dataset produces a cost avoidance figure that substantially exceeds the development and deployment cost of the tool. For Semiconductor Fab and pharmaceutical projects, where a single construction delay day can cost more than the entire reroute value, the multiplier is conservative. BIMGUARD AI represents a defensible, standards-grounded investment in prevention.</w:t>
      </w:r>
    </w:p>
    <w:p>
      <w:pPr>
        <w:spacing w:after="0" w:before="360"/>
      </w:pPr>
      <w:r>
        <w:t xml:space="preserve"/>
      </w:r>
    </w:p>
    <w:p>
      <w:pPr>
        <w:pBdr>
          <w:bottom w:val="single" w:color="1F3864" w:sz="6" w:space="1"/>
        </w:pBdr>
        <w:spacing w:after="240" w:before="0"/>
      </w:pPr>
    </w:p>
    <w:p>
      <w:pPr>
        <w:spacing w:after="0" w:before="120"/>
      </w:pPr>
      <w:r>
        <w:t xml:space="preserve"/>
      </w:r>
    </w:p>
    <w:p>
      <w:pPr>
        <w:spacing w:after="0" w:before="0"/>
      </w:pPr>
      <w:r>
        <w:rPr>
          <w:rFonts w:ascii="Arial" w:cs="Arial" w:eastAsia="Arial" w:hAnsi="Arial"/>
          <w:b/>
          <w:bCs/>
          <w:color w:val="666666"/>
          <w:sz w:val="20"/>
          <w:szCs w:val="20"/>
        </w:rPr>
        <w:t xml:space="preserve">Standards referenced in this document: </w:t>
      </w:r>
      <w:r>
        <w:rPr>
          <w:rFonts w:ascii="Arial" w:cs="Arial" w:eastAsia="Arial" w:hAnsi="Arial"/>
          <w:i/>
          <w:iCs/>
          <w:color w:val="666666"/>
          <w:sz w:val="20"/>
          <w:szCs w:val="20"/>
        </w:rPr>
        <w:t xml:space="preserve">NASA-STD-6012 | EN ISO 15329:2007 | ASTM G48 Method B | CIRIA C692 | ISO 16739-1 (IFC) | BCF 2.1 (buildingSMART) | ISO 19650 | Building Safety Act 2022 | MSS SP-58 | EN 13480-3 | IMOA Design Manual 4th Ed.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spacing w:before="120"/>
    </w:pPr>
    <w:r>
      <w:rPr>
        <w:rFonts w:ascii="Arial" w:cs="Arial" w:eastAsia="Arial" w:hAnsi="Arial"/>
        <w:color w:val="888888"/>
        <w:sz w:val="16"/>
        <w:szCs w:val="16"/>
      </w:rPr>
      <w:t xml:space="preserve">Zigurat Global Institute of Technology  |  Masters in BIM Management  |  Group 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1"/>
      </w:pBdr>
      <w:spacing w:after="120"/>
    </w:pPr>
    <w:r>
      <w:rPr>
        <w:rFonts w:ascii="Arial" w:cs="Arial" w:eastAsia="Arial" w:hAnsi="Arial"/>
        <w:color w:val="888888"/>
        <w:sz w:val="18"/>
        <w:szCs w:val="18"/>
      </w:rPr>
      <w:t xml:space="preserve">BIMGUARD AI  |  Final Master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2026-04-08T16:33:53.431Z</dcterms:created>
  <dcterms:modified xsi:type="dcterms:W3CDTF">2026-04-08T16:33:53.432Z</dcterms:modified>
</cp:coreProperties>
</file>

<file path=docProps/custom.xml><?xml version="1.0" encoding="utf-8"?>
<Properties xmlns="http://schemas.openxmlformats.org/officeDocument/2006/custom-properties" xmlns:vt="http://schemas.openxmlformats.org/officeDocument/2006/docPropsVTypes"/>
</file>