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D82"/>
          <w:sz w:val="24"/>
        </w:rPr>
        <w:t>ТЕХНИЧЕСКОЕ ЗАДАНИЕ</w:t>
      </w:r>
    </w:p>
    <w:p>
      <w:pPr>
        <w:jc w:val="center"/>
      </w:pPr>
      <w:r>
        <w:rPr>
          <w:b/>
          <w:sz w:val="50"/>
        </w:rPr>
        <w:t>Emerging Technology Intelligence</w:t>
        <w:br/>
      </w:r>
      <w:r>
        <w:rPr>
          <w:b/>
          <w:color w:val="5B2D82"/>
          <w:sz w:val="36"/>
        </w:rPr>
        <w:t>Хакатонная версия v1.5</w:t>
      </w:r>
    </w:p>
    <w:p>
      <w:pPr>
        <w:jc w:val="center"/>
      </w:pPr>
      <w:r>
        <w:rPr>
          <w:sz w:val="24"/>
        </w:rPr>
        <w:t>Сервис автоматизированного выявления слабых научно-технологических сигналов</w:t>
      </w:r>
    </w:p>
    <w:p>
      <w:pPr>
        <w:jc w:val="center"/>
      </w:pPr>
      <w:r>
        <w:rPr>
          <w:i/>
        </w:rPr>
        <w:t>Фокус версии: доказуемая ML-модель + открытый поиск + интерпретируемость + демонстрация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Параметр</w:t>
            </w:r>
          </w:p>
        </w:tc>
        <w:tc>
          <w:tcPr>
            <w:tcW w:type="dxa" w:w="6624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Версия 1.5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Контекст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Хакатон Газпромбанк.Тех, жюри и live-защита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Главная объективная метрика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≥80% как целевой порог; ТЗ допускает 75% как нижний вариант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Обучающий материал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 размеченных слабых сигналов, предоставленных организаторами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Финальный сценарий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Свободный запрос → открытые источники → кандидаты → фильтрация → TOP-15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Интерфейс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Русский язык; web-стенд допускается простой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Поставка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GitHub/GitLab + Docker + README + demo</w:t>
            </w:r>
          </w:p>
        </w:tc>
      </w:tr>
    </w:tbl>
    <w:p/>
    <w:p>
      <w:pPr>
        <w:pStyle w:val="Heading1"/>
      </w:pPr>
      <w:r>
        <w:t>0. Назначение версии 1.5</w:t>
      </w:r>
    </w:p>
    <w:p>
      <w:r>
        <w:t>Версия 1.5 переориентирует проект с enterprise-платформы длительного мониторинга на хакатонное решение, в котором приоритетом является доказательство технической способности обнаруживать слабые сигналы, прозрачность методологии и работоспособный открытый поиск.</w:t>
      </w:r>
    </w:p>
    <w:p>
      <w:pPr>
        <w:pStyle w:val="ListBullet"/>
        <w:spacing w:after="40"/>
      </w:pPr>
      <w:r>
        <w:t>Сначала доказать качество модели на предоставленном датасете и зафиксировать честную схему валидации.</w:t>
      </w:r>
    </w:p>
    <w:p>
      <w:pPr>
        <w:pStyle w:val="ListBullet"/>
        <w:spacing w:after="40"/>
      </w:pPr>
      <w:r>
        <w:t>Не ограничивать открытый поиск стартовым перечнем из 100 технологий.</w:t>
      </w:r>
    </w:p>
    <w:p>
      <w:pPr>
        <w:pStyle w:val="ListBullet"/>
        <w:spacing w:after="40"/>
      </w:pPr>
      <w:r>
        <w:t>Сделать объяснение решения частью результата, а не постфактум сформированным текстом.</w:t>
      </w:r>
    </w:p>
    <w:p>
      <w:pPr>
        <w:pStyle w:val="ListBullet"/>
        <w:spacing w:after="40"/>
      </w:pPr>
      <w:r>
        <w:t>Показать исключение зрелых технологий, маркетингового хайпа и информационного шума.</w:t>
      </w:r>
    </w:p>
    <w:p>
      <w:pPr>
        <w:pStyle w:val="ListBullet"/>
        <w:spacing w:after="40"/>
      </w:pPr>
      <w:r>
        <w:t>Минимизировать инфраструктурный обвес, не влияющий на критерии хакатона.</w:t>
      </w:r>
    </w:p>
    <w:p>
      <w:pPr>
        <w:pStyle w:val="Heading1"/>
      </w:pPr>
      <w:r>
        <w:t>1. Основания и требования организаторов</w:t>
      </w:r>
    </w:p>
    <w:p>
      <w:r>
        <w:t>Исходное ТЗ описывает два взаимосвязанных этапа: обучение модели на предоставленном датасете и открытый поиск по внешним источникам. На первом этапе требуется детекция слабых сигналов с прозрачной логикой признаков; на втором — свободный запрос и формирование TOP-15 кандидатов без ограничения стартовым датасетом. Финальная демонстрация должна выполняться в реальном времени.</w:t>
      </w:r>
    </w:p>
    <w:p>
      <w:pPr>
        <w:pStyle w:val="ListBullet"/>
        <w:spacing w:after="40"/>
      </w:pPr>
      <w:r>
        <w:t>Точность модели: порог 75–80%; в данной версии принимается целевой порог 80%, если организаторы не зафиксируют иное.</w:t>
      </w:r>
    </w:p>
    <w:p>
      <w:pPr>
        <w:pStyle w:val="ListBullet"/>
        <w:spacing w:after="40"/>
      </w:pPr>
      <w:r>
        <w:t>Модель должна быть интерпретируемой: показывать признаки/предикторы, по которым наблюдение признано слабым сигналом.</w:t>
      </w:r>
    </w:p>
    <w:p>
      <w:pPr>
        <w:pStyle w:val="ListBullet"/>
        <w:spacing w:after="40"/>
      </w:pPr>
      <w:r>
        <w:t>Открытый поиск не должен быть ограничен предоставленным датасетом или заранее заданным перечнем технологий.</w:t>
      </w:r>
    </w:p>
    <w:p>
      <w:pPr>
        <w:pStyle w:val="ListBullet"/>
        <w:spacing w:after="40"/>
      </w:pPr>
      <w:r>
        <w:t>Для каждого источника: название, ссылка, дата публикации (если есть), тип источника, язык оригинала, уровень доверенности или критерии его определения.</w:t>
      </w:r>
    </w:p>
    <w:p>
      <w:pPr>
        <w:pStyle w:val="ListBullet"/>
        <w:spacing w:after="40"/>
      </w:pPr>
      <w:r>
        <w:t>Итоговая аналитика — на русском; для зарубежных источников требуется русское резюме/интерпретация с сохранением оригинального названия и метаданных.</w:t>
      </w:r>
    </w:p>
    <w:p>
      <w:pPr>
        <w:pStyle w:val="ListBullet"/>
        <w:spacing w:after="40"/>
      </w:pPr>
      <w:r>
        <w:t>Необходимо отделять слабые сигналы от зрелых технологий, массового внедрения, отраслевых стандартов, маркетингового хайпа и информационного шума.</w:t>
      </w:r>
    </w:p>
    <w:p>
      <w:pPr>
        <w:pStyle w:val="ListBullet"/>
        <w:spacing w:after="40"/>
      </w:pPr>
      <w:r>
        <w:t>Финальная поставка: репозиторий, Docker, README, зависимости, техническая документация, web-стенд и презентация не более 15 слайдов.</w:t>
      </w:r>
    </w:p>
    <w:p>
      <w:pPr>
        <w:pStyle w:val="Heading1"/>
      </w:pPr>
      <w:r>
        <w:t>2. Датасет обучения</w:t>
      </w:r>
    </w:p>
    <w:p>
      <w:r>
        <w:t>Предоставленный XLSX содержит 100 размеченных записей слабых технологических сигналов. В каждой записи присутствуют технология, область, компании, обоснование слабого сигнала, стадия развития, тренд упоминаний, балл и источники.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Характеристика</w:t>
            </w:r>
          </w:p>
        </w:tc>
        <w:tc>
          <w:tcPr>
            <w:tcW w:type="dxa" w:w="6480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Количество записей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Областей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Области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Индустриальный ИИ — 17; Роботы — 17; Инфраструктура ИИ — 17; Финтех — 17; Защита ИИ — 16; Edge — 16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Диапазон балла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3–7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Распределение баллов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3: 7; 4: 22; 5: 28; 6: 28; 7: 15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Уникальных технологий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100</w:t>
            </w:r>
          </w:p>
        </w:tc>
      </w:tr>
    </w:tbl>
    <w:p/>
    <w:p>
      <w:r>
        <w:t>Критическое ограничение: в предоставленном наборе отсутствует отдельный явный negative-класс. Поэтому target нельзя автоматически трактовать как бинарный label без дополнительного решения. До финального обучения необходимо определить, что именно предсказывает модель: бинарный статус слабого сигнала, порог по экспертному баллу 3–7 или ordinal score.</w:t>
      </w:r>
    </w:p>
    <w:p>
      <w:pPr>
        <w:pStyle w:val="Heading1"/>
      </w:pPr>
      <w:r>
        <w:t>3. Target и стратегия обучения</w:t>
      </w:r>
    </w:p>
    <w:p>
      <w:pPr>
        <w:pStyle w:val="Heading2"/>
      </w:pPr>
      <w:r>
        <w:t>3.1. Правило выбора target</w:t>
      </w:r>
    </w:p>
    <w:p>
      <w:pPr>
        <w:pStyle w:val="ListBullet"/>
        <w:spacing w:after="40"/>
      </w:pPr>
      <w:r>
        <w:t>Сначала провести аудит структуры XLSX и проверить связь между стадией, трендом упоминаний и баллом.</w:t>
      </w:r>
    </w:p>
    <w:p>
      <w:pPr>
        <w:pStyle w:val="ListBullet"/>
        <w:spacing w:after="40"/>
      </w:pPr>
      <w:r>
        <w:t>Зафиксировать target до финального подбора модели и не менять его после просмотра результатов validation.</w:t>
      </w:r>
    </w:p>
    <w:p>
      <w:pPr>
        <w:pStyle w:val="ListBullet"/>
        <w:spacing w:after="40"/>
      </w:pPr>
      <w:r>
        <w:t>Если целевая проверка организаторов бинарная — обучать бинарный классификатор. Если проверка использует экспертный балл — использовать ordinal/regression-постановку и отдельное правило преобразования в signal/non-signal.</w:t>
      </w:r>
    </w:p>
    <w:p>
      <w:pPr>
        <w:pStyle w:val="ListBullet"/>
        <w:spacing w:after="40"/>
      </w:pPr>
      <w:r>
        <w:t>Все преобразования target и пороги документировать в README и отчёте.</w:t>
      </w:r>
    </w:p>
    <w:p>
      <w:pPr>
        <w:pStyle w:val="Heading2"/>
      </w:pPr>
      <w:r>
        <w:t>3.2. Отрицательные примеры</w:t>
      </w:r>
    </w:p>
    <w:p>
      <w:r>
        <w:t>Так как 100 записей являются положительными примерами слабых сигналов, для обучения бинарной модели необходим controlled negative set. Он не должен быть произвольным.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Источник негатива</w:t>
            </w:r>
          </w:p>
        </w:tc>
        <w:tc>
          <w:tcPr>
            <w:tcW w:type="dxa" w:w="5328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Логика</w:t>
            </w:r>
          </w:p>
        </w:tc>
        <w:tc>
          <w:tcPr>
            <w:tcW w:type="dxa" w:w="2160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Риск смещения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Зрелые технологии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Высокий объём/широкое внедрение + низкое ускорение + высокая зрелость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Модель может научиться отличать известные слова, а не слабость сигнала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Маркетинговый хайп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Высокое раннее внимание при слабом независимом подтверждении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Нужно не путать отсутствие данных с отсутствием технологии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Информационный шум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Малый объём + низкая coherence + отсутствие cross-source подтверждения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Слишком лёгкий negative-класс даст завышенную метрику</w:t>
            </w:r>
          </w:p>
        </w:tc>
      </w:tr>
    </w:tbl>
    <w:p/>
    <w:p>
      <w:r>
        <w:t>Правило: negative set должен строиться из того же или сопоставимого корпуса и проходить отдельный аудит. Нельзя использовать только очевидные негативы, иначе 80% accuracy не будет убедительным свидетельством.</w:t>
      </w:r>
    </w:p>
    <w:p>
      <w:pPr>
        <w:pStyle w:val="Heading2"/>
      </w:pPr>
      <w:r>
        <w:t>3.3. Базовые модели</w:t>
      </w:r>
    </w:p>
    <w:p>
      <w:pPr>
        <w:pStyle w:val="ListBullet"/>
        <w:spacing w:after="40"/>
      </w:pPr>
      <w:r>
        <w:t>Baseline 1: Logistic Regression / Linear model — контрольная точка и интерпретируемость.</w:t>
      </w:r>
    </w:p>
    <w:p>
      <w:pPr>
        <w:pStyle w:val="ListBullet"/>
        <w:spacing w:after="40"/>
      </w:pPr>
      <w:r>
        <w:t>Baseline 2: Random Forest / Gradient Boosting.</w:t>
      </w:r>
    </w:p>
    <w:p>
      <w:pPr>
        <w:pStyle w:val="ListBullet"/>
        <w:spacing w:after="40"/>
      </w:pPr>
      <w:r>
        <w:t>Основной кандидат: XGBoost/градиентный бустинг по табличным признакам, если он доступен в окружении.</w:t>
      </w:r>
    </w:p>
    <w:p>
      <w:pPr>
        <w:pStyle w:val="ListBullet"/>
        <w:spacing w:after="40"/>
      </w:pPr>
      <w:r>
        <w:t>Текстовые признаки: multilingual embeddings + агрегаты по источникам; не использовать LLM как классификатор без контролируемой процедуры.</w:t>
      </w:r>
    </w:p>
    <w:p>
      <w:pPr>
        <w:pStyle w:val="ListBullet"/>
        <w:spacing w:after="40"/>
      </w:pPr>
      <w:r>
        <w:t>LLM используется для русскоязычного объяснения и структурирования доказательств, а не как единственный источник решения.</w:t>
      </w:r>
    </w:p>
    <w:p>
      <w:pPr>
        <w:pStyle w:val="Heading1"/>
      </w:pPr>
      <w:r>
        <w:t>4. Feature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Группа</w:t>
            </w:r>
          </w:p>
        </w:tc>
        <w:tc>
          <w:tcPr>
            <w:tcW w:type="dxa" w:w="5472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Примеры признаков</w:t>
            </w:r>
          </w:p>
        </w:tc>
        <w:tc>
          <w:tcPr>
            <w:tcW w:type="dxa" w:w="2304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Роль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Новизна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возраст, semantic distance до известных технологий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отделение нового от давно известного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Динамика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growth, acceleration, slope, change-point при наличии данных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раннее обнаружение ускорения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Научный сигнал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число публикаций, авторов, организаций, preprints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исследовательская активность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IP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патентные семьи, applicants, CPC/IPC diversity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технологическая/правовая активность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Adoption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GitHub activity, HF, PyPI/npm, contributors, releases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раннее внедрение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Cross-source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число независимых типов источников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защита от единичного вброса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Maturity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стадия, признаки массового внедрения, market saturation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отсечение зрелых технологий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Trust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тип источника, доверенность, независимость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контроль качества evidence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Author mobility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переход авторов между областями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опережающий сигнал появления новой области</w:t>
            </w:r>
          </w:p>
        </w:tc>
      </w:tr>
    </w:tbl>
    <w:p/>
    <w:p>
      <w:pPr>
        <w:pStyle w:val="Heading1"/>
      </w:pPr>
      <w:r>
        <w:t>5. Интерпретируемый скоринг</w:t>
      </w:r>
    </w:p>
    <w:p>
      <w:r>
        <w:t>Для demo каждая оценка должна раскладываться на понятные компоненты. Численные веса не считаются истиной до валидации; они являются baseline и должны быть зафиксированы в версии эксперимента.</w:t>
      </w:r>
    </w:p>
    <w:p>
      <w:pPr>
        <w:ind w:left="360"/>
      </w:pPr>
      <w:r>
        <w:rPr>
          <w:rFonts w:ascii="Courier New" w:hAnsi="Courier New"/>
          <w:sz w:val="17"/>
        </w:rPr>
        <w:t>Signal probability</w:t>
        <w:br/>
        <w:t>= f(novelty, growth, acceleration, research, adoption,</w:t>
        <w:br/>
        <w:t xml:space="preserve">    cross_source, maturity_inverse, source_trust)</w:t>
        <w:br/>
        <w:br/>
        <w:t>Пример объяснения:</w:t>
        <w:br/>
        <w:t>Уверенность модели: 86%</w:t>
        <w:br/>
        <w:t>+ высокая динамика упоминаний</w:t>
        <w:br/>
        <w:t>+ ранняя стадия</w:t>
        <w:br/>
        <w:t>+ рост числа независимых источников</w:t>
        <w:br/>
        <w:t>+ появление практических реализаций</w:t>
        <w:br/>
        <w:t>− слабое патентное подтверждение</w:t>
        <w:br/>
      </w:r>
    </w:p>
    <w:p>
      <w:r>
        <w:t>Для деревьев/бустинга рекомендуется SHAP или эквивалентный метод локальной интерпретации. Для линейного baseline — коэффициенты признаков. В UI показывать не только итоговый процент, но и 3–6 ключевых факторов.</w:t>
      </w:r>
    </w:p>
    <w:p>
      <w:pPr>
        <w:pStyle w:val="Heading1"/>
      </w:pPr>
      <w:r>
        <w:t>6. Защита от хайпа, зрелости и шума</w:t>
      </w:r>
    </w:p>
    <w:p>
      <w:r>
        <w:t>Фильтр является самостоятельным этапом перед финальным TOP-15. Кандидат не должен попадать в итоговую выдачу только из-за большого количества упоминаний.</w:t>
      </w:r>
    </w:p>
    <w:p>
      <w:pPr>
        <w:pStyle w:val="ListBullet"/>
        <w:spacing w:after="40"/>
      </w:pPr>
      <w:r>
        <w:t>Maturity filter: штраф/исключение при признаках массового внедрения, сформированного рынка, устойчивых лидеров и стандартности.</w:t>
      </w:r>
    </w:p>
    <w:p>
      <w:pPr>
        <w:pStyle w:val="ListBullet"/>
        <w:spacing w:after="40"/>
      </w:pPr>
      <w:r>
        <w:t>Hype filter: высокий media/early score при низком independent confirmation → статус «возможный хайп / требуется подтверждение».</w:t>
      </w:r>
    </w:p>
    <w:p>
      <w:pPr>
        <w:pStyle w:val="ListBullet"/>
        <w:spacing w:after="40"/>
      </w:pPr>
      <w:r>
        <w:t>Noise filter: малый объём, низкая семантическая coherence и отсутствие независимых источников → исключение.</w:t>
      </w:r>
    </w:p>
    <w:p>
      <w:pPr>
        <w:pStyle w:val="ListBullet"/>
        <w:spacing w:after="40"/>
      </w:pPr>
      <w:r>
        <w:t>Single-source rule: корпоративный блог, пресс-релиз, социальная сеть или агрегатор не могут быть единственным основанием для включения.</w:t>
      </w:r>
    </w:p>
    <w:p>
      <w:pPr>
        <w:pStyle w:val="ListBullet"/>
        <w:spacing w:after="40"/>
      </w:pPr>
      <w:r>
        <w:t>Каждое исключение желательно логировать: candidate → filter → reason.</w:t>
      </w:r>
    </w:p>
    <w:p>
      <w:pPr>
        <w:pStyle w:val="Heading1"/>
      </w:pPr>
      <w:r>
        <w:t>7. Early Warning и Confirmed Emerging</w:t>
      </w:r>
    </w:p>
    <w:p>
      <w:r>
        <w:t>Вместо одного смешанного ETS в хакатонной версии вводится простая двухконтурная интерпретация. Она нужна прежде всего для демонстрации фильтрации хайпа и различия между ранним сигналом и подтверждённым трендом.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Контур</w:t>
            </w:r>
          </w:p>
        </w:tc>
        <w:tc>
          <w:tcPr>
            <w:tcW w:type="dxa" w:w="5184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Источники/сигналы</w:t>
            </w:r>
          </w:p>
        </w:tc>
        <w:tc>
          <w:tcPr>
            <w:tcW w:type="dxa" w:w="2304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Early Warning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GitHub events, HF, PyPI/npm, новости/HN/Reddit, быстрые публикации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Что начало двигаться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Confirmed Emerging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научные публикации, патенты, R&amp;D, независимые компании/источники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Что получает независимое подтверждение</w:t>
            </w:r>
          </w:p>
        </w:tc>
      </w:tr>
    </w:tbl>
    <w:p/>
    <w:p>
      <w:r>
        <w:t>Delta = Early Warning − Confirmed Emerging. Высокая положительная delta не означает, что технология плохая: это может быть раннее обнаружение. Но такой кандидат должен быть явно помечен как недостаточно подтверждённый.</w:t>
      </w:r>
    </w:p>
    <w:p>
      <w:pPr>
        <w:pStyle w:val="Heading1"/>
      </w:pPr>
      <w:r>
        <w:t>8. Открытый поиск</w:t>
      </w:r>
    </w:p>
    <w:p>
      <w:r>
        <w:t>Открытый поиск является обязательным прикладным сценарием. Он не ограничивается 100 технологиями датасета и не должен зависеть от ручного списка известных сущностей.</w:t>
      </w:r>
    </w:p>
    <w:p>
      <w:pPr>
        <w:ind w:left="360"/>
      </w:pPr>
      <w:r>
        <w:rPr>
          <w:rFonts w:ascii="Courier New" w:hAnsi="Courier New"/>
          <w:sz w:val="17"/>
        </w:rPr>
        <w:t>Запрос пользователя</w:t>
        <w:br/>
        <w:t>→ поиск по открытым источникам</w:t>
        <w:br/>
        <w:t>→ извлечение technology candidates</w:t>
        <w:br/>
        <w:t>→ нормализация / semantic deduplication</w:t>
        <w:br/>
        <w:t>→ feature engineering</w:t>
        <w:br/>
        <w:t>→ ML inference</w:t>
        <w:br/>
        <w:t>→ maturity / hype / noise filters</w:t>
        <w:br/>
        <w:t>→ ranking</w:t>
        <w:br/>
        <w:t>→ TOP-15</w:t>
        <w:br/>
        <w:t>→ русскоязычная аналитическая карточка + evidence</w:t>
        <w:br/>
      </w:r>
    </w:p>
    <w:p>
      <w:r>
        <w:t>Discovery HDBSCAN/BERTopic остаётся желательным расширением: кластер без уверенного маппинга на известную технологию может стать кандидатом новой сущности. Для финального хакатонного MVP достаточно реализовать устойчивое извлечение и семантическое объединение кандидатов; полноценное автоматическое расширение онтологии не является P0.</w:t>
      </w:r>
    </w:p>
    <w:p>
      <w:pPr>
        <w:pStyle w:val="Heading1"/>
      </w:pPr>
      <w:r>
        <w:t>9. Источники и минимальный набор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Приоритет</w:t>
            </w:r>
          </w:p>
        </w:tc>
        <w:tc>
          <w:tcPr>
            <w:tcW w:type="dxa" w:w="4032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Источник/класс</w:t>
            </w:r>
          </w:p>
        </w:tc>
        <w:tc>
          <w:tcPr>
            <w:tcW w:type="dxa" w:w="4608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Сигнал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OpenAlex / Crossref / Semantic Scholar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научные публикации и метаданные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GitHub API + GH Archive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активность разработки и историческая динамика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Hugging Face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загрузки моделей/датасетов и внедрение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PyPI / npm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распространение библиотек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Новости / профессиональные медиа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раннее внимание; не единственное доказательство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EPO / другие патентные базы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IP-подтверждение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CORDIS / гранты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R&amp;D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P2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NIST / IETF / регуляторы / стандарты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опережающий regulatory/standards signal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P2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Papers with Code / конференции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связь исследований и реализации</w:t>
            </w:r>
          </w:p>
        </w:tc>
      </w:tr>
    </w:tbl>
    <w:p/>
    <w:p>
      <w:pPr>
        <w:pStyle w:val="Heading1"/>
      </w:pPr>
      <w:r>
        <w:t>10. Метаданные источника</w:t>
      </w:r>
    </w:p>
    <w:p>
      <w:pPr>
        <w:ind w:left="360"/>
      </w:pPr>
      <w:r>
        <w:rPr>
          <w:rFonts w:ascii="Courier New" w:hAnsi="Courier New"/>
          <w:sz w:val="17"/>
        </w:rPr>
        <w:t>source_name</w:t>
        <w:br/>
        <w:t>source_url</w:t>
        <w:br/>
        <w:t>published_at</w:t>
        <w:br/>
        <w:t>source_type</w:t>
        <w:br/>
        <w:t>original_language</w:t>
        <w:br/>
        <w:t>trust_level</w:t>
        <w:br/>
        <w:t>trust_reason</w:t>
        <w:br/>
        <w:t>retrieved_at</w:t>
        <w:br/>
        <w:t>evidence_text</w:t>
        <w:br/>
        <w:t>is_generated_summary</w:t>
        <w:br/>
        <w:t>original_title</w:t>
        <w:br/>
      </w:r>
    </w:p>
    <w:p>
      <w:r>
        <w:t>Для зарубежного материала: русское резюме/интерпретация + оригинальное название + ссылка + дата + язык. Если использован автоматический перевод или генеративное резюме, это явно отмечается.</w:t>
      </w:r>
    </w:p>
    <w:p>
      <w:pPr>
        <w:pStyle w:val="Heading1"/>
      </w:pPr>
      <w:r>
        <w:t>11. API и техническая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Компонент</w:t>
            </w:r>
          </w:p>
        </w:tc>
        <w:tc>
          <w:tcPr>
            <w:tcW w:type="dxa" w:w="7344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Ответственность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FastAPI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API, inference, search orchestration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PostgreSQL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сырьевые данные, признаки, результаты, evidence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ML module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feature pipeline + trained model + calibration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Search adapters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получение данных из открытых источников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Evidence verifier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проверка источников и связь claim → document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LLM local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русское резюме и структурирование объяснения; не source of truth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Web UI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минимальный демонстрационный интерфейс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Docker Compose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воспроизводимое развёртывание</w:t>
            </w:r>
          </w:p>
        </w:tc>
      </w:tr>
    </w:tbl>
    <w:p/>
    <w:p>
      <w:pPr>
        <w:ind w:left="360"/>
      </w:pPr>
      <w:r>
        <w:rPr>
          <w:rFonts w:ascii="Courier New" w:hAnsi="Courier New"/>
          <w:sz w:val="17"/>
        </w:rPr>
        <w:t>POST /api/v1/predict</w:t>
        <w:br/>
        <w:t>POST /api/v1/search</w:t>
        <w:br/>
        <w:t>GET  /api/v1/trends/{id}</w:t>
        <w:br/>
        <w:t>GET  /api/v1/sources/{id}</w:t>
        <w:br/>
        <w:t>GET  /api/v1/health</w:t>
        <w:br/>
      </w:r>
    </w:p>
    <w:p>
      <w:pPr>
        <w:pStyle w:val="Heading1"/>
      </w:pPr>
      <w:r>
        <w:t>12. Persistent corpus и режим работы</w:t>
      </w:r>
    </w:p>
    <w:p>
      <w:r>
        <w:t>Для хакатона не требуется полноценная промышленная непрерывная платформа. Рекомендуется компромисс: предварительно собранный cache/corpus для демонстрации + live fallback при отсутствии актуальных данных.</w:t>
      </w:r>
    </w:p>
    <w:p>
      <w:pPr>
        <w:pStyle w:val="ListBullet"/>
        <w:spacing w:after="40"/>
      </w:pPr>
      <w:r>
        <w:t>Precomputed данные обеспечивают быстрый повторный запрос.</w:t>
      </w:r>
    </w:p>
    <w:p>
      <w:pPr>
        <w:pStyle w:val="ListBullet"/>
        <w:spacing w:after="40"/>
      </w:pPr>
      <w:r>
        <w:t>Live search показывает выполнение обязательного открытого сценария.</w:t>
      </w:r>
    </w:p>
    <w:p>
      <w:pPr>
        <w:pStyle w:val="ListBullet"/>
        <w:spacing w:after="40"/>
      </w:pPr>
      <w:r>
        <w:t>Новые кандидаты могут обрабатываться асинхронно, если полный анализ занимает больше времени.</w:t>
      </w:r>
    </w:p>
    <w:p>
      <w:pPr>
        <w:pStyle w:val="ListBullet"/>
        <w:spacing w:after="40"/>
      </w:pPr>
      <w:r>
        <w:t>Сложные enterprise-механизмы оркестрации и lineage не должны блокировать MVP.</w:t>
      </w:r>
    </w:p>
    <w:p>
      <w:pPr>
        <w:pStyle w:val="Heading1"/>
      </w:pPr>
      <w:r>
        <w:t>13. Валидация и доказательство качества</w:t>
      </w:r>
    </w:p>
    <w:p>
      <w:r>
        <w:t>Валидация — центральный технический артефакт. Нельзя использовать только accuracy на самостоятельно сформированной лёгкой выборке.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Эксперимент</w:t>
            </w:r>
          </w:p>
        </w:tc>
        <w:tc>
          <w:tcPr>
            <w:tcW w:type="dxa" w:w="6624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Что проверяем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Cross-validation на train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устойчивость модели и базовая способность разделять классы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Hold-out / validation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непосредственная контрольная оценка до финальной защиты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Ablation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какие группы признаков реально дают прирост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Negative-source audit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не завышена ли метрика из-за слишком лёгких негативов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Calibration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соответствует ли 80% confidence реальной вероятности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Error analysis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какие зрелые/хайповые/шумовые случаи модель путает</w:t>
            </w:r>
          </w:p>
        </w:tc>
      </w:tr>
    </w:tbl>
    <w:p/>
    <w:p>
      <w:r>
        <w:t>Ключевые метрики: Precision, Recall, F1 и accuracy, если она соответствует формату проверки. Для дисбаланса классов обязательно показывать confusion matrix и PR-AUC. Финальный отчёт должен содержать один зафиксированный эксперимент без подгонки под результат.</w:t>
      </w:r>
    </w:p>
    <w:p>
      <w:pPr>
        <w:pStyle w:val="Heading1"/>
      </w:pPr>
      <w:r>
        <w:t>14.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7056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Критерий</w:t>
            </w:r>
          </w:p>
        </w:tc>
        <w:tc>
          <w:tcPr>
            <w:tcW w:type="dxa" w:w="1440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Статус для MVP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AC-01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ML-модель на предоставленном датасете; целевой порог ≥80%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AC-02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Прозрачное объяснение признаков решения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AC-03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Открытый запрос не ограничен 100 технологиями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AC-04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TOP-15 кандидатов с confidence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AC-05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Русская аналитическая выдача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AC-06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Источник: name/url/date/type/language/trust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AC-07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Фильтрация зрелости, хайпа и шума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P1, но обязательно для финального demo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AC-08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Количество кандидатов и сигналов с confidence &gt;75%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AC-09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Docker + README + dependencies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AC-10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Web demo, доступный жюри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AC-11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Презентация ≤15 слайдов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</w:t>
            </w:r>
          </w:p>
        </w:tc>
      </w:tr>
    </w:tbl>
    <w:p/>
    <w:p>
      <w:pPr>
        <w:pStyle w:val="Heading1"/>
      </w:pPr>
      <w:r>
        <w:t>15. Demo-сценарий</w:t>
      </w:r>
    </w:p>
    <w:p>
      <w:pPr>
        <w:pStyle w:val="ListBullet"/>
        <w:spacing w:after="40"/>
      </w:pPr>
      <w:r>
        <w:t>1. Ввести заданное жюри направление, например «технологии в ИИ».</w:t>
      </w:r>
    </w:p>
    <w:p>
      <w:pPr>
        <w:pStyle w:val="ListBullet"/>
        <w:spacing w:after="40"/>
      </w:pPr>
      <w:r>
        <w:t>2. Показать количество обработанных источников и кандидатов.</w:t>
      </w:r>
    </w:p>
    <w:p>
      <w:pPr>
        <w:pStyle w:val="ListBullet"/>
        <w:spacing w:after="40"/>
      </w:pPr>
      <w:r>
        <w:t>3. Сформировать TOP-15.</w:t>
      </w:r>
    </w:p>
    <w:p>
      <w:pPr>
        <w:pStyle w:val="ListBullet"/>
        <w:spacing w:after="40"/>
      </w:pPr>
      <w:r>
        <w:t>4. Открыть 2–3 наиболее сильных сигнала.</w:t>
      </w:r>
    </w:p>
    <w:p>
      <w:pPr>
        <w:pStyle w:val="ListBullet"/>
        <w:spacing w:after="40"/>
      </w:pPr>
      <w:r>
        <w:t>5. Для каждого показать: проблема → преимущество → стадия → confidence → ключевые признаки → источники.</w:t>
      </w:r>
    </w:p>
    <w:p>
      <w:pPr>
        <w:pStyle w:val="ListBullet"/>
        <w:spacing w:after="40"/>
      </w:pPr>
      <w:r>
        <w:t>6. Открыть источник и показать проверяемость первоисточника.</w:t>
      </w:r>
    </w:p>
    <w:p>
      <w:pPr>
        <w:pStyle w:val="ListBullet"/>
        <w:spacing w:after="40"/>
      </w:pPr>
      <w:r>
        <w:t>7. Отдельно показать зрелую технологию, которая была отфильтрована, и объяснить почему.</w:t>
      </w:r>
    </w:p>
    <w:p>
      <w:pPr>
        <w:pStyle w:val="ListBullet"/>
        <w:spacing w:after="40"/>
      </w:pPr>
      <w:r>
        <w:t>8. Показать хайповый/шумовой кандидат и причину его понижения или исключения.</w:t>
      </w:r>
    </w:p>
    <w:p>
      <w:pPr>
        <w:pStyle w:val="ListBullet"/>
        <w:spacing w:after="40"/>
      </w:pPr>
      <w:r>
        <w:t>9. Показать, что зарубежные источники представлены с русским резюме и сохранёнными оригинальными метаданными.</w:t>
      </w:r>
    </w:p>
    <w:p>
      <w:pPr>
        <w:pStyle w:val="Heading1"/>
      </w:pPr>
      <w:r>
        <w:t>16. Что сознательно отложено</w:t>
      </w:r>
    </w:p>
    <w:p>
      <w:pPr>
        <w:pStyle w:val="ListBullet"/>
        <w:spacing w:after="40"/>
      </w:pPr>
      <w:r>
        <w:t>Полноценное автоматическое расширение ontology через HDBSCAN/BERTopic.</w:t>
      </w:r>
    </w:p>
    <w:p>
      <w:pPr>
        <w:pStyle w:val="ListBullet"/>
        <w:spacing w:after="40"/>
      </w:pPr>
      <w:r>
        <w:t>Ансамбль специализированных detector'ов.</w:t>
      </w:r>
    </w:p>
    <w:p>
      <w:pPr>
        <w:pStyle w:val="ListBullet"/>
        <w:spacing w:after="40"/>
      </w:pPr>
      <w:r>
        <w:t>Сложная Bayesian change-point инфраструктура.</w:t>
      </w:r>
    </w:p>
    <w:p>
      <w:pPr>
        <w:pStyle w:val="ListBullet"/>
        <w:spacing w:after="40"/>
      </w:pPr>
      <w:r>
        <w:t>Learning-to-Rank после накопления экспертной разметки.</w:t>
      </w:r>
    </w:p>
    <w:p>
      <w:pPr>
        <w:pStyle w:val="ListBullet"/>
        <w:spacing w:after="40"/>
      </w:pPr>
      <w:r>
        <w:t>Многоязыковая асимметрия как отдельный сигнал.</w:t>
      </w:r>
    </w:p>
    <w:p>
      <w:pPr>
        <w:pStyle w:val="ListBullet"/>
        <w:spacing w:after="40"/>
      </w:pPr>
      <w:r>
        <w:t>Enterprise-grade lineage, сложная оркестрация и масштабирование.</w:t>
      </w:r>
    </w:p>
    <w:p>
      <w:pPr>
        <w:pStyle w:val="ListBullet"/>
        <w:spacing w:after="40"/>
      </w:pPr>
      <w:r>
        <w:t>Полноценная аналитическая панель вместо минимального demo UI.</w:t>
      </w:r>
    </w:p>
    <w:p>
      <w:pPr>
        <w:pStyle w:val="Heading1"/>
      </w:pPr>
      <w:r>
        <w:t>17. Roadmap до финальной защиты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Шаг</w:t>
            </w:r>
          </w:p>
        </w:tc>
        <w:tc>
          <w:tcPr>
            <w:tcW w:type="dxa" w:w="7200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Результат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1. Audit dataset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target, распределения, пропуски, дубликаты, leakage audit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2. Negative protocol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контролируемый negative set + документированные правила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3. Baselines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LogReg + tree model + CV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4. Feature ablation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доказательство полезности групп признаков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5. Calibration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confidence и threshold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6. Docker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одна команда запуска + healthcheck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7. Open search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несколько стабильных источников + candidate extraction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8. Filters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maturity + hype + noise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9. Russian output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LLM/local summarization + provenance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10. Demo &amp; pitch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TOP-15, исключения, метрика, архитектура, 15 слайдов</w:t>
            </w:r>
          </w:p>
        </w:tc>
      </w:tr>
    </w:tbl>
    <w:p/>
    <w:p>
      <w:pPr>
        <w:pStyle w:val="Heading1"/>
      </w:pPr>
      <w:r>
        <w:t>18. Decision Log v1.5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Решение</w:t>
            </w:r>
          </w:p>
        </w:tc>
        <w:tc>
          <w:tcPr>
            <w:tcW w:type="dxa" w:w="6768"/>
            <w:vAlign w:val="center"/>
            <w:shd w:fill="E9E3F5"/>
          </w:tcPr>
          <w:p>
            <w:r/>
            <w:r>
              <w:rPr>
                <w:rFonts w:ascii="Arial" w:hAnsi="Arial"/>
                <w:b/>
                <w:sz w:val="17"/>
              </w:rPr>
              <w:t>Обоснование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Хакатонная оптимизация вместо enterprise-first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Объективная оценка модели и live demo важнее полноты промышленной платформы.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Target фиксируется после audit XLSX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Баллы 3–7 и положительная разметка не дают права автоматически предполагать бинарную постановку.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Negative set строится контролируемо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Иначе можно получить искусственно высокую метрику.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Early/Confirmed разделяются концептуально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Это помогает демонстрировать отличие раннего сигнала от подтверждения и фильтрацию хайпа.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Discovery — P2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ТЗ требует открытый поиск, но полноценная автономная ontology expansion не является главным acceptance criterion.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Docker — P0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Явное программное требование и отдельная проверяемая часть поставки.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Русский — P0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Явное требование к UI и аналитической выдаче.</w:t>
            </w:r>
          </w:p>
        </w:tc>
      </w:tr>
    </w:tbl>
    <w:p/>
    <w:p>
      <w:pPr>
        <w:pStyle w:val="Heading1"/>
      </w:pPr>
      <w:r>
        <w:t>19. Итоговый контракт MVP</w:t>
      </w:r>
    </w:p>
    <w:p>
      <w:r>
        <w:t>Система принимает свободный технологический запрос, получает данные из открытых источников, выделяет кандидатов, рассчитывает вероятность слабого сигнала на основе обученной и интерпретируемой модели, фильтрует зрелые технологии/хайп/шум, формирует TOP-15 и для каждого результата показывает русскоязычное объяснение и проверяемые источники. Обучение и контроль качества выполняются на предоставленном организаторами датасете; открытый поиск не ограничивается этим датасетом.</w:t>
      </w:r>
    </w:p>
    <w:p>
      <w:r>
        <w:t>Главный критерий технической готовности: воспроизводимый эксперимент с зафиксированным target, контролируемой валидацией и достижением целевого порога качества, после чего тот же inference pipeline используется в открытом demo-сценарии.</w:t>
      </w:r>
    </w:p>
    <w:p/>
    <w:p>
      <w:pPr>
        <w:jc w:val="center"/>
      </w:pPr>
      <w:r>
        <w:rPr>
          <w:b/>
          <w:color w:val="5B2D82"/>
        </w:rPr>
        <w:t>Версия 1.5 • Hackathon Focus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