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1E3A8A"/>
          <w:sz w:val="38"/>
          <w:szCs w:val="38"/>
        </w:rPr>
        <w:t xml:space="preserve">TWINSTORE MARKETPLACE</w:t>
      </w:r>
    </w:p>
    <w:p>
      <w:pPr>
        <w:spacing w:after="200" w:before="50"/>
        <w:jc w:val="center"/>
      </w:pPr>
      <w:r>
        <w:rPr>
          <w:rFonts w:ascii="Segoe UI" w:cs="Segoe UI" w:eastAsia="Segoe UI" w:hAnsi="Segoe UI"/>
          <w:b/>
          <w:bCs/>
          <w:color w:val="0284C7"/>
          <w:sz w:val="24"/>
          <w:szCs w:val="24"/>
        </w:rPr>
        <w:t xml:space="preserve">DICCIONARIO DE DATOS Y ESPECIFICACIÓN DE BASE DE DATOS RELACIONAL</w:t>
      </w:r>
    </w:p>
    <w:p>
      <w:pPr>
        <w:spacing w:after="300" w:before="0"/>
        <w:jc w:val="center"/>
      </w:pPr>
      <w:r>
        <w:rPr>
          <w:rFonts w:ascii="Segoe UI" w:cs="Segoe UI" w:eastAsia="Segoe UI" w:hAnsi="Segoe UI"/>
          <w:i/>
          <w:iCs/>
          <w:color w:val="475569"/>
          <w:sz w:val="18"/>
          <w:szCs w:val="18"/>
        </w:rPr>
        <w:t xml:space="preserve">Generado el: 21 de septiembre de 2026 | Versión de Esquema: 2.2.0</w:t>
      </w:r>
    </w:p>
    <w:p>
      <w:pPr>
        <w:pStyle w:val="Heading1"/>
        <w:spacing w:after="150" w:before="200"/>
      </w:pPr>
      <w:r>
        <w:rPr>
          <w:rFonts w:ascii="Segoe UI" w:cs="Segoe UI" w:eastAsia="Segoe UI" w:hAnsi="Segoe UI"/>
          <w:b/>
          <w:bCs/>
          <w:color w:val="1E3A8A"/>
          <w:sz w:val="28"/>
          <w:szCs w:val="28"/>
        </w:rPr>
        <w:t xml:space="preserve">1. Diccionario de Datos: Especificación Tabla por Tabla</w:t>
      </w:r>
    </w:p>
    <w:p>
      <w:pPr>
        <w:spacing w:after="250" w:before="50"/>
      </w:pPr>
      <w:r>
        <w:rPr>
          <w:rFonts w:ascii="Segoe UI" w:cs="Segoe UI" w:eastAsia="Segoe UI" w:hAnsi="Segoe UI"/>
          <w:color w:val="0F172A"/>
          <w:sz w:val="19"/>
          <w:szCs w:val="19"/>
        </w:rPr>
        <w:t xml:space="preserve">El presente documento detalla la estructura formal de base de datos de TwinStore Marketplace. Se documentan cada una de las tablas del modelo relacional con sus campos, tipos de datos nativos SQL y TypeScript, claves primarias (PK), claves foráneas (FK) con sus referencias, obligatoriedad, valores predeterminados y reglas de negocio asociadas.</w:t>
      </w:r>
    </w:p>
    <w:p>
      <w:pPr>
        <w:pStyle w:val="Heading2"/>
        <w:spacing w:after="100" w:before="300"/>
      </w:pPr>
      <w:r>
        <w:rPr>
          <w:rFonts w:ascii="Segoe UI" w:cs="Segoe UI" w:eastAsia="Segoe UI" w:hAnsi="Segoe UI"/>
          <w:b/>
          <w:bCs/>
          <w:color w:val="1E3A8A"/>
          <w:sz w:val="24"/>
          <w:szCs w:val="24"/>
        </w:rPr>
        <w:t xml:space="preserve">Tabla: stores</w:t>
      </w:r>
      <w:r>
        <w:rPr>
          <w:rFonts w:ascii="Segoe UI" w:cs="Segoe UI" w:eastAsia="Segoe UI" w:hAnsi="Segoe UI"/>
          <w:color w:val="0284C7"/>
          <w:sz w:val="20"/>
          <w:szCs w:val="20"/>
        </w:rPr>
        <w:t xml:space="preserve">  [Tiendas / Comercios]</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Almacena los datos maestros de cada comercio, negocio o vendedor registrado en el marketplace.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alfanumérico de la tienda (ej. 'store-1').</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comercial o razón social de la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slogan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Lema o frase distintiva de la tienda.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detallada de las actividades y catálogo de la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logoUrl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defaultStoreLogoUrl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URL del logotipo principal o imagen de perfil.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images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Galería de imágenes o fotos de la tienda en formato JSON.</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whatsappPhone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Número de teléfono para contacto directo y pedidos por WhatsApp.</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location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Ubicación o referencia general (ej. 'Sede Central', 'Distrito Norte').</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address_street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Calle donde radica la tienda.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address_number</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Número del inmueble o local.</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address_building</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Edificio o complejo habitacional.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address_apartment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Número de apartamento o local interior.</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address_crossStreet1</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Primera entrecalle limítrofe.</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address_crossStreet2</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Segunda entrecalle limítrofe.</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address_neighborhood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geo_repartos(name)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Reparto o barrio donde radica la tienda.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address_municipality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geo_municipalities(name)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Municipio geográfico donde se ubica el negocio.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address_province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geo_provinces(name)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Provincia geográfica donde radica la tienda.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address_googleMapsUrl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Enlace web de ubicación en Google Maps.</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usdToCupRate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DECIMAL(10,2)</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330.00</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Tasa de cambio de referencia USD a CUP para compatibilidad.</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deliveryAvailable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Indica si la tienda dispone de servicio de entrega a domicilio.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paymentOptions_transferAccepted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Indica si el negocio acepta transferencias electrónicas.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paymentOptions_transferFeePercentage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DECIMAL(5,2)</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0.00</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Porcentaje de comisión o gravamen por transferencias bancarias.</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paymentOptions_acceptedCurrencies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Lista de códigos de moneda aceptadas por la tienda.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paymentOptions_notes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Instrucciones generales de pago provistas por la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paymentMethodIds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nomenclador_payment_methods(id)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Tipos de pago aceptados (efectivo, transferencia, etc.).</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deliveryMethodIds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nomenclador_delivery_methods(id)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Modalidades de recogida y entrega de la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paymentPlatformIds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nomenclador_payment_platforms(id)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Plataformas de pago aceptadas (Banco Metropolitano, Zelle, PayPal, etc.).</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exchangeRates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Serialización embebida de tasas de cambio de la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active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Estado activo o suspendido de la tienda en el portal.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rating</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DECIMAL(3,2)</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5.0</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Puntuación o reputación promedio de la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badge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Insignia de confianza o distinción (ej. 'Tienda Oficial', 'Verificada').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createdAt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TIMESTAMP</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CURRENT_TIMESTAMP</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Fecha y hora de creación y registro de la tienda.</w:t>
            </w:r>
          </w:p>
        </w:tc>
      </w:tr>
    </w:tbl>
    <w:p>
      <w:pPr>
        <w:spacing w:after="200"/>
      </w:pPr>
    </w:p>
    <w:p>
      <w:pPr>
        <w:pStyle w:val="Heading2"/>
        <w:spacing w:after="100" w:before="300"/>
      </w:pPr>
      <w:r>
        <w:rPr>
          <w:rFonts w:ascii="Segoe UI" w:cs="Segoe UI" w:eastAsia="Segoe UI" w:hAnsi="Segoe UI"/>
          <w:b/>
          <w:bCs/>
          <w:color w:val="1E3A8A"/>
          <w:sz w:val="24"/>
          <w:szCs w:val="24"/>
        </w:rPr>
        <w:t xml:space="preserve">Tabla: products</w:t>
      </w:r>
      <w:r>
        <w:rPr>
          <w:rFonts w:ascii="Segoe UI" w:cs="Segoe UI" w:eastAsia="Segoe UI" w:hAnsi="Segoe UI"/>
          <w:color w:val="0284C7"/>
          <w:sz w:val="20"/>
          <w:szCs w:val="20"/>
        </w:rPr>
        <w:t xml:space="preserve">  [Productos y Ofertas]</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Catálogo de artículos, ofertas, servicios o alquileres publicados por las tiendas.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del producto (ej. 'prod-1').</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code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(UNIQUE)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Código alfanumérico único en toda la base de datos (ej. 'PRD-001').</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storeId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Tienda propietaria y responsable de la publicación del producto.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title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descriptivo del producto u oferta.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completa, detalles técnicos y características.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price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DECIMAL(12,2)</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0.00</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Precio expresado en la moneda asignada al producto.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priceUSD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DECIMAL(12,2)</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0.00</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Precio de referencia en USD para conversiones del catálogo.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currency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'USD'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Moneda en la que se fijó el precio original del producto.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productTypeId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nomenclador_product_types(id)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Tipo de oferta del nomenclador (Físico, Servicio, Alquiler, Digital).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productType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textual denormalizado del tipo de oferta para alto rendimiento.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allowedExchangeRateIds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store_exchange_rates(id)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Tasas de cambio de la tienda permitidas para liquidar este producto.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category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Categoría o departamento principal de clasificación.</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departmentId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departments(id)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departamento jerárquico (Nivel 1).</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subcategory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Subcategoría de clasificación (Nivel 2).</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subcategoryId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subcategories(id)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 la subcategoría asignada.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imageUrl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defaultProductImageUrl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URL de la imagen principal de portada del producto.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images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Galería de imágenes adicionales del producto en formato JSON.</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isAvailable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Disponibilidad activa en el marketplace (1 = visible, 0 = oculto).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isService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 (FALSE)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Bandera indicadora si la oferta es un servicio.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deliveryAvailable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 (FALSE)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aplica o no envío a domicilio para este producto.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featured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 (FALSE)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Marca de producto destacado en portada o carrusel.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tags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Lista de etiquetas de búsqueda rápida.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tagSelections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Array)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Estructura relacional de etiquetas de 2 niveles asignadas al producto.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createdAt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TIMESTAMP</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CURRENT_TIMESTAMP</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Fecha y hora de creación y registro del producto.</w:t>
            </w:r>
          </w:p>
        </w:tc>
      </w:tr>
    </w:tbl>
    <w:p>
      <w:pPr>
        <w:spacing w:after="200"/>
      </w:pPr>
    </w:p>
    <w:p>
      <w:pPr>
        <w:pStyle w:val="Heading2"/>
        <w:spacing w:after="100" w:before="300"/>
      </w:pPr>
      <w:r>
        <w:rPr>
          <w:rFonts w:ascii="Segoe UI" w:cs="Segoe UI" w:eastAsia="Segoe UI" w:hAnsi="Segoe UI"/>
          <w:b/>
          <w:bCs/>
          <w:color w:val="1E3A8A"/>
          <w:sz w:val="24"/>
          <w:szCs w:val="24"/>
        </w:rPr>
        <w:t xml:space="preserve">Tabla: store_exchange_rates</w:t>
      </w:r>
      <w:r>
        <w:rPr>
          <w:rFonts w:ascii="Segoe UI" w:cs="Segoe UI" w:eastAsia="Segoe UI" w:hAnsi="Segoe UI"/>
          <w:color w:val="0284C7"/>
          <w:sz w:val="20"/>
          <w:szCs w:val="20"/>
        </w:rPr>
        <w:t xml:space="preserve">  [Tasas de Cambio de Tienda]</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Tasas de cambio personalizadas definidas individualmente por cada tienda para conversiones financieras.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del registro de tasa de cambio.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storeId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Tienda a la que pertenece y aplica la tasa de cambio.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fromCurrency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Moneda de origen de la tasa (ej. 'USD').</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toCurrency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Moneda de destino o liquidación (ej. 'EUR', 'CUP').</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rate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DECIMAL(12,4)</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Valor de conversión: 1 fromCurrency = rate toCurrency.</w:t>
            </w:r>
          </w:p>
        </w:tc>
      </w:tr>
    </w:tbl>
    <w:p>
      <w:pPr>
        <w:spacing w:after="200"/>
      </w:pPr>
    </w:p>
    <w:p>
      <w:pPr>
        <w:pStyle w:val="Heading2"/>
        <w:spacing w:after="100" w:before="300"/>
      </w:pPr>
      <w:r>
        <w:rPr>
          <w:rFonts w:ascii="Segoe UI" w:cs="Segoe UI" w:eastAsia="Segoe UI" w:hAnsi="Segoe UI"/>
          <w:b/>
          <w:bCs/>
          <w:color w:val="1E3A8A"/>
          <w:sz w:val="24"/>
          <w:szCs w:val="24"/>
        </w:rPr>
        <w:t xml:space="preserve">Tabla: store_rate_payment_methods</w:t>
      </w:r>
      <w:r>
        <w:rPr>
          <w:rFonts w:ascii="Segoe UI" w:cs="Segoe UI" w:eastAsia="Segoe UI" w:hAnsi="Segoe UI"/>
          <w:color w:val="0284C7"/>
          <w:sz w:val="20"/>
          <w:szCs w:val="20"/>
        </w:rPr>
        <w:t xml:space="preserve">  [Métodos de Pago por Tasa de Cambio]</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Relaciona cada tasa de cambio con las formas de pago aceptadas y su correspondiente porcentaje de gravamen.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 la regla relacional tasa-método.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storeId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Tienda donde aplica la regla de cobro.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exchangeRateId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store_exchange_rates(id)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Tasa de cambio específica a la que se vincula el método.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paymentMethodId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nomenclador_payment_methods(id)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Tipo de pago admitido para esta tasa (efectivo, transferencia, etc.).</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gravamen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DECIMAL(5,2)</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0.00</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Porcentaje de recargo o gravamen adicional para este método de pago.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notes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Condiciones o especificaciones particulares del cobro.</w:t>
            </w:r>
          </w:p>
        </w:tc>
      </w:tr>
    </w:tbl>
    <w:p>
      <w:pPr>
        <w:spacing w:after="200"/>
      </w:pPr>
    </w:p>
    <w:p>
      <w:pPr>
        <w:pStyle w:val="Heading2"/>
        <w:spacing w:after="100" w:before="300"/>
      </w:pPr>
      <w:r>
        <w:rPr>
          <w:rFonts w:ascii="Segoe UI" w:cs="Segoe UI" w:eastAsia="Segoe UI" w:hAnsi="Segoe UI"/>
          <w:b/>
          <w:bCs/>
          <w:color w:val="1E3A8A"/>
          <w:sz w:val="24"/>
          <w:szCs w:val="24"/>
        </w:rPr>
        <w:t xml:space="preserve">Tabla: store_currency_payment_methods</w:t>
      </w:r>
      <w:r>
        <w:rPr>
          <w:rFonts w:ascii="Segoe UI" w:cs="Segoe UI" w:eastAsia="Segoe UI" w:hAnsi="Segoe UI"/>
          <w:color w:val="0284C7"/>
          <w:sz w:val="20"/>
          <w:szCs w:val="20"/>
        </w:rPr>
        <w:t xml:space="preserve">  [Monedas y Métodos de Pago Directos de Tienda]</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Matriz que define para cada tienda qué monedas acepta y bajo qué modalidades de pago.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del registro relacional moneda-pago.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storeId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Tienda a la cual pertenece la configuración.</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currency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Código de la divisa admitida (ej. 'USD', 'EUR', 'CUP').</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paymentMethodId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nomenclador_payment_methods(id)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Método de pago admitido en dicha divisa.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notes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Notas adicionales (ej. 'Solo billetes en buen estado').</w:t>
            </w:r>
          </w:p>
        </w:tc>
      </w:tr>
    </w:tbl>
    <w:p>
      <w:pPr>
        <w:spacing w:after="200"/>
      </w:pPr>
    </w:p>
    <w:p>
      <w:pPr>
        <w:pStyle w:val="Heading2"/>
        <w:spacing w:after="100" w:before="300"/>
      </w:pPr>
      <w:r>
        <w:rPr>
          <w:rFonts w:ascii="Segoe UI" w:cs="Segoe UI" w:eastAsia="Segoe UI" w:hAnsi="Segoe UI"/>
          <w:b/>
          <w:bCs/>
          <w:color w:val="1E3A8A"/>
          <w:sz w:val="24"/>
          <w:szCs w:val="24"/>
        </w:rPr>
        <w:t xml:space="preserve">Tabla: store_payment_platforms</w:t>
      </w:r>
      <w:r>
        <w:rPr>
          <w:rFonts w:ascii="Segoe UI" w:cs="Segoe UI" w:eastAsia="Segoe UI" w:hAnsi="Segoe UI"/>
          <w:color w:val="0284C7"/>
          <w:sz w:val="20"/>
          <w:szCs w:val="20"/>
        </w:rPr>
        <w:t xml:space="preserve">  [Tienda ↔ Plataformas de Pago (Relación N:M)]</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Tabla de unión que vincula qué plataformas financieras específicas acepta cada tienda (Banco Metropolitano, Zelle, PayPal,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storeId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(PK COMPUESTA)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 la tienda vinculada.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paymentPlatformId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nomenclador_payment_platforms(id)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(PK COMPUESTA)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 la plataforma de pago habilitada.</w:t>
            </w:r>
          </w:p>
        </w:tc>
      </w:tr>
    </w:tbl>
    <w:p>
      <w:pPr>
        <w:spacing w:after="200"/>
      </w:pPr>
    </w:p>
    <w:p>
      <w:pPr>
        <w:pStyle w:val="Heading2"/>
        <w:spacing w:after="100" w:before="300"/>
      </w:pPr>
      <w:r>
        <w:rPr>
          <w:rFonts w:ascii="Segoe UI" w:cs="Segoe UI" w:eastAsia="Segoe UI" w:hAnsi="Segoe UI"/>
          <w:b/>
          <w:bCs/>
          <w:color w:val="1E3A8A"/>
          <w:sz w:val="24"/>
          <w:szCs w:val="24"/>
        </w:rPr>
        <w:t xml:space="preserve">Tabla: store_delivery_methods</w:t>
      </w:r>
      <w:r>
        <w:rPr>
          <w:rFonts w:ascii="Segoe UI" w:cs="Segoe UI" w:eastAsia="Segoe UI" w:hAnsi="Segoe UI"/>
          <w:color w:val="0284C7"/>
          <w:sz w:val="20"/>
          <w:szCs w:val="20"/>
        </w:rPr>
        <w:t xml:space="preserve">  [Tienda ↔ Métodos de Recogida/Entrega (Relación N:M)]</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Tabla de unión que asocia las opciones de entrega y retiro ofrecidas por cada tienda.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storeId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(PK COMPUESTA)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 la tienda.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deliveryMethodId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nomenclador_delivery_methods(id)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(PK COMPUESTA)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 la opción de entrega o retiro admitida.</w:t>
            </w:r>
          </w:p>
        </w:tc>
      </w:tr>
    </w:tbl>
    <w:p>
      <w:pPr>
        <w:spacing w:after="200"/>
      </w:pPr>
    </w:p>
    <w:p>
      <w:pPr>
        <w:pStyle w:val="Heading2"/>
        <w:spacing w:after="100" w:before="300"/>
      </w:pPr>
      <w:r>
        <w:rPr>
          <w:rFonts w:ascii="Segoe UI" w:cs="Segoe UI" w:eastAsia="Segoe UI" w:hAnsi="Segoe UI"/>
          <w:b/>
          <w:bCs/>
          <w:color w:val="1E3A8A"/>
          <w:sz w:val="24"/>
          <w:szCs w:val="24"/>
        </w:rPr>
        <w:t xml:space="preserve">Tabla: product_allowed_exchange_rates</w:t>
      </w:r>
      <w:r>
        <w:rPr>
          <w:rFonts w:ascii="Segoe UI" w:cs="Segoe UI" w:eastAsia="Segoe UI" w:hAnsi="Segoe UI"/>
          <w:color w:val="0284C7"/>
          <w:sz w:val="20"/>
          <w:szCs w:val="20"/>
        </w:rPr>
        <w:t xml:space="preserve">  [Producto ↔ Tasas Permitidas (Relación N:M)]</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Tabla de unión que define qué tasas de cambio de la tienda aplican específicamente a un producto.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del registro de autorización de tasa.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productId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products(id)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Producto al que se autoriza la tasa.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storeId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Tienda emisora de la tasa.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exchangeRateId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store_exchange_rates(id)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Tasa de cambio de la tienda autorizada para la compra.</w:t>
            </w:r>
          </w:p>
        </w:tc>
      </w:tr>
    </w:tbl>
    <w:p>
      <w:pPr>
        <w:spacing w:after="200"/>
      </w:pPr>
    </w:p>
    <w:p>
      <w:pPr>
        <w:pStyle w:val="Heading2"/>
        <w:spacing w:after="100" w:before="300"/>
      </w:pPr>
      <w:r>
        <w:rPr>
          <w:rFonts w:ascii="Segoe UI" w:cs="Segoe UI" w:eastAsia="Segoe UI" w:hAnsi="Segoe UI"/>
          <w:b/>
          <w:bCs/>
          <w:color w:val="1E3A8A"/>
          <w:sz w:val="24"/>
          <w:szCs w:val="24"/>
        </w:rPr>
        <w:t xml:space="preserve">Tabla: nomenclador_payment_platforms</w:t>
      </w:r>
      <w:r>
        <w:rPr>
          <w:rFonts w:ascii="Segoe UI" w:cs="Segoe UI" w:eastAsia="Segoe UI" w:hAnsi="Segoe UI"/>
          <w:color w:val="0284C7"/>
          <w:sz w:val="20"/>
          <w:szCs w:val="20"/>
        </w:rPr>
        <w:t xml:space="preserve">  [Nomenclador Global: Plataformas de Pago]</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Catálogo centralizado de bancos, billeteras digitales y pasarelas de pago disponibles en 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 la plataforma (ej. 'pp-banmet', 'pp-zelle', 'pp-paypal').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visible de la entidad o pasarela financiera.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de monedas y operatividad de la plataforma.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del icono representativo en la interfaz.</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active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Estado de disponibilidad global para ser seleccionada por tiendas.</w:t>
            </w:r>
          </w:p>
        </w:tc>
      </w:tr>
    </w:tbl>
    <w:p>
      <w:pPr>
        <w:spacing w:after="200"/>
      </w:pPr>
    </w:p>
    <w:p>
      <w:pPr>
        <w:pStyle w:val="Heading2"/>
        <w:spacing w:after="100" w:before="300"/>
      </w:pPr>
      <w:r>
        <w:rPr>
          <w:rFonts w:ascii="Segoe UI" w:cs="Segoe UI" w:eastAsia="Segoe UI" w:hAnsi="Segoe UI"/>
          <w:b/>
          <w:bCs/>
          <w:color w:val="1E3A8A"/>
          <w:sz w:val="24"/>
          <w:szCs w:val="24"/>
        </w:rPr>
        <w:t xml:space="preserve">Tabla: nomenclador_payment_methods</w:t>
      </w:r>
      <w:r>
        <w:rPr>
          <w:rFonts w:ascii="Segoe UI" w:cs="Segoe UI" w:eastAsia="Segoe UI" w:hAnsi="Segoe UI"/>
          <w:color w:val="0284C7"/>
          <w:sz w:val="20"/>
          <w:szCs w:val="20"/>
        </w:rPr>
        <w:t xml:space="preserve">  [Nomenclador Global: Tipos de Pago]</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Catálogo maestro de modalidades de pago reconocidas por el marketplace (Efectivo, Transferencia,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del método (ej. 'pm-efectivo', 'pm-transferencia').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del método de pago.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y alcance de la modalidad de pago.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del icono gráfico.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active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Disponibilidad activa en el sistema.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gravamen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DECIMAL(5,2)</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0.00</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Porcentaje de gravamen base sugerido por el marketplace.</w:t>
            </w:r>
          </w:p>
        </w:tc>
      </w:tr>
    </w:tbl>
    <w:p>
      <w:pPr>
        <w:spacing w:after="200"/>
      </w:pPr>
    </w:p>
    <w:p>
      <w:pPr>
        <w:pStyle w:val="Heading2"/>
        <w:spacing w:after="100" w:before="300"/>
      </w:pPr>
      <w:r>
        <w:rPr>
          <w:rFonts w:ascii="Segoe UI" w:cs="Segoe UI" w:eastAsia="Segoe UI" w:hAnsi="Segoe UI"/>
          <w:b/>
          <w:bCs/>
          <w:color w:val="1E3A8A"/>
          <w:sz w:val="24"/>
          <w:szCs w:val="24"/>
        </w:rPr>
        <w:t xml:space="preserve">Tabla: nomenclador_product_types</w:t>
      </w:r>
      <w:r>
        <w:rPr>
          <w:rFonts w:ascii="Segoe UI" w:cs="Segoe UI" w:eastAsia="Segoe UI" w:hAnsi="Segoe UI"/>
          <w:color w:val="0284C7"/>
          <w:sz w:val="20"/>
          <w:szCs w:val="20"/>
        </w:rPr>
        <w:t xml:space="preserve">  [Nomenclador Global: Tipos de Oferta]</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Catálogo maestro que clasifica las ofertas según su naturaleza comercial (Productos, Servicios, Alquileres, Digitales).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tipo de oferta (ej. 'pt-producto', 'pt-servicio', 'pt-alquiler').</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formal del tipo de oferta.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comercial y alcance.</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Icono distintivo para tarjetas y filtros.</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active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Estado activo en el marketplace.</w:t>
            </w:r>
          </w:p>
        </w:tc>
      </w:tr>
    </w:tbl>
    <w:p>
      <w:pPr>
        <w:spacing w:after="200"/>
      </w:pPr>
    </w:p>
    <w:p>
      <w:pPr>
        <w:pStyle w:val="Heading2"/>
        <w:spacing w:after="100" w:before="300"/>
      </w:pPr>
      <w:r>
        <w:rPr>
          <w:rFonts w:ascii="Segoe UI" w:cs="Segoe UI" w:eastAsia="Segoe UI" w:hAnsi="Segoe UI"/>
          <w:b/>
          <w:bCs/>
          <w:color w:val="1E3A8A"/>
          <w:sz w:val="24"/>
          <w:szCs w:val="24"/>
        </w:rPr>
        <w:t xml:space="preserve">Tabla: nomenclador_delivery_methods</w:t>
      </w:r>
      <w:r>
        <w:rPr>
          <w:rFonts w:ascii="Segoe UI" w:cs="Segoe UI" w:eastAsia="Segoe UI" w:hAnsi="Segoe UI"/>
          <w:color w:val="0284C7"/>
          <w:sz w:val="20"/>
          <w:szCs w:val="20"/>
        </w:rPr>
        <w:t xml:space="preserve">  [Nomenclador Global: Tipos de Recogida / Entrega]</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Catálogo de formas de distribución física y retiro disponibles para las tiendas.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método de entrega (ej. 'dm-mensajeria', 'dm-recogida').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 la modalidad (ej. 'Mensajería a Domicilio', 'Retiro en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Detalles logísticos.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Icono ilustrativo.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active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Estado activo.</w:t>
            </w:r>
          </w:p>
        </w:tc>
      </w:tr>
    </w:tbl>
    <w:p>
      <w:pPr>
        <w:spacing w:after="200"/>
      </w:pPr>
    </w:p>
    <w:p>
      <w:pPr>
        <w:pStyle w:val="Heading2"/>
        <w:spacing w:after="100" w:before="300"/>
      </w:pPr>
      <w:r>
        <w:rPr>
          <w:rFonts w:ascii="Segoe UI" w:cs="Segoe UI" w:eastAsia="Segoe UI" w:hAnsi="Segoe UI"/>
          <w:b/>
          <w:bCs/>
          <w:color w:val="1E3A8A"/>
          <w:sz w:val="24"/>
          <w:szCs w:val="24"/>
        </w:rPr>
        <w:t xml:space="preserve">Tabla: currencies</w:t>
      </w:r>
      <w:r>
        <w:rPr>
          <w:rFonts w:ascii="Segoe UI" w:cs="Segoe UI" w:eastAsia="Segoe UI" w:hAnsi="Segoe UI"/>
          <w:color w:val="0284C7"/>
          <w:sz w:val="20"/>
          <w:szCs w:val="20"/>
        </w:rPr>
        <w:t xml:space="preserve">  [Catálogo Global de Divisas / Monedas]</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Maestro de monedas reconocidas para fijación de precios, cotizaciones y pagos en 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code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Código internacional ISO de la divisa (ej. 'USD', 'EUR', 'CUP', 'GBP').</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correlativo del catálogo (ej. 'curr-usd').</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completo de la moneda.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symbol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Símbolo gráfico representativo ($, €, £, etc.).</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Notas adicionales sobre la divisa.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active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INTEGER / BOOLEAN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 (TRUE)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Estado de habilitación de la divisa en el marketplace.</w:t>
            </w:r>
          </w:p>
        </w:tc>
      </w:tr>
    </w:tbl>
    <w:p>
      <w:pPr>
        <w:spacing w:after="200"/>
      </w:pPr>
    </w:p>
    <w:p>
      <w:pPr>
        <w:pStyle w:val="Heading2"/>
        <w:spacing w:after="100" w:before="300"/>
      </w:pPr>
      <w:r>
        <w:rPr>
          <w:rFonts w:ascii="Segoe UI" w:cs="Segoe UI" w:eastAsia="Segoe UI" w:hAnsi="Segoe UI"/>
          <w:b/>
          <w:bCs/>
          <w:color w:val="1E3A8A"/>
          <w:sz w:val="24"/>
          <w:szCs w:val="24"/>
        </w:rPr>
        <w:t xml:space="preserve">Tabla: global_exchange_rates</w:t>
      </w:r>
      <w:r>
        <w:rPr>
          <w:rFonts w:ascii="Segoe UI" w:cs="Segoe UI" w:eastAsia="Segoe UI" w:hAnsi="Segoe UI"/>
          <w:color w:val="0284C7"/>
          <w:sz w:val="20"/>
          <w:szCs w:val="20"/>
        </w:rPr>
        <w:t xml:space="preserve">  [Tasas de Cambio Globales de Referencia]</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Tasas macroeconómicas de cambio globales sugeridas como referencia para tiendas.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del registro de tasa global.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fromCurrency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Moneda de origen de la tasa global.</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toCurrency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Moneda de destino de la tasa global.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rate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REAL / DECIMAL(12,4)</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Valor de conversión macroeconómica del sistema.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Explicación o fuente de referencia de la tasa.</w:t>
            </w:r>
          </w:p>
        </w:tc>
      </w:tr>
    </w:tbl>
    <w:p>
      <w:pPr>
        <w:spacing w:after="200"/>
      </w:pPr>
    </w:p>
    <w:p>
      <w:pPr>
        <w:pStyle w:val="Heading2"/>
        <w:spacing w:after="100" w:before="300"/>
      </w:pPr>
      <w:r>
        <w:rPr>
          <w:rFonts w:ascii="Segoe UI" w:cs="Segoe UI" w:eastAsia="Segoe UI" w:hAnsi="Segoe UI"/>
          <w:b/>
          <w:bCs/>
          <w:color w:val="1E3A8A"/>
          <w:sz w:val="24"/>
          <w:szCs w:val="24"/>
        </w:rPr>
        <w:t xml:space="preserve">Tabla: departments</w:t>
      </w:r>
      <w:r>
        <w:rPr>
          <w:rFonts w:ascii="Segoe UI" w:cs="Segoe UI" w:eastAsia="Segoe UI" w:hAnsi="Segoe UI"/>
          <w:color w:val="0284C7"/>
          <w:sz w:val="20"/>
          <w:szCs w:val="20"/>
        </w:rPr>
        <w:t xml:space="preserve">  [Departamentos (Categorías Nivel 1)]</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Primer escalón de clasificación general de productos del marketplace.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departamento (ej. 'dept-alimentos').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del departamento principal.</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del tipo de artículos agrupados.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Icono distintivo en la barra y menú de navegación.</w:t>
            </w:r>
          </w:p>
        </w:tc>
      </w:tr>
    </w:tbl>
    <w:p>
      <w:pPr>
        <w:spacing w:after="200"/>
      </w:pPr>
    </w:p>
    <w:p>
      <w:pPr>
        <w:pStyle w:val="Heading2"/>
        <w:spacing w:after="100" w:before="300"/>
      </w:pPr>
      <w:r>
        <w:rPr>
          <w:rFonts w:ascii="Segoe UI" w:cs="Segoe UI" w:eastAsia="Segoe UI" w:hAnsi="Segoe UI"/>
          <w:b/>
          <w:bCs/>
          <w:color w:val="1E3A8A"/>
          <w:sz w:val="24"/>
          <w:szCs w:val="24"/>
        </w:rPr>
        <w:t xml:space="preserve">Tabla: subcategories</w:t>
      </w:r>
      <w:r>
        <w:rPr>
          <w:rFonts w:ascii="Segoe UI" w:cs="Segoe UI" w:eastAsia="Segoe UI" w:hAnsi="Segoe UI"/>
          <w:color w:val="0284C7"/>
          <w:sz w:val="20"/>
          <w:szCs w:val="20"/>
        </w:rPr>
        <w:t xml:space="preserve">  [Subcategorías (Categorías Nivel 2)]</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Segundo escalón de clasificación jerárquica de productos subordinado a un departamento.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 la subcategoría (ej. 'sub-carnes').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departmentId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departments(id)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Departamento padre al cual pertenece.</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específico de la subcategoría.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del nicho de productos.</w:t>
            </w:r>
          </w:p>
        </w:tc>
      </w:tr>
    </w:tbl>
    <w:p>
      <w:pPr>
        <w:spacing w:after="200"/>
      </w:pPr>
    </w:p>
    <w:p>
      <w:pPr>
        <w:pStyle w:val="Heading2"/>
        <w:spacing w:after="100" w:before="300"/>
      </w:pPr>
      <w:r>
        <w:rPr>
          <w:rFonts w:ascii="Segoe UI" w:cs="Segoe UI" w:eastAsia="Segoe UI" w:hAnsi="Segoe UI"/>
          <w:b/>
          <w:bCs/>
          <w:color w:val="1E3A8A"/>
          <w:sz w:val="24"/>
          <w:szCs w:val="24"/>
        </w:rPr>
        <w:t xml:space="preserve">Tabla: tag_groups</w:t>
      </w:r>
      <w:r>
        <w:rPr>
          <w:rFonts w:ascii="Segoe UI" w:cs="Segoe UI" w:eastAsia="Segoe UI" w:hAnsi="Segoe UI"/>
          <w:color w:val="0284C7"/>
          <w:sz w:val="20"/>
          <w:szCs w:val="20"/>
        </w:rPr>
        <w:t xml:space="preserve">  [Super-Etiquetas (Grupos de Etiquetas Nivel 1)]</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Primer nivel del sistema de etiquetado dimensional (ej. 'Color', 'Talla', 'Estilo', 'Garantía').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grupo de etiquetas (ej. 'group-color').</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del atributo o dimensión de clasificación.</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description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Descripción del propósito del grupo.</w:t>
            </w:r>
          </w:p>
        </w:tc>
      </w:tr>
    </w:tbl>
    <w:p>
      <w:pPr>
        <w:spacing w:after="200"/>
      </w:pPr>
    </w:p>
    <w:p>
      <w:pPr>
        <w:pStyle w:val="Heading2"/>
        <w:spacing w:after="100" w:before="300"/>
      </w:pPr>
      <w:r>
        <w:rPr>
          <w:rFonts w:ascii="Segoe UI" w:cs="Segoe UI" w:eastAsia="Segoe UI" w:hAnsi="Segoe UI"/>
          <w:b/>
          <w:bCs/>
          <w:color w:val="1E3A8A"/>
          <w:sz w:val="24"/>
          <w:szCs w:val="24"/>
        </w:rPr>
        <w:t xml:space="preserve">Tabla: tags</w:t>
      </w:r>
      <w:r>
        <w:rPr>
          <w:rFonts w:ascii="Segoe UI" w:cs="Segoe UI" w:eastAsia="Segoe UI" w:hAnsi="Segoe UI"/>
          <w:color w:val="0284C7"/>
          <w:sz w:val="20"/>
          <w:szCs w:val="20"/>
        </w:rPr>
        <w:t xml:space="preserve">  [Etiquetas de Valor (Etiquetas Nivel 2)]</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Segundo nivel del sistema de etiquetado con los valores concretos dentro de un grupo.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 la etiqueta (ej. 'tag-rojo', 'tag-xl').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tagGroupId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tag_groups(id)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Grupo o super-etiqueta padre a la que pertenece.</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Valor o etiqueta puntual.</w:t>
            </w:r>
          </w:p>
        </w:tc>
      </w:tr>
    </w:tbl>
    <w:p>
      <w:pPr>
        <w:spacing w:after="200"/>
      </w:pPr>
    </w:p>
    <w:p>
      <w:pPr>
        <w:pStyle w:val="Heading2"/>
        <w:spacing w:after="100" w:before="300"/>
      </w:pPr>
      <w:r>
        <w:rPr>
          <w:rFonts w:ascii="Segoe UI" w:cs="Segoe UI" w:eastAsia="Segoe UI" w:hAnsi="Segoe UI"/>
          <w:b/>
          <w:bCs/>
          <w:color w:val="1E3A8A"/>
          <w:sz w:val="24"/>
          <w:szCs w:val="24"/>
        </w:rPr>
        <w:t xml:space="preserve">Tabla: geo_provinces</w:t>
      </w:r>
      <w:r>
        <w:rPr>
          <w:rFonts w:ascii="Segoe UI" w:cs="Segoe UI" w:eastAsia="Segoe UI" w:hAnsi="Segoe UI"/>
          <w:color w:val="0284C7"/>
          <w:sz w:val="20"/>
          <w:szCs w:val="20"/>
        </w:rPr>
        <w:t xml:space="preserve">  [Catálogo Geográfico: Provincias (Nivel 1)]</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División territorial de primer nivel (ej. La Habana, Matanzas, Villa Clara).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 la provincia (ej. 'prov-lha').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(UNIQUE)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oficial de la provincia.</w:t>
            </w:r>
          </w:p>
        </w:tc>
      </w:tr>
    </w:tbl>
    <w:p>
      <w:pPr>
        <w:spacing w:after="200"/>
      </w:pPr>
    </w:p>
    <w:p>
      <w:pPr>
        <w:pStyle w:val="Heading2"/>
        <w:spacing w:after="100" w:before="300"/>
      </w:pPr>
      <w:r>
        <w:rPr>
          <w:rFonts w:ascii="Segoe UI" w:cs="Segoe UI" w:eastAsia="Segoe UI" w:hAnsi="Segoe UI"/>
          <w:b/>
          <w:bCs/>
          <w:color w:val="1E3A8A"/>
          <w:sz w:val="24"/>
          <w:szCs w:val="24"/>
        </w:rPr>
        <w:t xml:space="preserve">Tabla: geo_municipalities</w:t>
      </w:r>
      <w:r>
        <w:rPr>
          <w:rFonts w:ascii="Segoe UI" w:cs="Segoe UI" w:eastAsia="Segoe UI" w:hAnsi="Segoe UI"/>
          <w:color w:val="0284C7"/>
          <w:sz w:val="20"/>
          <w:szCs w:val="20"/>
        </w:rPr>
        <w:t xml:space="preserve">  [Catálogo Geográfico: Municipios (Nivel 2)]</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División territorial de segundo nivel vinculada a su provincia correspondiente.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municipio (ej. 'mun-playa').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provinceId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geo_provinces(id)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Provincia a la que se subordina administrativamente.</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del municipio.</w:t>
            </w:r>
          </w:p>
        </w:tc>
      </w:tr>
    </w:tbl>
    <w:p>
      <w:pPr>
        <w:spacing w:after="200"/>
      </w:pPr>
    </w:p>
    <w:p>
      <w:pPr>
        <w:pStyle w:val="Heading2"/>
        <w:spacing w:after="100" w:before="300"/>
      </w:pPr>
      <w:r>
        <w:rPr>
          <w:rFonts w:ascii="Segoe UI" w:cs="Segoe UI" w:eastAsia="Segoe UI" w:hAnsi="Segoe UI"/>
          <w:b/>
          <w:bCs/>
          <w:color w:val="1E3A8A"/>
          <w:sz w:val="24"/>
          <w:szCs w:val="24"/>
        </w:rPr>
        <w:t xml:space="preserve">Tabla: geo_repartos</w:t>
      </w:r>
      <w:r>
        <w:rPr>
          <w:rFonts w:ascii="Segoe UI" w:cs="Segoe UI" w:eastAsia="Segoe UI" w:hAnsi="Segoe UI"/>
          <w:color w:val="0284C7"/>
          <w:sz w:val="20"/>
          <w:szCs w:val="20"/>
        </w:rPr>
        <w:t xml:space="preserve">  [Catálogo Geográfico: Repartos / Barrios (Nivel 3)]</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División geográfica de tercer nivel para precisión en envíos y cobertura de mensajería.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 (NOT NULL)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reparto o zona (ej. 'rep-miramar').</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municipalityId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geo_municipalities(id)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Municipio al que pertenece el reparto.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del reparto o localidad.</w:t>
            </w:r>
          </w:p>
        </w:tc>
      </w:tr>
    </w:tbl>
    <w:p>
      <w:pPr>
        <w:spacing w:after="200"/>
      </w:pPr>
    </w:p>
    <w:p>
      <w:pPr>
        <w:pStyle w:val="Heading2"/>
        <w:spacing w:after="100" w:before="300"/>
      </w:pPr>
      <w:r>
        <w:rPr>
          <w:rFonts w:ascii="Segoe UI" w:cs="Segoe UI" w:eastAsia="Segoe UI" w:hAnsi="Segoe UI"/>
          <w:b/>
          <w:bCs/>
          <w:color w:val="1E3A8A"/>
          <w:sz w:val="24"/>
          <w:szCs w:val="24"/>
        </w:rPr>
        <w:t xml:space="preserve">Tabla: marketplace_config</w:t>
      </w:r>
      <w:r>
        <w:rPr>
          <w:rFonts w:ascii="Segoe UI" w:cs="Segoe UI" w:eastAsia="Segoe UI" w:hAnsi="Segoe UI"/>
          <w:color w:val="0284C7"/>
          <w:sz w:val="20"/>
          <w:szCs w:val="20"/>
        </w:rPr>
        <w:t xml:space="preserve">  [Configuración General del Marketplace]</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Tabla de registro único (Singleton) que almacena la identidad, marca y ajustes globales.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'default'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único del registro de configuración del sistema.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name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VARCHAR(150)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'TwinStore'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Nombre comercial del portal o marketplace.</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slogan</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VARCHAR(255)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Slogan del portal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Lema institucional del marketplace.</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logoUrl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URL del imagotipo oficial del marketplace.</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defaultStoreLogoUrl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Imagen por defecto asignada a tiendas sin logotipo propio.</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defaultProductImageUrl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Imagen por defecto asignada a productos u ofertas sin foto.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bannerUrl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URL de la imagen de fondo del hero banner principal.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bannerTitle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VARCHAR(200)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Título visible en el banner central de la portada.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bannerSubtitle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OPCIONAL</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Subtítulo o texto explicativo del banner.</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primaryColor</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'#2563EB'</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Color primario HEX de la identidad gráfica.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secondaryColor</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'#475569'</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Color secundario HEX.</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accentColor</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VARCHAR(20)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'#10B981'</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Color de acento HEX para llamados a la acción.</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baseCurrency</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'USD'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Moneda de referencia base en todo el portal.</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secondaryCurrency</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VARCHAR(10) / TEXT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bCs/>
                <w:color w:val="2563EB"/>
                <w:sz w:val="17"/>
                <w:szCs w:val="17"/>
              </w:rPr>
              <w:t xml:space="preserve">SÍ
-&gt; currencies(code)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'EUR'</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Moneda secundaria global del sistema.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uiTexts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Object)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Diccionario de textos dinámicos de la interfaz de usuario.</w:t>
            </w:r>
          </w:p>
        </w:tc>
      </w:tr>
    </w:tbl>
    <w:p>
      <w:pPr>
        <w:spacing w:after="200"/>
      </w:pPr>
    </w:p>
    <w:p>
      <w:pPr>
        <w:pStyle w:val="Heading2"/>
        <w:spacing w:after="100" w:before="300"/>
      </w:pPr>
      <w:r>
        <w:rPr>
          <w:rFonts w:ascii="Segoe UI" w:cs="Segoe UI" w:eastAsia="Segoe UI" w:hAnsi="Segoe UI"/>
          <w:b/>
          <w:bCs/>
          <w:color w:val="1E3A8A"/>
          <w:sz w:val="24"/>
          <w:szCs w:val="24"/>
        </w:rPr>
        <w:t xml:space="preserve">Tabla: ui_texts</w:t>
      </w:r>
      <w:r>
        <w:rPr>
          <w:rFonts w:ascii="Segoe UI" w:cs="Segoe UI" w:eastAsia="Segoe UI" w:hAnsi="Segoe UI"/>
          <w:color w:val="0284C7"/>
          <w:sz w:val="20"/>
          <w:szCs w:val="20"/>
        </w:rPr>
        <w:t xml:space="preserve">  [Textos Dinámicos de la Interfaz (I18N / Personalización)]</w:t>
      </w:r>
    </w:p>
    <w:p>
      <w:pPr>
        <w:spacing w:after="150" w:before="50"/>
      </w:pPr>
      <w:r>
        <w:rPr>
          <w:rFonts w:ascii="Segoe UI" w:cs="Segoe UI" w:eastAsia="Segoe UI" w:hAnsi="Segoe UI"/>
          <w:b/>
          <w:bCs/>
          <w:color w:val="475569"/>
          <w:sz w:val="18"/>
          <w:szCs w:val="18"/>
        </w:rPr>
        <w:t xml:space="preserve">Propósito: </w:t>
      </w:r>
      <w:r>
        <w:rPr>
          <w:rFonts w:ascii="Segoe UI" w:cs="Segoe UI" w:eastAsia="Segoe UI" w:hAnsi="Segoe UI"/>
          <w:i/>
          <w:iCs/>
          <w:color w:val="0F172A"/>
          <w:sz w:val="18"/>
          <w:szCs w:val="18"/>
        </w:rPr>
        <w:t xml:space="preserve">Almacena los textos, etiquetas y mensajes de la interfaz parametrizados por los administradores.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Nombre del Campo</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Tipo de Datos</w:t>
            </w:r>
          </w:p>
        </w:tc>
        <w:tc>
          <w:tcPr>
            <w:tcW w:type="pct" w:w="7%"/>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PK</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center"/>
            </w:pPr>
            <w:r>
              <w:rPr>
                <w:rFonts w:ascii="Segoe UI" w:cs="Segoe UI" w:eastAsia="Segoe UI" w:hAnsi="Segoe UI"/>
                <w:b/>
                <w:bCs/>
                <w:color w:val="1E3A8A"/>
                <w:sz w:val="19"/>
                <w:szCs w:val="19"/>
              </w:rPr>
              <w:t xml:space="preserve">FK</w:t>
            </w:r>
          </w:p>
        </w:tc>
        <w:tc>
          <w:tcPr>
            <w:tcW w:type="pct" w:w="18%"/>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Obligatorio / Default</w:t>
            </w:r>
          </w:p>
        </w:tc>
        <w:tc>
          <w:tcPr>
            <w:tcW w:type="pct" w:w="2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Descripción / Regla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TEXT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bCs/>
                <w:color w:val="DC2626"/>
                <w:sz w:val="17"/>
                <w:szCs w:val="17"/>
              </w:rPr>
              <w:t xml:space="preserve">SÍ (PK)</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'default'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Identificador del registro de textos.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content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TEXT (JSON Object)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B91C1C"/>
                <w:sz w:val="17"/>
                <w:szCs w:val="17"/>
              </w:rPr>
              <w:t xml:space="preserve">OBLIGATORIO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Estructura JSON completa con los textos de navegación, botones y avisos.</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updatedAt</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VARCHAR(50) / TIMESTAMP</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475569"/>
                <w:sz w:val="17"/>
                <w:szCs w:val="17"/>
              </w:rPr>
              <w:t xml:space="preserve">No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47857"/>
                <w:sz w:val="17"/>
                <w:szCs w:val="17"/>
              </w:rPr>
              <w:t xml:space="preserve">DEFAULT: CURRENT_TIMESTAMP</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Fecha y hora de la última modificación.</w:t>
            </w:r>
          </w:p>
        </w:tc>
      </w:tr>
    </w:tbl>
    <w:p>
      <w:pPr>
        <w:spacing w:after="200"/>
      </w:pPr>
    </w:p>
    <w:p>
      <w:pPr>
        <w:pStyle w:val="Heading1"/>
        <w:spacing w:after="150" w:before="400"/>
      </w:pPr>
      <w:r>
        <w:rPr>
          <w:rFonts w:ascii="Segoe UI" w:cs="Segoe UI" w:eastAsia="Segoe UI" w:hAnsi="Segoe UI"/>
          <w:b/>
          <w:bCs/>
          <w:color w:val="1E3A8A"/>
          <w:sz w:val="28"/>
          <w:szCs w:val="28"/>
        </w:rPr>
        <w:t xml:space="preserve">2. Esquema y Políticas de Relación entre Tablas</w:t>
      </w:r>
    </w:p>
    <w:p>
      <w:pPr>
        <w:spacing w:after="150" w:before="50"/>
      </w:pPr>
      <w:r>
        <w:rPr>
          <w:rFonts w:ascii="Segoe UI" w:cs="Segoe UI" w:eastAsia="Segoe UI" w:hAnsi="Segoe UI"/>
          <w:color w:val="0F172A"/>
          <w:sz w:val="19"/>
          <w:szCs w:val="19"/>
        </w:rPr>
        <w:t xml:space="preserve">A continuación se detalla la matriz integral de relaciones relacionales de la base de datos de TwinStore Marketplace. Para cada vínculo foráneo se especifican la cardinalidad, la regla de eliminación en cascada (ON DELETE), la regla de actualización en cascada (ON UPDATE) y la fundamentación técnica y de negocio que garantiza la integridad referencial y evita registros huérfanos o inconsistencias contables.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Tabla Origen (Padre)</w:t>
            </w:r>
          </w:p>
        </w:tc>
        <w:tc>
          <w:tcPr>
            <w:tcW w:type="pct" w:w="20%"/>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Tabla Destino (Hijo / FK)</w:t>
            </w:r>
          </w:p>
        </w:tc>
        <w:tc>
          <w:tcPr>
            <w:tcW w:type="pct" w:w="12%"/>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Cardinalidad</w:t>
            </w:r>
          </w:p>
        </w:tc>
        <w:tc>
          <w:tcPr>
            <w:tcW w:type="pct" w:w="1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ON DELETE (Eliminación)</w:t>
            </w:r>
          </w:p>
        </w:tc>
        <w:tc>
          <w:tcPr>
            <w:tcW w:type="pct" w:w="13%"/>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ON UPDATE (Actualización)</w:t>
            </w:r>
          </w:p>
        </w:tc>
        <w:tc>
          <w:tcPr>
            <w:tcW w:type="pct" w:w="25%"/>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pPr>
              <w:jc w:val="left"/>
            </w:pPr>
            <w:r>
              <w:rPr>
                <w:rFonts w:ascii="Segoe UI" w:cs="Segoe UI" w:eastAsia="Segoe UI" w:hAnsi="Segoe UI"/>
                <w:b/>
                <w:bCs/>
                <w:color w:val="1E3A8A"/>
                <w:sz w:val="19"/>
                <w:szCs w:val="19"/>
              </w:rPr>
              <w:t xml:space="preserve">Justificación de Negocio / Integridad</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products
(products.storeId -&gt; stores.id)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una tienda es dada de baja o eliminada del sistema, todos sus productos y ofertas dejan de existir y se eliminan automáticamente para evitar productos huérfanos sin comercio responsable.</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store_exchange_rates
(store_exchange_rates.storeId -&gt; stores.id)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Las tasas de cambio son configuraciones privadas y exclusivas de cada tienda; al eliminarse la tienda, sus tasas desaparecen.</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store_rate_payment_methods
(store_rate_payment_methods.storeId -&gt; stores.id)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Las reglas de gravamen y métodos vinculados a la tienda se purgan en cascada con la tienda.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store_currency_payment_methods
(store_currency_payment_methods.storeId -&gt; stores.id)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Las combinaciones de moneda y forma de pago configuradas por la tienda se eliminan junto con ella.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store_payment_platforms
(store_payment_platforms.storeId -&gt; stores.id)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(Relación N:M)</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Se eliminan las asociaciones entre la tienda y las plataformas bancarias aceptadas.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store_delivery_methods
(store_delivery_methods.storeId -&gt; stores.id)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(Relación N:M)</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Se eliminan las asociaciones de las opciones de entrega configuradas para esa tienda.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store_exchange_rates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store_rate_payment_methods
(store_rate_payment_methods.exchangeRateId -&gt; store_exchange_rates.id)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se elimina una tasa de cambio de la tienda, todas las reglas de métodos de pago y gravamen asociadas a dicha tasa se eliminan automáticamente.</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store_exchange_rates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product_allowed_exchange_rates
(product_allowed_exchange_rates.exchangeRateId -&gt; store_exchange_rates.id)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la tienda elimina una tasa de cambio, los productos ya no pueden tenerla como opción permitida de cobro.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products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product_allowed_exchange_rates
(product_allowed_exchange_rates.productId -&gt; products.id)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Al eliminarse un producto se eliminan sus permisos de tasas asociadas.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nomenclador_product_types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products
(products.productTypeId -&gt; nomenclador_product_types.id)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97706"/>
                <w:sz w:val="17"/>
                <w:szCs w:val="17"/>
              </w:rPr>
              <w:t xml:space="preserve">RESTRICT (Restricción estricta)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 se puede eliminar un tipo de oferta si existen productos o servicios activos asociados a él. Protege la integridad del catálogo comercial.</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currencies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products
(products.currency -&gt; currencies.code)</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97706"/>
                <w:sz w:val="17"/>
                <w:szCs w:val="17"/>
              </w:rPr>
              <w:t xml:space="preserve">RESTRICT (Restricción estricta)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 se puede eliminar una divisa si hay productos publicados cuyo precio está fijado en ella.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currencies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store_exchange_rates
(store_exchange_rates.fromCurrency / toCurrency -&gt; currencies.code)</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97706"/>
                <w:sz w:val="17"/>
                <w:szCs w:val="17"/>
              </w:rPr>
              <w:t xml:space="preserve">RESTRICT (Restricción estricta)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 se puede eliminar una moneda si existen tiendas con tasas de cambio que la utilicen como origen o destino.</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nomenclador_payment_platforms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store_payment_platforms
(store_payment_platforms.paymentPlatformId -&gt; nomenclador_payment_platforms.id)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(Relación N:M)</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se elimina una plataforma de pago del catálogo maestro, se remueve automáticamente de la lista de selección de las tiendas que la tenían asignada.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nomenclador_payment_methods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store_rate_payment_methods
(store_rate_payment_methods.paymentMethodId -&gt; nomenclador_payment_methods.id)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se elimina un tipo de pago maestro, se eliminan sus configuraciones de gravamen vinculadas.</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nomenclador_delivery_methods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store_delivery_methods
(store_delivery_methods.deliveryMethodId -&gt; nomenclador_delivery_methods.id)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(Relación N:M)</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se suprime una modalidad de entrega global, se desenlaza de las tiendas que la ofrecían.</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departments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subcategories
(subcategories.departmentId -&gt; departments.id)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Al eliminar un departamento principal (Nivel 1), todas sus subcategorías subordinadas (Nivel 2) se eliminan en cascada.</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departments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products
(products.departmentId -&gt; departments.id)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2563EB"/>
                <w:sz w:val="17"/>
                <w:szCs w:val="17"/>
              </w:rPr>
              <w:t xml:space="preserve">SET NULL (Establecer a nulo)</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se elimina un departamento, los productos existentes no deben borrarse; su campo de departamento se reasigna a NULL y quedan en categoría 'General / Otros'.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subcategories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products
(products.subcategoryId -&gt; subcategories.id)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2563EB"/>
                <w:sz w:val="17"/>
                <w:szCs w:val="17"/>
              </w:rPr>
              <w:t xml:space="preserve">SET NULL (Establecer a nulo)</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Si se elimina una subcategoría puntual, los productos conservan su departamento padre y el subcategoryId pasa a NULL.</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tag_groups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tags
(tags.tagGroupId -&gt; tag_groups.id)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Al eliminar un grupo de etiquetas (Super-Etiqueta, ej. 'Color'), todas las etiquetas individuales de dicho grupo ('Rojo', 'Azul') se eliminan en cascada.</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geo_provinces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geo_municipalities
(geo_municipalities.provinceId -&gt; geo_provinces.id)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Integridad territorial: Al suprimirse una provincia se eliminan sus municipios dependientes.</w:t>
            </w:r>
          </w:p>
        </w:tc>
      </w:tr>
      <w:tr>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geo_municipalities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geo_repartos
(geo_repartos.municipalityId -&gt; geo_municipalities.id)</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DC2626"/>
                <w:sz w:val="17"/>
                <w:szCs w:val="17"/>
              </w:rPr>
              <w:t xml:space="preserve">CASCADE (Eliminación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Integridad territorial: Al eliminarse un municipio se eliminan sus repartos.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1E3A8A"/>
                <w:sz w:val="17"/>
                <w:szCs w:val="17"/>
              </w:rPr>
              <w:t xml:space="preserve">geo_provinces / geo_municipalities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369A1"/>
                <w:sz w:val="17"/>
                <w:szCs w:val="17"/>
              </w:rPr>
              <w:t xml:space="preserve">stores
(stores.address_province / address_municipality -&gt; geo_provinces / geo_municipalities)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center"/>
            </w:pPr>
            <w:r>
              <w:rPr>
                <w:rFonts w:ascii="Segoe UI" w:cs="Segoe UI" w:eastAsia="Segoe UI" w:hAnsi="Segoe UI"/>
                <w:b w:val="false"/>
                <w:bCs w:val="false"/>
                <w:color w:val="0F172A"/>
                <w:sz w:val="17"/>
                <w:szCs w:val="17"/>
              </w:rPr>
              <w:t xml:space="preserve">1 : N (Uno a Muchos)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D97706"/>
                <w:sz w:val="17"/>
                <w:szCs w:val="17"/>
              </w:rPr>
              <w:t xml:space="preserve">RESTRICT (Restricción estricta)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bCs/>
                <w:color w:val="047857"/>
                <w:sz w:val="17"/>
                <w:szCs w:val="17"/>
              </w:rPr>
              <w:t xml:space="preserve">CASCADE (Actualización en cascada)</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jc w:val="left"/>
            </w:pPr>
            <w:r>
              <w:rPr>
                <w:rFonts w:ascii="Segoe UI" w:cs="Segoe UI" w:eastAsia="Segoe UI" w:hAnsi="Segoe UI"/>
                <w:b w:val="false"/>
                <w:bCs w:val="false"/>
                <w:color w:val="0F172A"/>
                <w:sz w:val="17"/>
                <w:szCs w:val="17"/>
              </w:rPr>
              <w:t xml:space="preserve">No se permite eliminar una provincia o municipio geográfico si existen tiendas registradas y activas en esa localidad.</w:t>
            </w:r>
          </w:p>
        </w:tc>
      </w:tr>
    </w:tbl>
    <w:p>
      <w:pPr>
        <w:pStyle w:val="Heading2"/>
        <w:spacing w:after="100" w:before="300"/>
      </w:pPr>
      <w:r>
        <w:rPr>
          <w:rFonts w:ascii="Segoe UI" w:cs="Segoe UI" w:eastAsia="Segoe UI" w:hAnsi="Segoe UI"/>
          <w:b/>
          <w:bCs/>
          <w:color w:val="1E3A8A"/>
          <w:sz w:val="24"/>
          <w:szCs w:val="24"/>
        </w:rPr>
        <w:t xml:space="preserve">3. Principios de Integridad Referencial Implementados</w:t>
      </w:r>
    </w:p>
    <w:p>
      <w:pPr>
        <w:spacing w:after="100" w:before="100"/>
      </w:pPr>
      <w:r>
        <w:rPr>
          <w:rFonts w:ascii="Segoe UI" w:cs="Segoe UI" w:eastAsia="Segoe UI" w:hAnsi="Segoe UI"/>
          <w:b/>
          <w:bCs/>
          <w:color w:val="1E3A8A"/>
          <w:sz w:val="18"/>
          <w:szCs w:val="18"/>
        </w:rPr>
        <w:t xml:space="preserve">1. Aislamiento y Ciclo de Vida del Comercio (CASCADE en Tienda): </w:t>
      </w:r>
      <w:r>
        <w:rPr>
          <w:rFonts w:ascii="Segoe UI" w:cs="Segoe UI" w:eastAsia="Segoe UI" w:hAnsi="Segoe UI"/>
          <w:color w:val="0F172A"/>
          <w:sz w:val="18"/>
          <w:szCs w:val="18"/>
        </w:rPr>
        <w:t xml:space="preserve">Las tiendas son entidades soberanas. Cuando una tienda es eliminada definitivamente, todos sus productos, tasas privadas, métodos financieros y enlaces se purgan en cascada (ON DELETE CASCADE) para preservar la limpieza de datos en el sistema.</w:t>
      </w:r>
    </w:p>
    <w:p>
      <w:pPr>
        <w:spacing w:after="100" w:before="100"/>
      </w:pPr>
      <w:r>
        <w:rPr>
          <w:rFonts w:ascii="Segoe UI" w:cs="Segoe UI" w:eastAsia="Segoe UI" w:hAnsi="Segoe UI"/>
          <w:b/>
          <w:bCs/>
          <w:color w:val="1E3A8A"/>
          <w:sz w:val="18"/>
          <w:szCs w:val="18"/>
        </w:rPr>
        <w:t xml:space="preserve">2. Preservación del Catálogo de Productos (SET NULL en Departamentos): </w:t>
      </w:r>
      <w:r>
        <w:rPr>
          <w:rFonts w:ascii="Segoe UI" w:cs="Segoe UI" w:eastAsia="Segoe UI" w:hAnsi="Segoe UI"/>
          <w:color w:val="0F172A"/>
          <w:sz w:val="18"/>
          <w:szCs w:val="18"/>
        </w:rPr>
        <w:t xml:space="preserve">Si un administrador reorganiza la arquitectura departamental y elimina un departamento o subcategoría, los productos no son eliminados. Su campo clave foránea se establece en NULL (ON DELETE SET NULL), garantizando que el inventario y las ofertas comerciales sigan existiendo.</w:t>
      </w:r>
    </w:p>
    <w:p>
      <w:pPr>
        <w:spacing w:after="100" w:before="100"/>
      </w:pPr>
      <w:r>
        <w:rPr>
          <w:rFonts w:ascii="Segoe UI" w:cs="Segoe UI" w:eastAsia="Segoe UI" w:hAnsi="Segoe UI"/>
          <w:b/>
          <w:bCs/>
          <w:color w:val="1E3A8A"/>
          <w:sz w:val="18"/>
          <w:szCs w:val="18"/>
        </w:rPr>
        <w:t xml:space="preserve">3. Blindaje de Catálogos Maestros (RESTRICT en Divisas y Tipos de Oferta): </w:t>
      </w:r>
      <w:r>
        <w:rPr>
          <w:rFonts w:ascii="Segoe UI" w:cs="Segoe UI" w:eastAsia="Segoe UI" w:hAnsi="Segoe UI"/>
          <w:color w:val="0F172A"/>
          <w:sz w:val="18"/>
          <w:szCs w:val="18"/>
        </w:rPr>
        <w:t xml:space="preserve">No se puede eliminar una divisa del nomenclador global si existen productos publicados con precios fijados en ella o tasas activas. De igual manera, se restringe la eliminación de un Tipo de Oferta (ON DELETE RESTRICT) si existen productos asignados a dicha tipología.</w:t>
      </w:r>
    </w:p>
    <w:p>
      <w:pPr>
        <w:spacing w:after="100" w:before="100"/>
      </w:pPr>
      <w:r>
        <w:rPr>
          <w:rFonts w:ascii="Segoe UI" w:cs="Segoe UI" w:eastAsia="Segoe UI" w:hAnsi="Segoe UI"/>
          <w:b/>
          <w:bCs/>
          <w:color w:val="1E3A8A"/>
          <w:sz w:val="18"/>
          <w:szCs w:val="18"/>
        </w:rPr>
        <w:t xml:space="preserve">4. Propagación Universal de Actualizaciones (ON UPDATE CASCADE): </w:t>
      </w:r>
      <w:r>
        <w:rPr>
          <w:rFonts w:ascii="Segoe UI" w:cs="Segoe UI" w:eastAsia="Segoe UI" w:hAnsi="Segoe UI"/>
          <w:color w:val="0F172A"/>
          <w:sz w:val="18"/>
          <w:szCs w:val="18"/>
        </w:rPr>
        <w:t xml:space="preserve">Todas las claves foráneas tienen configurada la política ON UPDATE CASCADE. Cualquier renombramiento de códigos clave (ej. códigos ISO de divisas, códigos alfanuméricos de productos o identificadores de tiendas) se propaga instantáneamente a todas las tablas secundarias sin romper ningún enlace.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475569"/>
        <w:sz w:val="16"/>
        <w:szCs w:val="16"/>
      </w:rPr>
      <w:t xml:space="preserve">Documentación Técnica Confidencial | Página </w:t>
    </w:r>
    <w:r>
      <w:rPr>
        <w:rFonts w:ascii="Segoe UI" w:cs="Segoe UI" w:eastAsia="Segoe UI" w:hAnsi="Segoe UI"/>
        <w:color w:val="475569"/>
        <w:sz w:val="16"/>
        <w:szCs w:val="16"/>
      </w:rPr>
      <w:fldChar w:fldCharType="begin"/>
      <w:instrText xml:space="preserve">PAGE</w:instrText>
      <w:fldChar w:fldCharType="separate"/>
      <w:fldChar w:fldCharType="end"/>
    </w:r>
    <w:r>
      <w:rPr>
        <w:rFonts w:ascii="Segoe UI" w:cs="Segoe UI" w:eastAsia="Segoe UI" w:hAnsi="Segoe UI"/>
        <w:color w:val="475569"/>
        <w:sz w:val="16"/>
        <w:szCs w:val="16"/>
      </w:rPr>
      <w:t xml:space="preserve"> de </w:t>
    </w:r>
    <w:r>
      <w:rPr>
        <w:rFonts w:ascii="Segoe UI" w:cs="Segoe UI" w:eastAsia="Segoe UI" w:hAnsi="Segoe U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475569"/>
        <w:sz w:val="16"/>
        <w:szCs w:val="16"/>
      </w:rPr>
      <w:t xml:space="preserve">TwinStore Marketplace | Diccionario de Datos y Modelo de 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y Estructura de BD - TwinStore Marketplace</dc:title>
  <dc:creator>Un-named</dc:creator>
  <dc:description>Especificación técnica exhaustiva del modelo de base de datos relacional, tablas, campos, claves y políticas de cascada.</dc:description>
  <cp:lastModifiedBy>Un-named</cp:lastModifiedBy>
  <cp:revision>1</cp:revision>
  <dcterms:created xsi:type="dcterms:W3CDTF">2026-09-21T17:12:55.807Z</dcterms:created>
  <dcterms:modified xsi:type="dcterms:W3CDTF">2026-09-21T17:12:55.807Z</dcterms:modified>
</cp:coreProperties>
</file>

<file path=docProps/custom.xml><?xml version="1.0" encoding="utf-8"?>
<Properties xmlns="http://schemas.openxmlformats.org/officeDocument/2006/custom-properties" xmlns:vt="http://schemas.openxmlformats.org/officeDocument/2006/docPropsVTypes"/>
</file>