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w:t>
      </w:r>
      <w:r>
        <w:rPr>
          <w:rFonts w:ascii="Arial" w:hAnsi="Arial" w:cs="Arial" w:eastAsia="Arial"/>
          <w:b/>
          <w:color w:val="auto"/>
          <w:spacing w:val="0"/>
          <w:position w:val="0"/>
          <w:sz w:val="22"/>
          <w:shd w:fill="auto" w:val="clear"/>
        </w:rPr>
        <w:t xml:space="preserve">participante</w:t>
      </w: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0"/>
        <w:gridCol w:w="870"/>
        <w:gridCol w:w="840"/>
        <w:gridCol w:w="850"/>
        <w:gridCol w:w="850"/>
        <w:gridCol w:w="850"/>
        <w:gridCol w:w="850"/>
        <w:gridCol w:w="850"/>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3420" w:type="dxa"/>
            <w:gridSpan w:val="4"/>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Mentalidades</w:t>
            </w:r>
          </w:p>
        </w:tc>
        <w:tc>
          <w:tcPr>
            <w:tcW w:w="3390" w:type="dxa"/>
            <w:gridSpan w:val="4"/>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Habilidades comportamentais</w:t>
            </w:r>
          </w:p>
        </w:tc>
        <w:tc>
          <w:tcPr>
            <w:tcW w:w="1700" w:type="dxa"/>
            <w:gridSpan w:val="2"/>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Mentalidade de crescimento</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Orientação futura</w:t>
            </w:r>
          </w:p>
        </w:tc>
        <w:tc>
          <w:tcPr>
            <w:tcW w:w="87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Persistência</w:t>
            </w:r>
          </w:p>
        </w:tc>
        <w:tc>
          <w:tcPr>
            <w:tcW w:w="84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Comunicação</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Orientação ao detalhe</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Trabalho em equipe</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Gerenciamento de tempo</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Profissionalismo</w:t>
            </w:r>
          </w:p>
        </w:tc>
        <w:tc>
          <w:tcPr>
            <w:tcW w:w="850" w:type="dxa"/>
            <w:tcBorders>
              <w:top w:val="single" w:color="000000" w:sz="8"/>
              <w:left w:val="single" w:color="000000" w:sz="8"/>
              <w:bottom w:val="single" w:color="000000" w:sz="8"/>
              <w:right w:val="single" w:color="000000" w:sz="8"/>
            </w:tcBorders>
            <w:shd w:color="000000" w:fill="b7b7b7"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4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4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7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4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com</w:t>
      </w:r>
      <w:r>
        <w:rPr>
          <w:rFonts w:ascii="Arial" w:hAnsi="Arial" w:cs="Arial" w:eastAsia="Arial"/>
          <w:b/>
          <w:color w:val="auto"/>
          <w:spacing w:val="0"/>
          <w:position w:val="0"/>
          <w:sz w:val="22"/>
          <w:shd w:fill="auto" w:val="clear"/>
        </w:rPr>
        <w:t xml:space="preserve">unicação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 houve, nesta primeira semana acredito que tudo foi da melhor maneira possivel</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 Mentalidade de crescimento.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Atraves de todo o trabalho que desenvolvendos essa semana criando essa conciência.</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331"/>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6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