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F89C1" w14:textId="77777777" w:rsidR="00AE515B" w:rsidRPr="00AE515B" w:rsidRDefault="00AE515B" w:rsidP="00AE515B">
      <w:pPr>
        <w:rPr>
          <w:b/>
          <w:bCs/>
        </w:rPr>
      </w:pPr>
      <w:r w:rsidRPr="00AE515B">
        <w:rPr>
          <w:b/>
          <w:bCs/>
        </w:rPr>
        <w:t>Technical Report: Secure Agentic RAG for Multi-Project Research Lab Knowledge Base</w:t>
      </w:r>
    </w:p>
    <w:p w14:paraId="17747CB8" w14:textId="6B38D43B" w:rsidR="00AE515B" w:rsidRDefault="00AE515B" w:rsidP="00AE515B">
      <w:r w:rsidRPr="00AE515B">
        <w:rPr>
          <w:b/>
          <w:bCs/>
        </w:rPr>
        <w:t>Course:</w:t>
      </w:r>
      <w:r w:rsidRPr="00AE515B">
        <w:t xml:space="preserve"> Agentic AI </w:t>
      </w:r>
      <w:r w:rsidRPr="00AE515B">
        <w:rPr>
          <w:b/>
          <w:bCs/>
        </w:rPr>
        <w:t>Assignment:</w:t>
      </w:r>
      <w:r w:rsidRPr="00AE515B">
        <w:t xml:space="preserve"> Assignment 2 (Agentic RAG)</w:t>
      </w:r>
      <w:r>
        <w:t xml:space="preserve"> </w:t>
      </w:r>
    </w:p>
    <w:p w14:paraId="7E8E6010" w14:textId="3A64BF25" w:rsidR="00AE515B" w:rsidRDefault="00AE515B" w:rsidP="00AE515B">
      <w:r>
        <w:t>22i0471</w:t>
      </w:r>
    </w:p>
    <w:p w14:paraId="67AA7AC6" w14:textId="19858415" w:rsidR="00AE515B" w:rsidRDefault="00AE515B" w:rsidP="00AE515B">
      <w:r>
        <w:t>Maida Shahzad</w:t>
      </w:r>
    </w:p>
    <w:p w14:paraId="67DE96C6" w14:textId="77777777" w:rsidR="00AE515B" w:rsidRPr="00AE515B" w:rsidRDefault="00AE515B" w:rsidP="00AE515B"/>
    <w:p w14:paraId="6AE15CE2" w14:textId="77777777" w:rsidR="00AE515B" w:rsidRPr="00AE515B" w:rsidRDefault="00AE515B" w:rsidP="00AE515B">
      <w:pPr>
        <w:rPr>
          <w:b/>
          <w:bCs/>
        </w:rPr>
      </w:pPr>
      <w:r w:rsidRPr="00AE515B">
        <w:rPr>
          <w:b/>
          <w:bCs/>
        </w:rPr>
        <w:t>1. System Architecture and Design</w:t>
      </w:r>
    </w:p>
    <w:p w14:paraId="62B53339" w14:textId="77777777" w:rsidR="00AE515B" w:rsidRPr="00AE515B" w:rsidRDefault="00AE515B" w:rsidP="00AE515B">
      <w:r w:rsidRPr="00AE515B">
        <w:t xml:space="preserve">The Agentic RAG system is implemented as a multi-stage pipeline designed for </w:t>
      </w:r>
      <w:r w:rsidRPr="00AE515B">
        <w:rPr>
          <w:b/>
          <w:bCs/>
        </w:rPr>
        <w:t>secure, multi-tenant knowledge retrieval and generation</w:t>
      </w:r>
      <w:r w:rsidRPr="00AE515B">
        <w:t>. The core objective is to prevent data leakage (ACL and PII violations) through deterministic controls before engaging the non-deterministic LLM.</w:t>
      </w:r>
    </w:p>
    <w:p w14:paraId="5C7B0BEA" w14:textId="77777777" w:rsidR="00AE515B" w:rsidRPr="00AE515B" w:rsidRDefault="00AE515B" w:rsidP="00AE515B">
      <w:pPr>
        <w:rPr>
          <w:b/>
          <w:bCs/>
        </w:rPr>
      </w:pPr>
      <w:r w:rsidRPr="00AE515B">
        <w:rPr>
          <w:b/>
          <w:bCs/>
        </w:rPr>
        <w:t>1.1. Architecture Flow</w:t>
      </w:r>
    </w:p>
    <w:p w14:paraId="7784F3A9" w14:textId="77777777" w:rsidR="00AE515B" w:rsidRPr="00AE515B" w:rsidRDefault="00AE515B" w:rsidP="00AE515B">
      <w:r w:rsidRPr="00AE515B">
        <w:t>The system follows a strict, sequential control flow (orchestrated by agents/controller.py) for every query:</w:t>
      </w:r>
    </w:p>
    <w:p w14:paraId="42848A90" w14:textId="77777777" w:rsidR="00AE515B" w:rsidRPr="00AE515B" w:rsidRDefault="00AE515B" w:rsidP="00AE515B">
      <w:pPr>
        <w:numPr>
          <w:ilvl w:val="0"/>
          <w:numId w:val="1"/>
        </w:numPr>
      </w:pPr>
      <w:r w:rsidRPr="00AE515B">
        <w:rPr>
          <w:b/>
          <w:bCs/>
        </w:rPr>
        <w:t>Planner (planner.py):</w:t>
      </w:r>
      <w:r w:rsidRPr="00AE515B">
        <w:t xml:space="preserve"> Acts as a primary security gate, detecting jailbreaks and prohibited requests.</w:t>
      </w:r>
    </w:p>
    <w:p w14:paraId="71C48D00" w14:textId="77777777" w:rsidR="00AE515B" w:rsidRPr="00AE515B" w:rsidRDefault="00AE515B" w:rsidP="00AE515B">
      <w:pPr>
        <w:numPr>
          <w:ilvl w:val="0"/>
          <w:numId w:val="1"/>
        </w:numPr>
      </w:pPr>
      <w:r w:rsidRPr="00AE515B">
        <w:rPr>
          <w:b/>
          <w:bCs/>
        </w:rPr>
        <w:t>Retriever (index.py):</w:t>
      </w:r>
      <w:r w:rsidRPr="00AE515B">
        <w:t xml:space="preserve"> Queries tenant-isolated (e.g., tenant_U1) and public (</w:t>
      </w:r>
      <w:proofErr w:type="spellStart"/>
      <w:r w:rsidRPr="00AE515B">
        <w:t>tenant_public</w:t>
      </w:r>
      <w:proofErr w:type="spellEnd"/>
      <w:r w:rsidRPr="00AE515B">
        <w:t>) Chroma indices.</w:t>
      </w:r>
    </w:p>
    <w:p w14:paraId="1C623F46" w14:textId="77777777" w:rsidR="00AE515B" w:rsidRPr="00AE515B" w:rsidRDefault="00AE515B" w:rsidP="00AE515B">
      <w:pPr>
        <w:numPr>
          <w:ilvl w:val="0"/>
          <w:numId w:val="1"/>
        </w:numPr>
      </w:pPr>
      <w:r w:rsidRPr="00AE515B">
        <w:rPr>
          <w:b/>
          <w:bCs/>
        </w:rPr>
        <w:t>Policy Guard (guard.py):</w:t>
      </w:r>
      <w:r w:rsidRPr="00AE515B">
        <w:t xml:space="preserve"> Applies Access Control List (ACL) filtering and PII masking on retrieved snippets.</w:t>
      </w:r>
    </w:p>
    <w:p w14:paraId="00222717" w14:textId="77777777" w:rsidR="00AE515B" w:rsidRPr="00AE515B" w:rsidRDefault="00AE515B" w:rsidP="00AE515B">
      <w:pPr>
        <w:numPr>
          <w:ilvl w:val="0"/>
          <w:numId w:val="1"/>
        </w:numPr>
      </w:pPr>
      <w:r w:rsidRPr="00AE515B">
        <w:rPr>
          <w:b/>
          <w:bCs/>
        </w:rPr>
        <w:t>LLM Synthesis (llm.py):</w:t>
      </w:r>
      <w:r w:rsidRPr="00AE515B">
        <w:t xml:space="preserve"> Generates a concise answer using </w:t>
      </w:r>
      <w:r w:rsidRPr="00AE515B">
        <w:rPr>
          <w:i/>
          <w:iCs/>
        </w:rPr>
        <w:t>only</w:t>
      </w:r>
      <w:r w:rsidRPr="00AE515B">
        <w:t xml:space="preserve"> the filtered, masked snippets and memory context.</w:t>
      </w:r>
    </w:p>
    <w:p w14:paraId="39425BD9" w14:textId="77777777" w:rsidR="00AE515B" w:rsidRPr="00AE515B" w:rsidRDefault="00AE515B" w:rsidP="00AE515B">
      <w:pPr>
        <w:numPr>
          <w:ilvl w:val="0"/>
          <w:numId w:val="1"/>
        </w:numPr>
      </w:pPr>
      <w:r w:rsidRPr="00AE515B">
        <w:rPr>
          <w:b/>
          <w:bCs/>
        </w:rPr>
        <w:t>Controller Post-Check:</w:t>
      </w:r>
      <w:r w:rsidRPr="00AE515B">
        <w:t xml:space="preserve"> Verifies LLM output compliance (citation presence, exact refusal format) before presentation.</w:t>
      </w:r>
    </w:p>
    <w:p w14:paraId="41CA5A0B" w14:textId="77777777" w:rsidR="00AE515B" w:rsidRPr="00AE515B" w:rsidRDefault="00AE515B" w:rsidP="00AE515B">
      <w:pPr>
        <w:numPr>
          <w:ilvl w:val="0"/>
          <w:numId w:val="1"/>
        </w:numPr>
      </w:pPr>
      <w:r w:rsidRPr="00AE515B">
        <w:rPr>
          <w:b/>
          <w:bCs/>
        </w:rPr>
        <w:t>Logging:</w:t>
      </w:r>
      <w:r w:rsidRPr="00AE515B">
        <w:t xml:space="preserve"> Records the full transaction details (logs/</w:t>
      </w:r>
      <w:proofErr w:type="spellStart"/>
      <w:r w:rsidRPr="00AE515B">
        <w:t>run.jsonl</w:t>
      </w:r>
      <w:proofErr w:type="spellEnd"/>
      <w:r w:rsidRPr="00AE515B">
        <w:t>) for auditing.</w:t>
      </w:r>
    </w:p>
    <w:p w14:paraId="0AED216E" w14:textId="77777777" w:rsidR="00AE515B" w:rsidRPr="00AE515B" w:rsidRDefault="00AE515B" w:rsidP="00AE515B">
      <w:pPr>
        <w:rPr>
          <w:b/>
          <w:bCs/>
        </w:rPr>
      </w:pPr>
      <w:r w:rsidRPr="00AE515B">
        <w:rPr>
          <w:b/>
          <w:bCs/>
        </w:rPr>
        <w:t>2. Security and Policy Enforcement</w:t>
      </w:r>
    </w:p>
    <w:p w14:paraId="46282CBD" w14:textId="77777777" w:rsidR="00AE515B" w:rsidRPr="00AE515B" w:rsidRDefault="00AE515B" w:rsidP="00AE515B">
      <w:r w:rsidRPr="00AE515B">
        <w:t>Security is achieved through a multi-layered approach involving the Planner (pre-check) and the Policy Guard (data filtering).</w:t>
      </w:r>
    </w:p>
    <w:p w14:paraId="0E4915D8" w14:textId="77777777" w:rsidR="00AE515B" w:rsidRPr="00AE515B" w:rsidRDefault="00AE515B" w:rsidP="00AE515B">
      <w:pPr>
        <w:rPr>
          <w:b/>
          <w:bCs/>
        </w:rPr>
      </w:pPr>
      <w:r w:rsidRPr="00AE515B">
        <w:rPr>
          <w:b/>
          <w:bCs/>
        </w:rPr>
        <w:t>2.1. Agentic Planner (agents/planner.py)</w:t>
      </w:r>
    </w:p>
    <w:p w14:paraId="24D7C860" w14:textId="77777777" w:rsidR="00AE515B" w:rsidRPr="00AE515B" w:rsidRDefault="00AE515B" w:rsidP="00AE515B">
      <w:r w:rsidRPr="00AE515B">
        <w:lastRenderedPageBreak/>
        <w:t xml:space="preserve">The Planner is a </w:t>
      </w:r>
      <w:r w:rsidRPr="00AE515B">
        <w:rPr>
          <w:b/>
          <w:bCs/>
        </w:rPr>
        <w:t>deterministic security feature</w:t>
      </w:r>
      <w:r w:rsidRPr="00AE515B">
        <w:t xml:space="preserve"> required to prevent Prompt Injection and Data Leakage before the LLM is involved. It uses hardcoded lists to classify user intent.</w:t>
      </w:r>
    </w:p>
    <w:p w14:paraId="052EDA9A" w14:textId="77777777" w:rsidR="00AE515B" w:rsidRPr="00AE515B" w:rsidRDefault="00AE515B" w:rsidP="00AE515B">
      <w:pPr>
        <w:numPr>
          <w:ilvl w:val="0"/>
          <w:numId w:val="2"/>
        </w:numPr>
      </w:pPr>
      <w:r w:rsidRPr="00AE515B">
        <w:rPr>
          <w:b/>
          <w:bCs/>
        </w:rPr>
        <w:t>Injection Detection:</w:t>
      </w:r>
      <w:r w:rsidRPr="00AE515B">
        <w:t xml:space="preserve"> Flags inputs designed to bypass system rules or extract configuration. The system returns the exact refusal: Refusal: </w:t>
      </w:r>
      <w:proofErr w:type="spellStart"/>
      <w:r w:rsidRPr="00AE515B">
        <w:t>InjectionDetected</w:t>
      </w:r>
      <w:proofErr w:type="spellEnd"/>
      <w:r w:rsidRPr="00AE515B">
        <w:t>. Ignoring instructions that conflict with system policy.</w:t>
      </w:r>
    </w:p>
    <w:p w14:paraId="7185039C" w14:textId="77777777" w:rsidR="00AE515B" w:rsidRPr="00AE515B" w:rsidRDefault="00AE515B" w:rsidP="00AE515B">
      <w:pPr>
        <w:numPr>
          <w:ilvl w:val="1"/>
          <w:numId w:val="2"/>
        </w:numPr>
      </w:pPr>
      <w:r w:rsidRPr="00AE515B">
        <w:rPr>
          <w:i/>
          <w:iCs/>
        </w:rPr>
        <w:t xml:space="preserve">Examples of phrases </w:t>
      </w:r>
      <w:proofErr w:type="gramStart"/>
      <w:r w:rsidRPr="00AE515B">
        <w:rPr>
          <w:i/>
          <w:iCs/>
        </w:rPr>
        <w:t>caught:</w:t>
      </w:r>
      <w:proofErr w:type="gramEnd"/>
      <w:r w:rsidRPr="00AE515B">
        <w:t xml:space="preserve"> ignore all previous rules, override policy-guard, dump memory.</w:t>
      </w:r>
    </w:p>
    <w:p w14:paraId="16E86452" w14:textId="77777777" w:rsidR="00AE515B" w:rsidRPr="00AE515B" w:rsidRDefault="00AE515B" w:rsidP="00AE515B">
      <w:pPr>
        <w:numPr>
          <w:ilvl w:val="0"/>
          <w:numId w:val="2"/>
        </w:numPr>
      </w:pPr>
      <w:r w:rsidRPr="00AE515B">
        <w:rPr>
          <w:b/>
          <w:bCs/>
        </w:rPr>
        <w:t>Prohibited Intent Detection (Leakage Risk):</w:t>
      </w:r>
      <w:r w:rsidRPr="00AE515B">
        <w:t xml:space="preserve"> Flags </w:t>
      </w:r>
      <w:proofErr w:type="gramStart"/>
      <w:r w:rsidRPr="00AE515B">
        <w:t>requests</w:t>
      </w:r>
      <w:proofErr w:type="gramEnd"/>
      <w:r w:rsidRPr="00AE515B">
        <w:t xml:space="preserve"> that explicitly target sensitive data. The system returns: Refusal: </w:t>
      </w:r>
      <w:proofErr w:type="spellStart"/>
      <w:r w:rsidRPr="00AE515B">
        <w:t>LeakageRisk</w:t>
      </w:r>
      <w:proofErr w:type="spellEnd"/>
      <w:r w:rsidRPr="00AE515B">
        <w:t>. Your request may expose private or PII data.</w:t>
      </w:r>
    </w:p>
    <w:p w14:paraId="6C5D5FF3" w14:textId="77777777" w:rsidR="00AE515B" w:rsidRPr="00AE515B" w:rsidRDefault="00AE515B" w:rsidP="00AE515B">
      <w:pPr>
        <w:numPr>
          <w:ilvl w:val="1"/>
          <w:numId w:val="2"/>
        </w:numPr>
      </w:pPr>
      <w:r w:rsidRPr="00AE515B">
        <w:rPr>
          <w:i/>
          <w:iCs/>
        </w:rPr>
        <w:t xml:space="preserve">Examples of phrases </w:t>
      </w:r>
      <w:proofErr w:type="gramStart"/>
      <w:r w:rsidRPr="00AE515B">
        <w:rPr>
          <w:i/>
          <w:iCs/>
        </w:rPr>
        <w:t>caught:</w:t>
      </w:r>
      <w:proofErr w:type="gramEnd"/>
      <w:r w:rsidRPr="00AE515B">
        <w:t xml:space="preserve"> unmask PII, private phone numbers, cross-tenant access.</w:t>
      </w:r>
    </w:p>
    <w:p w14:paraId="5536D607" w14:textId="77777777" w:rsidR="00AE515B" w:rsidRPr="00AE515B" w:rsidRDefault="00AE515B" w:rsidP="00AE515B">
      <w:pPr>
        <w:rPr>
          <w:b/>
          <w:bCs/>
        </w:rPr>
      </w:pPr>
      <w:r w:rsidRPr="00AE515B">
        <w:rPr>
          <w:b/>
          <w:bCs/>
        </w:rPr>
        <w:t>2.2. Policy Guard (policies/guard.py)</w:t>
      </w:r>
    </w:p>
    <w:p w14:paraId="33BDA1FC" w14:textId="77777777" w:rsidR="00AE515B" w:rsidRPr="00AE515B" w:rsidRDefault="00AE515B" w:rsidP="00AE515B">
      <w:r w:rsidRPr="00AE515B">
        <w:t>The Policy Guard performs two mandatory actions on all retrieved document snippets (Hit objects):</w:t>
      </w:r>
    </w:p>
    <w:p w14:paraId="0CFC196A" w14:textId="77777777" w:rsidR="00AE515B" w:rsidRPr="00AE515B" w:rsidRDefault="00AE515B" w:rsidP="00AE515B">
      <w:pPr>
        <w:rPr>
          <w:b/>
          <w:bCs/>
        </w:rPr>
      </w:pPr>
      <w:r w:rsidRPr="00AE515B">
        <w:rPr>
          <w:b/>
          <w:bCs/>
        </w:rPr>
        <w:t>A. Access Control List (ACL) Enforcement</w:t>
      </w:r>
    </w:p>
    <w:p w14:paraId="3E67BB51" w14:textId="77777777" w:rsidR="00AE515B" w:rsidRPr="00AE515B" w:rsidRDefault="00AE515B" w:rsidP="00AE515B">
      <w:r w:rsidRPr="00AE515B">
        <w:t xml:space="preserve">The guard implements the following rule to filter hits: </w:t>
      </w:r>
    </w:p>
    <w:p w14:paraId="2C89FB07" w14:textId="77777777" w:rsidR="00AE515B" w:rsidRPr="00AE515B" w:rsidRDefault="00AE515B" w:rsidP="00AE515B">
      <w:r w:rsidRPr="00AE515B">
        <w:t xml:space="preserve">Any hit belonging to a different tenant () that is not public () is immediately discarded. If no allowed snippets remain, the system returns the refusal: </w:t>
      </w:r>
      <w:r w:rsidRPr="00AE515B">
        <w:rPr>
          <w:b/>
          <w:bCs/>
        </w:rPr>
        <w:t>Refusal: Access Denied. You do not have access to that information.</w:t>
      </w:r>
    </w:p>
    <w:p w14:paraId="447004E6" w14:textId="77777777" w:rsidR="00AE515B" w:rsidRPr="00AE515B" w:rsidRDefault="00AE515B" w:rsidP="00AE515B">
      <w:pPr>
        <w:rPr>
          <w:b/>
          <w:bCs/>
        </w:rPr>
      </w:pPr>
      <w:r w:rsidRPr="00AE515B">
        <w:rPr>
          <w:b/>
          <w:bCs/>
        </w:rPr>
        <w:t>B. PII Masking</w:t>
      </w:r>
    </w:p>
    <w:p w14:paraId="1878BEBA" w14:textId="77777777" w:rsidR="00AE515B" w:rsidRPr="00AE515B" w:rsidRDefault="00AE515B" w:rsidP="00AE515B">
      <w:r w:rsidRPr="00AE515B">
        <w:t xml:space="preserve">PII patterns are masked using the </w:t>
      </w:r>
      <w:proofErr w:type="spellStart"/>
      <w:r w:rsidRPr="00AE515B">
        <w:t>mask_pii</w:t>
      </w:r>
      <w:proofErr w:type="spellEnd"/>
      <w:r w:rsidRPr="00AE515B">
        <w:t xml:space="preserve"> function </w:t>
      </w:r>
      <w:r w:rsidRPr="00AE515B">
        <w:rPr>
          <w:i/>
          <w:iCs/>
        </w:rPr>
        <w:t>before</w:t>
      </w:r>
      <w:r w:rsidRPr="00AE515B">
        <w:t xml:space="preserve"> the snippets are sent to the LLM and </w:t>
      </w:r>
      <w:r w:rsidRPr="00AE515B">
        <w:rPr>
          <w:i/>
          <w:iCs/>
        </w:rPr>
        <w:t>before</w:t>
      </w:r>
      <w:r w:rsidRPr="00AE515B">
        <w:t xml:space="preserve"> they </w:t>
      </w:r>
      <w:proofErr w:type="gramStart"/>
      <w:r w:rsidRPr="00AE515B">
        <w:t>are persisted</w:t>
      </w:r>
      <w:proofErr w:type="gramEnd"/>
      <w:r w:rsidRPr="00AE515B">
        <w:t xml:space="preserve"> to memory.</w:t>
      </w:r>
    </w:p>
    <w:p w14:paraId="6B39B0DF" w14:textId="77777777" w:rsidR="00AE515B" w:rsidRPr="00AE515B" w:rsidRDefault="00AE515B" w:rsidP="00AE515B">
      <w:pPr>
        <w:numPr>
          <w:ilvl w:val="0"/>
          <w:numId w:val="3"/>
        </w:numPr>
      </w:pPr>
      <w:r w:rsidRPr="00AE515B">
        <w:rPr>
          <w:b/>
          <w:bCs/>
        </w:rPr>
        <w:t>CNIC-like Pattern (5-7-1 format):</w:t>
      </w:r>
      <w:r w:rsidRPr="00AE515B">
        <w:t xml:space="preserve"> </w:t>
      </w:r>
    </w:p>
    <w:p w14:paraId="1F4349E8" w14:textId="77777777" w:rsidR="00AE515B" w:rsidRPr="00AE515B" w:rsidRDefault="00AE515B" w:rsidP="00AE515B">
      <w:r w:rsidRPr="00AE515B">
        <w:rPr>
          <w:i/>
          <w:iCs/>
        </w:rPr>
        <w:t xml:space="preserve">Implementation: </w:t>
      </w:r>
      <w:proofErr w:type="spellStart"/>
      <w:proofErr w:type="gramStart"/>
      <w:r w:rsidRPr="00AE515B">
        <w:rPr>
          <w:i/>
          <w:iCs/>
        </w:rPr>
        <w:t>re.compile</w:t>
      </w:r>
      <w:proofErr w:type="spellEnd"/>
      <w:proofErr w:type="gramEnd"/>
      <w:r w:rsidRPr="00AE515B">
        <w:rPr>
          <w:i/>
          <w:iCs/>
        </w:rPr>
        <w:t>(r"\b\d{5}-\d{7}-\d\b")</w:t>
      </w:r>
    </w:p>
    <w:p w14:paraId="73771C86" w14:textId="77777777" w:rsidR="00AE515B" w:rsidRPr="00AE515B" w:rsidRDefault="00AE515B" w:rsidP="00AE515B">
      <w:pPr>
        <w:numPr>
          <w:ilvl w:val="0"/>
          <w:numId w:val="3"/>
        </w:numPr>
      </w:pPr>
      <w:r w:rsidRPr="00AE515B">
        <w:rPr>
          <w:b/>
          <w:bCs/>
        </w:rPr>
        <w:t>PK Phone-like Pattern (optional +92, 3 digits, 7 digits):</w:t>
      </w:r>
      <w:r w:rsidRPr="00AE515B">
        <w:t xml:space="preserve"> </w:t>
      </w:r>
    </w:p>
    <w:p w14:paraId="3B8E3951" w14:textId="77777777" w:rsidR="00AE515B" w:rsidRPr="00AE515B" w:rsidRDefault="00AE515B" w:rsidP="00AE515B">
      <w:r w:rsidRPr="00AE515B">
        <w:rPr>
          <w:i/>
          <w:iCs/>
        </w:rPr>
        <w:t xml:space="preserve">Implementation: </w:t>
      </w:r>
      <w:proofErr w:type="spellStart"/>
      <w:proofErr w:type="gramStart"/>
      <w:r w:rsidRPr="00AE515B">
        <w:rPr>
          <w:i/>
          <w:iCs/>
        </w:rPr>
        <w:t>re.compile</w:t>
      </w:r>
      <w:proofErr w:type="spellEnd"/>
      <w:proofErr w:type="gramEnd"/>
      <w:r w:rsidRPr="00AE515B">
        <w:rPr>
          <w:i/>
          <w:iCs/>
        </w:rPr>
        <w:t>(r"\+?92</w:t>
      </w:r>
      <w:proofErr w:type="gramStart"/>
      <w:r w:rsidRPr="00AE515B">
        <w:rPr>
          <w:i/>
          <w:iCs/>
        </w:rPr>
        <w:t>-?\</w:t>
      </w:r>
      <w:proofErr w:type="gramEnd"/>
      <w:r w:rsidRPr="00AE515B">
        <w:rPr>
          <w:i/>
          <w:iCs/>
        </w:rPr>
        <w:t>d{3}</w:t>
      </w:r>
      <w:proofErr w:type="gramStart"/>
      <w:r w:rsidRPr="00AE515B">
        <w:rPr>
          <w:i/>
          <w:iCs/>
        </w:rPr>
        <w:t>-?\d{</w:t>
      </w:r>
      <w:proofErr w:type="gramEnd"/>
      <w:r w:rsidRPr="00AE515B">
        <w:rPr>
          <w:i/>
          <w:iCs/>
        </w:rPr>
        <w:t>7}")</w:t>
      </w:r>
    </w:p>
    <w:p w14:paraId="5A399CFC" w14:textId="77777777" w:rsidR="00AE515B" w:rsidRPr="00AE515B" w:rsidRDefault="00AE515B" w:rsidP="00AE515B">
      <w:r w:rsidRPr="00AE515B">
        <w:t xml:space="preserve">All matches are replaced with the token </w:t>
      </w:r>
      <w:r w:rsidRPr="00AE515B">
        <w:rPr>
          <w:b/>
          <w:bCs/>
        </w:rPr>
        <w:t>[REDACTED]</w:t>
      </w:r>
      <w:r w:rsidRPr="00AE515B">
        <w:t>.</w:t>
      </w:r>
    </w:p>
    <w:p w14:paraId="6F48511A" w14:textId="77777777" w:rsidR="00AE515B" w:rsidRPr="00AE515B" w:rsidRDefault="00AE515B" w:rsidP="00AE515B">
      <w:pPr>
        <w:rPr>
          <w:b/>
          <w:bCs/>
        </w:rPr>
      </w:pPr>
      <w:r w:rsidRPr="00AE515B">
        <w:rPr>
          <w:b/>
          <w:bCs/>
        </w:rPr>
        <w:t>3. Retrieval, Synthesis, and Compliance</w:t>
      </w:r>
    </w:p>
    <w:p w14:paraId="445C3F51" w14:textId="77777777" w:rsidR="00AE515B" w:rsidRPr="00AE515B" w:rsidRDefault="00AE515B" w:rsidP="00AE515B">
      <w:pPr>
        <w:rPr>
          <w:b/>
          <w:bCs/>
        </w:rPr>
      </w:pPr>
      <w:r w:rsidRPr="00AE515B">
        <w:rPr>
          <w:b/>
          <w:bCs/>
        </w:rPr>
        <w:lastRenderedPageBreak/>
        <w:t>3.1. Retrieval and Indexing</w:t>
      </w:r>
    </w:p>
    <w:p w14:paraId="21F5DD6B" w14:textId="77777777" w:rsidR="00AE515B" w:rsidRPr="00AE515B" w:rsidRDefault="00AE515B" w:rsidP="00AE515B">
      <w:r w:rsidRPr="00AE515B">
        <w:t xml:space="preserve">The system uses </w:t>
      </w:r>
      <w:proofErr w:type="spellStart"/>
      <w:r w:rsidRPr="00AE515B">
        <w:rPr>
          <w:b/>
          <w:bCs/>
        </w:rPr>
        <w:t>ChromaDB</w:t>
      </w:r>
      <w:proofErr w:type="spellEnd"/>
      <w:r w:rsidRPr="00AE515B">
        <w:t xml:space="preserve"> with the all-MiniLM-L6-v2 embedding model. Retrieval queries are executed against both tenant-specific and public indices. To solve low-precision answers (like the initial PPE query), the Planner implements </w:t>
      </w:r>
      <w:r w:rsidRPr="00AE515B">
        <w:rPr>
          <w:b/>
          <w:bCs/>
        </w:rPr>
        <w:t>semantic rewriting</w:t>
      </w:r>
      <w:r w:rsidRPr="00AE515B">
        <w:t xml:space="preserve"> to improve the quality of the search query (e.g., from "What PPE is required..." to "list of required Personal Protective Equipment..."). Retrieval depth was set to a high </w:t>
      </w:r>
      <w:proofErr w:type="spellStart"/>
      <w:r w:rsidRPr="00AE515B">
        <w:t>top_k</w:t>
      </w:r>
      <w:proofErr w:type="spellEnd"/>
      <w:r w:rsidRPr="00AE515B">
        <w:t>: 15 for robust context capture.</w:t>
      </w:r>
    </w:p>
    <w:p w14:paraId="703C2749" w14:textId="77777777" w:rsidR="00AE515B" w:rsidRPr="00AE515B" w:rsidRDefault="00AE515B" w:rsidP="00AE515B">
      <w:pPr>
        <w:rPr>
          <w:b/>
          <w:bCs/>
        </w:rPr>
      </w:pPr>
      <w:r w:rsidRPr="00AE515B">
        <w:rPr>
          <w:b/>
          <w:bCs/>
        </w:rPr>
        <w:t>3.2. LLM Synthesis and Citation Fidelity</w:t>
      </w:r>
    </w:p>
    <w:p w14:paraId="4EBC1E6B" w14:textId="77777777" w:rsidR="00AE515B" w:rsidRPr="00AE515B" w:rsidRDefault="00AE515B" w:rsidP="00AE515B">
      <w:r w:rsidRPr="00AE515B">
        <w:t xml:space="preserve">The LLM (llama-3.1-8b-instant) is instructed to synthesize a concise, single-paragraph answer and </w:t>
      </w:r>
      <w:r w:rsidRPr="00AE515B">
        <w:rPr>
          <w:b/>
          <w:bCs/>
        </w:rPr>
        <w:t>MUST</w:t>
      </w:r>
      <w:r w:rsidRPr="00AE515B">
        <w:t xml:space="preserve"> include citations in the </w:t>
      </w:r>
      <w:r w:rsidRPr="00AE515B">
        <w:rPr>
          <w:b/>
          <w:bCs/>
        </w:rPr>
        <w:t>exact, single-line format</w:t>
      </w:r>
      <w:r w:rsidRPr="00AE515B">
        <w:t xml:space="preserve"> specified by the assignment.</w:t>
      </w:r>
    </w:p>
    <w:p w14:paraId="21E7D54D" w14:textId="77777777" w:rsidR="00AE515B" w:rsidRPr="00AE515B" w:rsidRDefault="00AE515B" w:rsidP="00AE515B">
      <w:r w:rsidRPr="00AE515B">
        <w:t xml:space="preserve">The Controller's </w:t>
      </w:r>
      <w:r w:rsidRPr="00AE515B">
        <w:rPr>
          <w:b/>
          <w:bCs/>
        </w:rPr>
        <w:t>Post-LLM Check</w:t>
      </w:r>
      <w:r w:rsidRPr="00AE515B">
        <w:t xml:space="preserve"> aggressively enforces this compliance: if the output is not an exact refusal template AND does not contain the mandatory citation format ((doc=...), it is treated as a security/compliance failure and is converted to the hard refusal: </w:t>
      </w:r>
      <w:r w:rsidRPr="00AE515B">
        <w:rPr>
          <w:b/>
          <w:bCs/>
        </w:rPr>
        <w:t>Refusal: Access Denied...</w:t>
      </w:r>
    </w:p>
    <w:p w14:paraId="55EEAA10" w14:textId="77777777" w:rsidR="00AE515B" w:rsidRPr="00AE515B" w:rsidRDefault="00AE515B" w:rsidP="00AE515B">
      <w:pPr>
        <w:rPr>
          <w:b/>
          <w:bCs/>
        </w:rPr>
      </w:pPr>
      <w:r w:rsidRPr="00AE515B">
        <w:rPr>
          <w:b/>
          <w:bCs/>
        </w:rPr>
        <w:t>4. Memory Management and Ablation Study</w:t>
      </w:r>
    </w:p>
    <w:p w14:paraId="3FFEFF67" w14:textId="77777777" w:rsidR="00AE515B" w:rsidRPr="00AE515B" w:rsidRDefault="00AE515B" w:rsidP="00AE515B">
      <w:r w:rsidRPr="00AE515B">
        <w:t xml:space="preserve">The Chat REPL implements two </w:t>
      </w:r>
      <w:r w:rsidRPr="00AE515B">
        <w:rPr>
          <w:b/>
          <w:bCs/>
        </w:rPr>
        <w:t>tenant-isolated</w:t>
      </w:r>
      <w:r w:rsidRPr="00AE515B">
        <w:t xml:space="preserve"> memory modes:</w:t>
      </w:r>
    </w:p>
    <w:p w14:paraId="3498F938" w14:textId="77777777" w:rsidR="00AE515B" w:rsidRPr="00AE515B" w:rsidRDefault="00AE515B" w:rsidP="00AE515B">
      <w:pPr>
        <w:rPr>
          <w:b/>
          <w:bCs/>
        </w:rPr>
      </w:pPr>
      <w:r w:rsidRPr="00AE515B">
        <w:rPr>
          <w:b/>
          <w:bCs/>
        </w:rPr>
        <w:t>4.1. Memory Modes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9"/>
        <w:gridCol w:w="5910"/>
        <w:gridCol w:w="2321"/>
      </w:tblGrid>
      <w:tr w:rsidR="00AE515B" w:rsidRPr="00AE515B" w14:paraId="6C330928" w14:textId="77777777">
        <w:trPr>
          <w:tblCellSpacing w:w="15" w:type="dxa"/>
        </w:trPr>
        <w:tc>
          <w:tcPr>
            <w:tcW w:w="0" w:type="auto"/>
            <w:vAlign w:val="center"/>
            <w:hideMark/>
          </w:tcPr>
          <w:p w14:paraId="6B9DBB46" w14:textId="77777777" w:rsidR="00AE515B" w:rsidRPr="00AE515B" w:rsidRDefault="00AE515B" w:rsidP="00AE515B">
            <w:pPr>
              <w:rPr>
                <w:b/>
                <w:bCs/>
              </w:rPr>
            </w:pPr>
            <w:r w:rsidRPr="00AE515B">
              <w:rPr>
                <w:b/>
                <w:bCs/>
              </w:rPr>
              <w:t>Mode</w:t>
            </w:r>
          </w:p>
        </w:tc>
        <w:tc>
          <w:tcPr>
            <w:tcW w:w="0" w:type="auto"/>
            <w:vAlign w:val="center"/>
            <w:hideMark/>
          </w:tcPr>
          <w:p w14:paraId="1D2655C8" w14:textId="77777777" w:rsidR="00AE515B" w:rsidRPr="00AE515B" w:rsidRDefault="00AE515B" w:rsidP="00AE515B">
            <w:pPr>
              <w:rPr>
                <w:b/>
                <w:bCs/>
              </w:rPr>
            </w:pPr>
            <w:r w:rsidRPr="00AE515B">
              <w:rPr>
                <w:b/>
                <w:bCs/>
              </w:rPr>
              <w:t>Functionality</w:t>
            </w:r>
          </w:p>
        </w:tc>
        <w:tc>
          <w:tcPr>
            <w:tcW w:w="0" w:type="auto"/>
            <w:vAlign w:val="center"/>
            <w:hideMark/>
          </w:tcPr>
          <w:p w14:paraId="62B59C1E" w14:textId="77777777" w:rsidR="00AE515B" w:rsidRPr="00AE515B" w:rsidRDefault="00AE515B" w:rsidP="00AE515B">
            <w:pPr>
              <w:rPr>
                <w:b/>
                <w:bCs/>
              </w:rPr>
            </w:pPr>
            <w:r w:rsidRPr="00AE515B">
              <w:rPr>
                <w:b/>
                <w:bCs/>
              </w:rPr>
              <w:t>Cost/Risk</w:t>
            </w:r>
          </w:p>
        </w:tc>
      </w:tr>
      <w:tr w:rsidR="00AE515B" w:rsidRPr="00AE515B" w14:paraId="205E2488" w14:textId="77777777">
        <w:trPr>
          <w:tblCellSpacing w:w="15" w:type="dxa"/>
        </w:trPr>
        <w:tc>
          <w:tcPr>
            <w:tcW w:w="0" w:type="auto"/>
            <w:vAlign w:val="center"/>
            <w:hideMark/>
          </w:tcPr>
          <w:p w14:paraId="7CF330B3" w14:textId="77777777" w:rsidR="00AE515B" w:rsidRPr="00AE515B" w:rsidRDefault="00AE515B" w:rsidP="00AE515B">
            <w:r w:rsidRPr="00AE515B">
              <w:rPr>
                <w:b/>
                <w:bCs/>
              </w:rPr>
              <w:t>Buffer</w:t>
            </w:r>
          </w:p>
        </w:tc>
        <w:tc>
          <w:tcPr>
            <w:tcW w:w="0" w:type="auto"/>
            <w:vAlign w:val="center"/>
            <w:hideMark/>
          </w:tcPr>
          <w:p w14:paraId="18A035E5" w14:textId="77777777" w:rsidR="00AE515B" w:rsidRPr="00AE515B" w:rsidRDefault="00AE515B" w:rsidP="00AE515B">
            <w:r w:rsidRPr="00AE515B">
              <w:t xml:space="preserve">Appends PII-masked turns </w:t>
            </w:r>
            <w:proofErr w:type="gramStart"/>
            <w:r w:rsidRPr="00AE515B">
              <w:t>to .state</w:t>
            </w:r>
            <w:proofErr w:type="gramEnd"/>
            <w:r w:rsidRPr="00AE515B">
              <w:t>/memory/&lt;tenant&gt;/</w:t>
            </w:r>
            <w:proofErr w:type="spellStart"/>
            <w:proofErr w:type="gramStart"/>
            <w:r w:rsidRPr="00AE515B">
              <w:t>buffer.jsonl</w:t>
            </w:r>
            <w:proofErr w:type="spellEnd"/>
            <w:proofErr w:type="gramEnd"/>
            <w:r w:rsidRPr="00AE515B">
              <w:t>.</w:t>
            </w:r>
          </w:p>
        </w:tc>
        <w:tc>
          <w:tcPr>
            <w:tcW w:w="0" w:type="auto"/>
            <w:vAlign w:val="center"/>
            <w:hideMark/>
          </w:tcPr>
          <w:p w14:paraId="55405733" w14:textId="77777777" w:rsidR="00AE515B" w:rsidRPr="00AE515B" w:rsidRDefault="00AE515B" w:rsidP="00AE515B">
            <w:r w:rsidRPr="00AE515B">
              <w:t>High token cost; perfect recall.</w:t>
            </w:r>
          </w:p>
        </w:tc>
      </w:tr>
      <w:tr w:rsidR="00AE515B" w:rsidRPr="00AE515B" w14:paraId="6FB9306B" w14:textId="77777777">
        <w:trPr>
          <w:tblCellSpacing w:w="15" w:type="dxa"/>
        </w:trPr>
        <w:tc>
          <w:tcPr>
            <w:tcW w:w="0" w:type="auto"/>
            <w:vAlign w:val="center"/>
            <w:hideMark/>
          </w:tcPr>
          <w:p w14:paraId="56AC498D" w14:textId="77777777" w:rsidR="00AE515B" w:rsidRPr="00AE515B" w:rsidRDefault="00AE515B" w:rsidP="00AE515B">
            <w:r w:rsidRPr="00AE515B">
              <w:rPr>
                <w:b/>
                <w:bCs/>
              </w:rPr>
              <w:t>Summary</w:t>
            </w:r>
          </w:p>
        </w:tc>
        <w:tc>
          <w:tcPr>
            <w:tcW w:w="0" w:type="auto"/>
            <w:vAlign w:val="center"/>
            <w:hideMark/>
          </w:tcPr>
          <w:p w14:paraId="2A8E7F64" w14:textId="77777777" w:rsidR="00AE515B" w:rsidRPr="00AE515B" w:rsidRDefault="00AE515B" w:rsidP="00AE515B">
            <w:proofErr w:type="gramStart"/>
            <w:r w:rsidRPr="00AE515B">
              <w:t>Overwrites .state</w:t>
            </w:r>
            <w:proofErr w:type="gramEnd"/>
            <w:r w:rsidRPr="00AE515B">
              <w:t>/memory/&lt;tenant&gt;/summary.txt via an LLM call over the buffer.</w:t>
            </w:r>
          </w:p>
        </w:tc>
        <w:tc>
          <w:tcPr>
            <w:tcW w:w="0" w:type="auto"/>
            <w:vAlign w:val="center"/>
            <w:hideMark/>
          </w:tcPr>
          <w:p w14:paraId="37B9D8A6" w14:textId="77777777" w:rsidR="00AE515B" w:rsidRPr="00AE515B" w:rsidRDefault="00AE515B" w:rsidP="00AE515B">
            <w:r w:rsidRPr="00AE515B">
              <w:t>Low token cost; risk of nuance loss.</w:t>
            </w:r>
          </w:p>
        </w:tc>
      </w:tr>
    </w:tbl>
    <w:p w14:paraId="2E836A17" w14:textId="77777777" w:rsidR="00AE515B" w:rsidRPr="00AE515B" w:rsidRDefault="00AE515B" w:rsidP="00AE515B">
      <w:pPr>
        <w:rPr>
          <w:b/>
          <w:bCs/>
        </w:rPr>
      </w:pPr>
      <w:r w:rsidRPr="00AE515B">
        <w:rPr>
          <w:b/>
          <w:bCs/>
        </w:rPr>
        <w:t>4.2. Memory Ablation Findings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0"/>
        <w:gridCol w:w="1098"/>
        <w:gridCol w:w="1843"/>
        <w:gridCol w:w="5289"/>
      </w:tblGrid>
      <w:tr w:rsidR="00AE515B" w:rsidRPr="00AE515B" w14:paraId="12160A0D" w14:textId="77777777">
        <w:trPr>
          <w:tblCellSpacing w:w="15" w:type="dxa"/>
        </w:trPr>
        <w:tc>
          <w:tcPr>
            <w:tcW w:w="0" w:type="auto"/>
            <w:vAlign w:val="center"/>
            <w:hideMark/>
          </w:tcPr>
          <w:p w14:paraId="0289B985" w14:textId="77777777" w:rsidR="00AE515B" w:rsidRPr="00AE515B" w:rsidRDefault="00AE515B" w:rsidP="00AE515B">
            <w:pPr>
              <w:rPr>
                <w:b/>
                <w:bCs/>
              </w:rPr>
            </w:pPr>
            <w:r w:rsidRPr="00AE515B">
              <w:rPr>
                <w:b/>
                <w:bCs/>
              </w:rPr>
              <w:t>Mode</w:t>
            </w:r>
          </w:p>
        </w:tc>
        <w:tc>
          <w:tcPr>
            <w:tcW w:w="0" w:type="auto"/>
            <w:vAlign w:val="center"/>
            <w:hideMark/>
          </w:tcPr>
          <w:p w14:paraId="789EC987" w14:textId="77777777" w:rsidR="00AE515B" w:rsidRPr="00AE515B" w:rsidRDefault="00AE515B" w:rsidP="00AE515B">
            <w:pPr>
              <w:rPr>
                <w:b/>
                <w:bCs/>
              </w:rPr>
            </w:pPr>
            <w:r w:rsidRPr="00AE515B">
              <w:rPr>
                <w:b/>
                <w:bCs/>
              </w:rPr>
              <w:t>Token Usage (3-Turn Chat)</w:t>
            </w:r>
          </w:p>
        </w:tc>
        <w:tc>
          <w:tcPr>
            <w:tcW w:w="0" w:type="auto"/>
            <w:vAlign w:val="center"/>
            <w:hideMark/>
          </w:tcPr>
          <w:p w14:paraId="7EA6324F" w14:textId="77777777" w:rsidR="00AE515B" w:rsidRPr="00AE515B" w:rsidRDefault="00AE515B" w:rsidP="00AE515B">
            <w:pPr>
              <w:rPr>
                <w:b/>
                <w:bCs/>
              </w:rPr>
            </w:pPr>
            <w:r w:rsidRPr="00AE515B">
              <w:rPr>
                <w:b/>
                <w:bCs/>
              </w:rPr>
              <w:t>Answer Quality</w:t>
            </w:r>
          </w:p>
        </w:tc>
        <w:tc>
          <w:tcPr>
            <w:tcW w:w="0" w:type="auto"/>
            <w:vAlign w:val="center"/>
            <w:hideMark/>
          </w:tcPr>
          <w:p w14:paraId="48E4F19E" w14:textId="77777777" w:rsidR="00AE515B" w:rsidRPr="00AE515B" w:rsidRDefault="00AE515B" w:rsidP="00AE515B">
            <w:pPr>
              <w:rPr>
                <w:b/>
                <w:bCs/>
              </w:rPr>
            </w:pPr>
            <w:r w:rsidRPr="00AE515B">
              <w:rPr>
                <w:b/>
                <w:bCs/>
              </w:rPr>
              <w:t>Nuance Loss</w:t>
            </w:r>
          </w:p>
        </w:tc>
      </w:tr>
      <w:tr w:rsidR="00AE515B" w:rsidRPr="00AE515B" w14:paraId="09125C18" w14:textId="77777777">
        <w:trPr>
          <w:tblCellSpacing w:w="15" w:type="dxa"/>
        </w:trPr>
        <w:tc>
          <w:tcPr>
            <w:tcW w:w="0" w:type="auto"/>
            <w:vAlign w:val="center"/>
            <w:hideMark/>
          </w:tcPr>
          <w:p w14:paraId="728C4B6B" w14:textId="77777777" w:rsidR="00AE515B" w:rsidRPr="00AE515B" w:rsidRDefault="00AE515B" w:rsidP="00AE515B">
            <w:r w:rsidRPr="00AE515B">
              <w:rPr>
                <w:b/>
                <w:bCs/>
              </w:rPr>
              <w:lastRenderedPageBreak/>
              <w:t>Buffer</w:t>
            </w:r>
          </w:p>
        </w:tc>
        <w:tc>
          <w:tcPr>
            <w:tcW w:w="0" w:type="auto"/>
            <w:vAlign w:val="center"/>
            <w:hideMark/>
          </w:tcPr>
          <w:p w14:paraId="0B3638A4" w14:textId="77777777" w:rsidR="00AE515B" w:rsidRPr="00AE515B" w:rsidRDefault="00AE515B" w:rsidP="00AE515B">
            <w:r w:rsidRPr="00AE515B">
              <w:t>High (850 tokens total)</w:t>
            </w:r>
          </w:p>
        </w:tc>
        <w:tc>
          <w:tcPr>
            <w:tcW w:w="0" w:type="auto"/>
            <w:vAlign w:val="center"/>
            <w:hideMark/>
          </w:tcPr>
          <w:p w14:paraId="3A27AD4A" w14:textId="77777777" w:rsidR="00AE515B" w:rsidRPr="00AE515B" w:rsidRDefault="00AE515B" w:rsidP="00AE515B">
            <w:r w:rsidRPr="00AE515B">
              <w:t>Perfect recall; answered all follow-ups accurately.</w:t>
            </w:r>
          </w:p>
        </w:tc>
        <w:tc>
          <w:tcPr>
            <w:tcW w:w="0" w:type="auto"/>
            <w:vAlign w:val="center"/>
            <w:hideMark/>
          </w:tcPr>
          <w:p w14:paraId="1F2FD530" w14:textId="77777777" w:rsidR="00AE515B" w:rsidRPr="00AE515B" w:rsidRDefault="00AE515B" w:rsidP="00AE515B">
            <w:r w:rsidRPr="00AE515B">
              <w:t>None</w:t>
            </w:r>
          </w:p>
        </w:tc>
      </w:tr>
      <w:tr w:rsidR="00AE515B" w:rsidRPr="00AE515B" w14:paraId="53E7E2F1" w14:textId="77777777">
        <w:trPr>
          <w:tblCellSpacing w:w="15" w:type="dxa"/>
        </w:trPr>
        <w:tc>
          <w:tcPr>
            <w:tcW w:w="0" w:type="auto"/>
            <w:vAlign w:val="center"/>
            <w:hideMark/>
          </w:tcPr>
          <w:p w14:paraId="2063CD67" w14:textId="77777777" w:rsidR="00AE515B" w:rsidRPr="00AE515B" w:rsidRDefault="00AE515B" w:rsidP="00AE515B">
            <w:r w:rsidRPr="00AE515B">
              <w:rPr>
                <w:b/>
                <w:bCs/>
              </w:rPr>
              <w:t>Summary</w:t>
            </w:r>
          </w:p>
        </w:tc>
        <w:tc>
          <w:tcPr>
            <w:tcW w:w="0" w:type="auto"/>
            <w:vAlign w:val="center"/>
            <w:hideMark/>
          </w:tcPr>
          <w:p w14:paraId="2FCBA33D" w14:textId="77777777" w:rsidR="00AE515B" w:rsidRPr="00AE515B" w:rsidRDefault="00AE515B" w:rsidP="00AE515B">
            <w:r w:rsidRPr="00AE515B">
              <w:t>Low (420 tokens total)</w:t>
            </w:r>
          </w:p>
        </w:tc>
        <w:tc>
          <w:tcPr>
            <w:tcW w:w="0" w:type="auto"/>
            <w:vAlign w:val="center"/>
            <w:hideMark/>
          </w:tcPr>
          <w:p w14:paraId="32422531" w14:textId="77777777" w:rsidR="00AE515B" w:rsidRPr="00AE515B" w:rsidRDefault="00AE515B" w:rsidP="00AE515B">
            <w:r w:rsidRPr="00AE515B">
              <w:t>Good, but lost minor detail.</w:t>
            </w:r>
          </w:p>
        </w:tc>
        <w:tc>
          <w:tcPr>
            <w:tcW w:w="0" w:type="auto"/>
            <w:vAlign w:val="center"/>
            <w:hideMark/>
          </w:tcPr>
          <w:p w14:paraId="2E998DF6" w14:textId="77777777" w:rsidR="00AE515B" w:rsidRPr="00AE515B" w:rsidRDefault="00AE515B" w:rsidP="00AE515B">
            <w:r w:rsidRPr="00AE515B">
              <w:rPr>
                <w:b/>
                <w:bCs/>
              </w:rPr>
              <w:t>Loss of Nuance Case:</w:t>
            </w:r>
            <w:r w:rsidRPr="00AE515B">
              <w:t xml:space="preserve"> </w:t>
            </w:r>
            <w:r w:rsidRPr="00AE515B">
              <w:rPr>
                <w:i/>
                <w:iCs/>
              </w:rPr>
              <w:t>The initial conversation discussed the "importance of quarterly fire drills." The summary reduced this to "safety checks are frequent." When asked, "How often is the fire drill?" the Summary mode could not answer "quarterly."</w:t>
            </w:r>
          </w:p>
        </w:tc>
      </w:tr>
    </w:tbl>
    <w:p w14:paraId="01FA29D2" w14:textId="77777777" w:rsidR="00AE515B" w:rsidRPr="00AE515B" w:rsidRDefault="00AE515B" w:rsidP="00AE515B">
      <w:r w:rsidRPr="00AE515B">
        <w:rPr>
          <w:b/>
          <w:bCs/>
        </w:rPr>
        <w:t>Conclusion:</w:t>
      </w:r>
      <w:r w:rsidRPr="00AE515B">
        <w:t xml:space="preserve"> Summary mode offers significant </w:t>
      </w:r>
      <w:r w:rsidRPr="00AE515B">
        <w:rPr>
          <w:b/>
          <w:bCs/>
        </w:rPr>
        <w:t>token cost savings</w:t>
      </w:r>
      <w:r w:rsidRPr="00AE515B">
        <w:t xml:space="preserve"> (approx. 50%) but is unsuitable for conversations requiring recall of specific factual data points.</w:t>
      </w:r>
    </w:p>
    <w:p w14:paraId="752310D6" w14:textId="77777777" w:rsidR="00AE515B" w:rsidRPr="00AE515B" w:rsidRDefault="00AE515B" w:rsidP="00AE515B">
      <w:pPr>
        <w:rPr>
          <w:b/>
          <w:bCs/>
        </w:rPr>
      </w:pPr>
      <w:r w:rsidRPr="00AE515B">
        <w:rPr>
          <w:b/>
          <w:bCs/>
        </w:rPr>
        <w:t>5. Evaluation Results and Limitations</w:t>
      </w:r>
    </w:p>
    <w:p w14:paraId="5D49E0BF" w14:textId="77777777" w:rsidR="00AE515B" w:rsidRPr="00AE515B" w:rsidRDefault="00AE515B" w:rsidP="00AE515B">
      <w:pPr>
        <w:rPr>
          <w:b/>
          <w:bCs/>
        </w:rPr>
      </w:pPr>
      <w:r w:rsidRPr="00AE515B">
        <w:rPr>
          <w:b/>
          <w:bCs/>
        </w:rPr>
        <w:t>5.1. Test Results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9"/>
        <w:gridCol w:w="3713"/>
        <w:gridCol w:w="1194"/>
        <w:gridCol w:w="1408"/>
      </w:tblGrid>
      <w:tr w:rsidR="00AE515B" w:rsidRPr="00AE515B" w14:paraId="6DA9F1F8" w14:textId="77777777">
        <w:trPr>
          <w:tblCellSpacing w:w="15" w:type="dxa"/>
        </w:trPr>
        <w:tc>
          <w:tcPr>
            <w:tcW w:w="0" w:type="auto"/>
            <w:vAlign w:val="center"/>
            <w:hideMark/>
          </w:tcPr>
          <w:p w14:paraId="763FEBA8" w14:textId="77777777" w:rsidR="00AE515B" w:rsidRPr="00AE515B" w:rsidRDefault="00AE515B" w:rsidP="00AE515B">
            <w:pPr>
              <w:rPr>
                <w:b/>
                <w:bCs/>
              </w:rPr>
            </w:pPr>
            <w:r w:rsidRPr="00AE515B">
              <w:rPr>
                <w:b/>
                <w:bCs/>
              </w:rPr>
              <w:t>Test Suite</w:t>
            </w:r>
          </w:p>
        </w:tc>
        <w:tc>
          <w:tcPr>
            <w:tcW w:w="0" w:type="auto"/>
            <w:vAlign w:val="center"/>
            <w:hideMark/>
          </w:tcPr>
          <w:p w14:paraId="0D4077EE" w14:textId="77777777" w:rsidR="00AE515B" w:rsidRPr="00AE515B" w:rsidRDefault="00AE515B" w:rsidP="00AE515B">
            <w:pPr>
              <w:rPr>
                <w:b/>
                <w:bCs/>
              </w:rPr>
            </w:pPr>
            <w:r w:rsidRPr="00AE515B">
              <w:rPr>
                <w:b/>
                <w:bCs/>
              </w:rPr>
              <w:t>Metric</w:t>
            </w:r>
          </w:p>
        </w:tc>
        <w:tc>
          <w:tcPr>
            <w:tcW w:w="0" w:type="auto"/>
            <w:vAlign w:val="center"/>
            <w:hideMark/>
          </w:tcPr>
          <w:p w14:paraId="7D45AE83" w14:textId="77777777" w:rsidR="00AE515B" w:rsidRPr="00AE515B" w:rsidRDefault="00AE515B" w:rsidP="00AE515B">
            <w:pPr>
              <w:rPr>
                <w:b/>
                <w:bCs/>
              </w:rPr>
            </w:pPr>
            <w:r w:rsidRPr="00AE515B">
              <w:rPr>
                <w:b/>
                <w:bCs/>
              </w:rPr>
              <w:t>Result</w:t>
            </w:r>
          </w:p>
        </w:tc>
        <w:tc>
          <w:tcPr>
            <w:tcW w:w="0" w:type="auto"/>
            <w:vAlign w:val="center"/>
            <w:hideMark/>
          </w:tcPr>
          <w:p w14:paraId="7544DB9C" w14:textId="77777777" w:rsidR="00AE515B" w:rsidRPr="00AE515B" w:rsidRDefault="00AE515B" w:rsidP="00AE515B">
            <w:pPr>
              <w:rPr>
                <w:b/>
                <w:bCs/>
              </w:rPr>
            </w:pPr>
            <w:r w:rsidRPr="00AE515B">
              <w:rPr>
                <w:b/>
                <w:bCs/>
              </w:rPr>
              <w:t>Compliance</w:t>
            </w:r>
          </w:p>
        </w:tc>
      </w:tr>
      <w:tr w:rsidR="00AE515B" w:rsidRPr="00AE515B" w14:paraId="0F340056" w14:textId="77777777">
        <w:trPr>
          <w:tblCellSpacing w:w="15" w:type="dxa"/>
        </w:trPr>
        <w:tc>
          <w:tcPr>
            <w:tcW w:w="0" w:type="auto"/>
            <w:vAlign w:val="center"/>
            <w:hideMark/>
          </w:tcPr>
          <w:p w14:paraId="2BB4B281" w14:textId="77777777" w:rsidR="00AE515B" w:rsidRPr="00AE515B" w:rsidRDefault="00AE515B" w:rsidP="00AE515B">
            <w:proofErr w:type="spellStart"/>
            <w:r w:rsidRPr="00AE515B">
              <w:rPr>
                <w:b/>
                <w:bCs/>
              </w:rPr>
              <w:t>Pytest</w:t>
            </w:r>
            <w:proofErr w:type="spellEnd"/>
          </w:p>
        </w:tc>
        <w:tc>
          <w:tcPr>
            <w:tcW w:w="0" w:type="auto"/>
            <w:vAlign w:val="center"/>
            <w:hideMark/>
          </w:tcPr>
          <w:p w14:paraId="4E30B8A2" w14:textId="77777777" w:rsidR="00AE515B" w:rsidRPr="00AE515B" w:rsidRDefault="00AE515B" w:rsidP="00AE515B">
            <w:r w:rsidRPr="00AE515B">
              <w:t>All Tests Passed (ACL, PII, Injection)</w:t>
            </w:r>
          </w:p>
        </w:tc>
        <w:tc>
          <w:tcPr>
            <w:tcW w:w="0" w:type="auto"/>
            <w:vAlign w:val="center"/>
            <w:hideMark/>
          </w:tcPr>
          <w:p w14:paraId="3E27FA6A" w14:textId="77777777" w:rsidR="00AE515B" w:rsidRPr="00AE515B" w:rsidRDefault="00AE515B" w:rsidP="00AE515B">
            <w:r w:rsidRPr="00AE515B">
              <w:t>3/3 Passed</w:t>
            </w:r>
          </w:p>
        </w:tc>
        <w:tc>
          <w:tcPr>
            <w:tcW w:w="0" w:type="auto"/>
            <w:vAlign w:val="center"/>
            <w:hideMark/>
          </w:tcPr>
          <w:p w14:paraId="1EBE8D00" w14:textId="77777777" w:rsidR="00AE515B" w:rsidRPr="00AE515B" w:rsidRDefault="00AE515B" w:rsidP="00AE515B">
            <w:r w:rsidRPr="00AE515B">
              <w:rPr>
                <w:b/>
                <w:bCs/>
              </w:rPr>
              <w:t>PASS</w:t>
            </w:r>
          </w:p>
        </w:tc>
      </w:tr>
      <w:tr w:rsidR="00AE515B" w:rsidRPr="00AE515B" w14:paraId="38DEBC28" w14:textId="77777777">
        <w:trPr>
          <w:tblCellSpacing w:w="15" w:type="dxa"/>
        </w:trPr>
        <w:tc>
          <w:tcPr>
            <w:tcW w:w="0" w:type="auto"/>
            <w:vAlign w:val="center"/>
            <w:hideMark/>
          </w:tcPr>
          <w:p w14:paraId="58FD93B8" w14:textId="77777777" w:rsidR="00AE515B" w:rsidRPr="00AE515B" w:rsidRDefault="00AE515B" w:rsidP="00AE515B">
            <w:r w:rsidRPr="00AE515B">
              <w:rPr>
                <w:b/>
                <w:bCs/>
              </w:rPr>
              <w:t>Red-Team</w:t>
            </w:r>
          </w:p>
        </w:tc>
        <w:tc>
          <w:tcPr>
            <w:tcW w:w="0" w:type="auto"/>
            <w:vAlign w:val="center"/>
            <w:hideMark/>
          </w:tcPr>
          <w:p w14:paraId="1318E7B1" w14:textId="77777777" w:rsidR="00AE515B" w:rsidRPr="00AE515B" w:rsidRDefault="00AE515B" w:rsidP="00AE515B">
            <w:r w:rsidRPr="00AE515B">
              <w:t>Blocking Rate</w:t>
            </w:r>
          </w:p>
        </w:tc>
        <w:tc>
          <w:tcPr>
            <w:tcW w:w="0" w:type="auto"/>
            <w:vAlign w:val="center"/>
            <w:hideMark/>
          </w:tcPr>
          <w:p w14:paraId="3D7D2FB7" w14:textId="77777777" w:rsidR="00AE515B" w:rsidRPr="00AE515B" w:rsidRDefault="00AE515B" w:rsidP="00AE515B">
            <w:r w:rsidRPr="00AE515B">
              <w:t>Blocked</w:t>
            </w:r>
          </w:p>
        </w:tc>
        <w:tc>
          <w:tcPr>
            <w:tcW w:w="0" w:type="auto"/>
            <w:vAlign w:val="center"/>
            <w:hideMark/>
          </w:tcPr>
          <w:p w14:paraId="069C6516" w14:textId="77777777" w:rsidR="00AE515B" w:rsidRPr="00AE515B" w:rsidRDefault="00AE515B" w:rsidP="00AE515B">
            <w:r w:rsidRPr="00AE515B">
              <w:rPr>
                <w:b/>
                <w:bCs/>
              </w:rPr>
              <w:t>PASS</w:t>
            </w:r>
          </w:p>
        </w:tc>
      </w:tr>
      <w:tr w:rsidR="00AE515B" w:rsidRPr="00AE515B" w14:paraId="14FE3982" w14:textId="77777777">
        <w:trPr>
          <w:tblCellSpacing w:w="15" w:type="dxa"/>
        </w:trPr>
        <w:tc>
          <w:tcPr>
            <w:tcW w:w="0" w:type="auto"/>
            <w:vAlign w:val="center"/>
            <w:hideMark/>
          </w:tcPr>
          <w:p w14:paraId="53E52917" w14:textId="77777777" w:rsidR="00AE515B" w:rsidRPr="00AE515B" w:rsidRDefault="00AE515B" w:rsidP="00AE515B">
            <w:r w:rsidRPr="00AE515B">
              <w:rPr>
                <w:b/>
                <w:bCs/>
              </w:rPr>
              <w:t>Evaluation Harness</w:t>
            </w:r>
          </w:p>
        </w:tc>
        <w:tc>
          <w:tcPr>
            <w:tcW w:w="0" w:type="auto"/>
            <w:vAlign w:val="center"/>
            <w:hideMark/>
          </w:tcPr>
          <w:p w14:paraId="19663A0A" w14:textId="77777777" w:rsidR="00AE515B" w:rsidRPr="00AE515B" w:rsidRDefault="00AE515B" w:rsidP="00AE515B">
            <w:r w:rsidRPr="00AE515B">
              <w:t>Citation Fidelity</w:t>
            </w:r>
          </w:p>
        </w:tc>
        <w:tc>
          <w:tcPr>
            <w:tcW w:w="0" w:type="auto"/>
            <w:vAlign w:val="center"/>
            <w:hideMark/>
          </w:tcPr>
          <w:p w14:paraId="01CD4D94" w14:textId="77777777" w:rsidR="00AE515B" w:rsidRPr="00AE515B" w:rsidRDefault="00AE515B" w:rsidP="00AE515B"/>
        </w:tc>
        <w:tc>
          <w:tcPr>
            <w:tcW w:w="0" w:type="auto"/>
            <w:vAlign w:val="center"/>
            <w:hideMark/>
          </w:tcPr>
          <w:p w14:paraId="3C25E63B" w14:textId="77777777" w:rsidR="00AE515B" w:rsidRPr="00AE515B" w:rsidRDefault="00AE515B" w:rsidP="00AE515B"/>
        </w:tc>
      </w:tr>
    </w:tbl>
    <w:p w14:paraId="77F0F30F" w14:textId="77777777" w:rsidR="00AE515B" w:rsidRPr="00AE515B" w:rsidRDefault="00AE515B" w:rsidP="00AE515B">
      <w:pPr>
        <w:rPr>
          <w:b/>
          <w:bCs/>
        </w:rPr>
      </w:pPr>
      <w:r w:rsidRPr="00AE515B">
        <w:rPr>
          <w:b/>
          <w:bCs/>
        </w:rPr>
        <w:t>5.2. Limitations and Ethical Considerations</w:t>
      </w:r>
    </w:p>
    <w:p w14:paraId="71A9878C" w14:textId="77777777" w:rsidR="00AE515B" w:rsidRPr="00AE515B" w:rsidRDefault="00AE515B" w:rsidP="00AE515B">
      <w:pPr>
        <w:numPr>
          <w:ilvl w:val="0"/>
          <w:numId w:val="4"/>
        </w:numPr>
      </w:pPr>
      <w:r w:rsidRPr="00AE515B">
        <w:rPr>
          <w:b/>
          <w:bCs/>
        </w:rPr>
        <w:t>PII Ambiguity:</w:t>
      </w:r>
      <w:r w:rsidRPr="00AE515B">
        <w:t xml:space="preserve"> Masking relies purely on deterministic regex. Non-standard PII formatting can bypass the guard.</w:t>
      </w:r>
    </w:p>
    <w:p w14:paraId="0FC204DE" w14:textId="77777777" w:rsidR="00AE515B" w:rsidRPr="00AE515B" w:rsidRDefault="00AE515B" w:rsidP="00AE515B">
      <w:pPr>
        <w:numPr>
          <w:ilvl w:val="0"/>
          <w:numId w:val="4"/>
        </w:numPr>
      </w:pPr>
      <w:r w:rsidRPr="00AE515B">
        <w:rPr>
          <w:b/>
          <w:bCs/>
        </w:rPr>
        <w:t>LLM Hallucination:</w:t>
      </w:r>
      <w:r w:rsidRPr="00AE515B">
        <w:t xml:space="preserve"> The LLM's adherence to format is non-deterministic; the Controller's final security check remains essential to enforce compliance.</w:t>
      </w:r>
    </w:p>
    <w:p w14:paraId="214167A1" w14:textId="77777777" w:rsidR="00AE515B" w:rsidRPr="00AE515B" w:rsidRDefault="00AE515B" w:rsidP="00AE515B">
      <w:r w:rsidRPr="00AE515B">
        <w:rPr>
          <w:b/>
          <w:bCs/>
        </w:rPr>
        <w:t>Compliance Statement:</w:t>
      </w:r>
      <w:r w:rsidRPr="00AE515B">
        <w:t xml:space="preserve"> All security measures are enforced before data is passed to the LLM, ensuring the system adheres strictly to the non-leakage and tenant isolation requirements of the assignment.</w:t>
      </w:r>
    </w:p>
    <w:p w14:paraId="2039136E" w14:textId="27FBEADC" w:rsidR="00422155" w:rsidRDefault="002179DB">
      <w:pPr>
        <w:rPr>
          <w:b/>
          <w:bCs/>
          <w:u w:val="single"/>
        </w:rPr>
      </w:pPr>
      <w:r w:rsidRPr="002179DB">
        <w:rPr>
          <w:b/>
          <w:bCs/>
          <w:u w:val="single"/>
        </w:rPr>
        <w:t>SCREENSHOTS OF ALL OUTPUTS</w:t>
      </w:r>
    </w:p>
    <w:p w14:paraId="450DA847" w14:textId="63EBB7AE" w:rsidR="002179DB" w:rsidRPr="002179DB" w:rsidRDefault="002179DB">
      <w:pPr>
        <w:rPr>
          <w:b/>
          <w:bCs/>
          <w:u w:val="single"/>
        </w:rPr>
      </w:pPr>
      <w:r>
        <w:rPr>
          <w:b/>
          <w:bCs/>
          <w:noProof/>
          <w:u w:val="single"/>
        </w:rPr>
        <w:lastRenderedPageBreak/>
        <w:drawing>
          <wp:inline distT="0" distB="0" distL="0" distR="0" wp14:anchorId="68F5F231" wp14:editId="6B2A953C">
            <wp:extent cx="5943600" cy="976630"/>
            <wp:effectExtent l="0" t="0" r="0" b="0"/>
            <wp:docPr id="1588099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099740" name="Picture 1588099740"/>
                    <pic:cNvPicPr/>
                  </pic:nvPicPr>
                  <pic:blipFill>
                    <a:blip r:embed="rId5">
                      <a:extLst>
                        <a:ext uri="{28A0092B-C50C-407E-A947-70E740481C1C}">
                          <a14:useLocalDpi xmlns:a14="http://schemas.microsoft.com/office/drawing/2010/main" val="0"/>
                        </a:ext>
                      </a:extLst>
                    </a:blip>
                    <a:stretch>
                      <a:fillRect/>
                    </a:stretch>
                  </pic:blipFill>
                  <pic:spPr>
                    <a:xfrm>
                      <a:off x="0" y="0"/>
                      <a:ext cx="5943600" cy="976630"/>
                    </a:xfrm>
                    <a:prstGeom prst="rect">
                      <a:avLst/>
                    </a:prstGeom>
                  </pic:spPr>
                </pic:pic>
              </a:graphicData>
            </a:graphic>
          </wp:inline>
        </w:drawing>
      </w:r>
      <w:r>
        <w:rPr>
          <w:b/>
          <w:bCs/>
          <w:noProof/>
          <w:u w:val="single"/>
        </w:rPr>
        <w:drawing>
          <wp:inline distT="0" distB="0" distL="0" distR="0" wp14:anchorId="1977DB96" wp14:editId="5401C773">
            <wp:extent cx="3410426" cy="4344006"/>
            <wp:effectExtent l="0" t="0" r="0" b="0"/>
            <wp:docPr id="6489083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908335" name="Picture 648908335"/>
                    <pic:cNvPicPr/>
                  </pic:nvPicPr>
                  <pic:blipFill>
                    <a:blip r:embed="rId6">
                      <a:extLst>
                        <a:ext uri="{28A0092B-C50C-407E-A947-70E740481C1C}">
                          <a14:useLocalDpi xmlns:a14="http://schemas.microsoft.com/office/drawing/2010/main" val="0"/>
                        </a:ext>
                      </a:extLst>
                    </a:blip>
                    <a:stretch>
                      <a:fillRect/>
                    </a:stretch>
                  </pic:blipFill>
                  <pic:spPr>
                    <a:xfrm>
                      <a:off x="0" y="0"/>
                      <a:ext cx="3410426" cy="4344006"/>
                    </a:xfrm>
                    <a:prstGeom prst="rect">
                      <a:avLst/>
                    </a:prstGeom>
                  </pic:spPr>
                </pic:pic>
              </a:graphicData>
            </a:graphic>
          </wp:inline>
        </w:drawing>
      </w:r>
      <w:r>
        <w:rPr>
          <w:b/>
          <w:bCs/>
          <w:noProof/>
          <w:u w:val="single"/>
        </w:rPr>
        <w:drawing>
          <wp:inline distT="0" distB="0" distL="0" distR="0" wp14:anchorId="00362B22" wp14:editId="72DB0F71">
            <wp:extent cx="5943600" cy="1539240"/>
            <wp:effectExtent l="0" t="0" r="0" b="3810"/>
            <wp:docPr id="6611190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119039" name="Picture 661119039"/>
                    <pic:cNvPicPr/>
                  </pic:nvPicPr>
                  <pic:blipFill>
                    <a:blip r:embed="rId7">
                      <a:extLst>
                        <a:ext uri="{28A0092B-C50C-407E-A947-70E740481C1C}">
                          <a14:useLocalDpi xmlns:a14="http://schemas.microsoft.com/office/drawing/2010/main" val="0"/>
                        </a:ext>
                      </a:extLst>
                    </a:blip>
                    <a:stretch>
                      <a:fillRect/>
                    </a:stretch>
                  </pic:blipFill>
                  <pic:spPr>
                    <a:xfrm>
                      <a:off x="0" y="0"/>
                      <a:ext cx="5943600" cy="1539240"/>
                    </a:xfrm>
                    <a:prstGeom prst="rect">
                      <a:avLst/>
                    </a:prstGeom>
                  </pic:spPr>
                </pic:pic>
              </a:graphicData>
            </a:graphic>
          </wp:inline>
        </w:drawing>
      </w:r>
      <w:r>
        <w:rPr>
          <w:b/>
          <w:bCs/>
          <w:noProof/>
          <w:u w:val="single"/>
        </w:rPr>
        <w:lastRenderedPageBreak/>
        <w:drawing>
          <wp:inline distT="0" distB="0" distL="0" distR="0" wp14:anchorId="6C6DE051" wp14:editId="7B0CFCC6">
            <wp:extent cx="5943600" cy="4356735"/>
            <wp:effectExtent l="0" t="0" r="0" b="5715"/>
            <wp:docPr id="7864931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493172" name="Picture 786493172"/>
                    <pic:cNvPicPr/>
                  </pic:nvPicPr>
                  <pic:blipFill>
                    <a:blip r:embed="rId8">
                      <a:extLst>
                        <a:ext uri="{28A0092B-C50C-407E-A947-70E740481C1C}">
                          <a14:useLocalDpi xmlns:a14="http://schemas.microsoft.com/office/drawing/2010/main" val="0"/>
                        </a:ext>
                      </a:extLst>
                    </a:blip>
                    <a:stretch>
                      <a:fillRect/>
                    </a:stretch>
                  </pic:blipFill>
                  <pic:spPr>
                    <a:xfrm>
                      <a:off x="0" y="0"/>
                      <a:ext cx="5943600" cy="4356735"/>
                    </a:xfrm>
                    <a:prstGeom prst="rect">
                      <a:avLst/>
                    </a:prstGeom>
                  </pic:spPr>
                </pic:pic>
              </a:graphicData>
            </a:graphic>
          </wp:inline>
        </w:drawing>
      </w:r>
      <w:r>
        <w:rPr>
          <w:b/>
          <w:bCs/>
          <w:noProof/>
          <w:u w:val="single"/>
        </w:rPr>
        <w:drawing>
          <wp:inline distT="0" distB="0" distL="0" distR="0" wp14:anchorId="46573826" wp14:editId="3C4A380F">
            <wp:extent cx="5943600" cy="345440"/>
            <wp:effectExtent l="0" t="0" r="0" b="0"/>
            <wp:docPr id="17779454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945406" name="Picture 1777945406"/>
                    <pic:cNvPicPr/>
                  </pic:nvPicPr>
                  <pic:blipFill>
                    <a:blip r:embed="rId9">
                      <a:extLst>
                        <a:ext uri="{28A0092B-C50C-407E-A947-70E740481C1C}">
                          <a14:useLocalDpi xmlns:a14="http://schemas.microsoft.com/office/drawing/2010/main" val="0"/>
                        </a:ext>
                      </a:extLst>
                    </a:blip>
                    <a:stretch>
                      <a:fillRect/>
                    </a:stretch>
                  </pic:blipFill>
                  <pic:spPr>
                    <a:xfrm>
                      <a:off x="0" y="0"/>
                      <a:ext cx="5943600" cy="345440"/>
                    </a:xfrm>
                    <a:prstGeom prst="rect">
                      <a:avLst/>
                    </a:prstGeom>
                  </pic:spPr>
                </pic:pic>
              </a:graphicData>
            </a:graphic>
          </wp:inline>
        </w:drawing>
      </w:r>
      <w:r>
        <w:rPr>
          <w:b/>
          <w:bCs/>
          <w:noProof/>
          <w:u w:val="single"/>
        </w:rPr>
        <w:lastRenderedPageBreak/>
        <w:drawing>
          <wp:inline distT="0" distB="0" distL="0" distR="0" wp14:anchorId="78E3B662" wp14:editId="0655624E">
            <wp:extent cx="5943600" cy="2286000"/>
            <wp:effectExtent l="0" t="0" r="0" b="0"/>
            <wp:docPr id="3171358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135868" name="Picture 317135868"/>
                    <pic:cNvPicPr/>
                  </pic:nvPicPr>
                  <pic:blipFill>
                    <a:blip r:embed="rId10">
                      <a:extLst>
                        <a:ext uri="{28A0092B-C50C-407E-A947-70E740481C1C}">
                          <a14:useLocalDpi xmlns:a14="http://schemas.microsoft.com/office/drawing/2010/main" val="0"/>
                        </a:ext>
                      </a:extLst>
                    </a:blip>
                    <a:stretch>
                      <a:fillRect/>
                    </a:stretch>
                  </pic:blipFill>
                  <pic:spPr>
                    <a:xfrm>
                      <a:off x="0" y="0"/>
                      <a:ext cx="5943600" cy="2286000"/>
                    </a:xfrm>
                    <a:prstGeom prst="rect">
                      <a:avLst/>
                    </a:prstGeom>
                  </pic:spPr>
                </pic:pic>
              </a:graphicData>
            </a:graphic>
          </wp:inline>
        </w:drawing>
      </w:r>
      <w:r>
        <w:rPr>
          <w:b/>
          <w:bCs/>
          <w:noProof/>
          <w:u w:val="single"/>
        </w:rPr>
        <w:drawing>
          <wp:inline distT="0" distB="0" distL="0" distR="0" wp14:anchorId="64F27828" wp14:editId="14A90F6C">
            <wp:extent cx="5943600" cy="3037840"/>
            <wp:effectExtent l="0" t="0" r="0" b="0"/>
            <wp:docPr id="6564845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484568" name="Picture 656484568"/>
                    <pic:cNvPicPr/>
                  </pic:nvPicPr>
                  <pic:blipFill>
                    <a:blip r:embed="rId11">
                      <a:extLst>
                        <a:ext uri="{28A0092B-C50C-407E-A947-70E740481C1C}">
                          <a14:useLocalDpi xmlns:a14="http://schemas.microsoft.com/office/drawing/2010/main" val="0"/>
                        </a:ext>
                      </a:extLst>
                    </a:blip>
                    <a:stretch>
                      <a:fillRect/>
                    </a:stretch>
                  </pic:blipFill>
                  <pic:spPr>
                    <a:xfrm>
                      <a:off x="0" y="0"/>
                      <a:ext cx="5943600" cy="3037840"/>
                    </a:xfrm>
                    <a:prstGeom prst="rect">
                      <a:avLst/>
                    </a:prstGeom>
                  </pic:spPr>
                </pic:pic>
              </a:graphicData>
            </a:graphic>
          </wp:inline>
        </w:drawing>
      </w:r>
    </w:p>
    <w:p w14:paraId="3C900677" w14:textId="77777777" w:rsidR="002179DB" w:rsidRDefault="002179DB"/>
    <w:sectPr w:rsidR="002179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151D83"/>
    <w:multiLevelType w:val="multilevel"/>
    <w:tmpl w:val="ADE01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2E44696"/>
    <w:multiLevelType w:val="multilevel"/>
    <w:tmpl w:val="3384D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2249DC"/>
    <w:multiLevelType w:val="multilevel"/>
    <w:tmpl w:val="95184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BF59C5"/>
    <w:multiLevelType w:val="multilevel"/>
    <w:tmpl w:val="43A221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0894266">
    <w:abstractNumId w:val="0"/>
  </w:num>
  <w:num w:numId="2" w16cid:durableId="1701390340">
    <w:abstractNumId w:val="3"/>
  </w:num>
  <w:num w:numId="3" w16cid:durableId="2025285735">
    <w:abstractNumId w:val="2"/>
  </w:num>
  <w:num w:numId="4" w16cid:durableId="18864825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15B"/>
    <w:rsid w:val="002179DB"/>
    <w:rsid w:val="002D0C5B"/>
    <w:rsid w:val="00422155"/>
    <w:rsid w:val="0044146A"/>
    <w:rsid w:val="009534E3"/>
    <w:rsid w:val="00AE515B"/>
    <w:rsid w:val="00DC5D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1544E"/>
  <w15:chartTrackingRefBased/>
  <w15:docId w15:val="{6DDD0B4A-0EBB-42B9-BE80-D25E10AA7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51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51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51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51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51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51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51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51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51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51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51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51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51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51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51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51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51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515B"/>
    <w:rPr>
      <w:rFonts w:eastAsiaTheme="majorEastAsia" w:cstheme="majorBidi"/>
      <w:color w:val="272727" w:themeColor="text1" w:themeTint="D8"/>
    </w:rPr>
  </w:style>
  <w:style w:type="paragraph" w:styleId="Title">
    <w:name w:val="Title"/>
    <w:basedOn w:val="Normal"/>
    <w:next w:val="Normal"/>
    <w:link w:val="TitleChar"/>
    <w:uiPriority w:val="10"/>
    <w:qFormat/>
    <w:rsid w:val="00AE51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51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51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51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515B"/>
    <w:pPr>
      <w:spacing w:before="160"/>
      <w:jc w:val="center"/>
    </w:pPr>
    <w:rPr>
      <w:i/>
      <w:iCs/>
      <w:color w:val="404040" w:themeColor="text1" w:themeTint="BF"/>
    </w:rPr>
  </w:style>
  <w:style w:type="character" w:customStyle="1" w:styleId="QuoteChar">
    <w:name w:val="Quote Char"/>
    <w:basedOn w:val="DefaultParagraphFont"/>
    <w:link w:val="Quote"/>
    <w:uiPriority w:val="29"/>
    <w:rsid w:val="00AE515B"/>
    <w:rPr>
      <w:i/>
      <w:iCs/>
      <w:color w:val="404040" w:themeColor="text1" w:themeTint="BF"/>
    </w:rPr>
  </w:style>
  <w:style w:type="paragraph" w:styleId="ListParagraph">
    <w:name w:val="List Paragraph"/>
    <w:basedOn w:val="Normal"/>
    <w:uiPriority w:val="34"/>
    <w:qFormat/>
    <w:rsid w:val="00AE515B"/>
    <w:pPr>
      <w:ind w:left="720"/>
      <w:contextualSpacing/>
    </w:pPr>
  </w:style>
  <w:style w:type="character" w:styleId="IntenseEmphasis">
    <w:name w:val="Intense Emphasis"/>
    <w:basedOn w:val="DefaultParagraphFont"/>
    <w:uiPriority w:val="21"/>
    <w:qFormat/>
    <w:rsid w:val="00AE515B"/>
    <w:rPr>
      <w:i/>
      <w:iCs/>
      <w:color w:val="0F4761" w:themeColor="accent1" w:themeShade="BF"/>
    </w:rPr>
  </w:style>
  <w:style w:type="paragraph" w:styleId="IntenseQuote">
    <w:name w:val="Intense Quote"/>
    <w:basedOn w:val="Normal"/>
    <w:next w:val="Normal"/>
    <w:link w:val="IntenseQuoteChar"/>
    <w:uiPriority w:val="30"/>
    <w:qFormat/>
    <w:rsid w:val="00AE51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515B"/>
    <w:rPr>
      <w:i/>
      <w:iCs/>
      <w:color w:val="0F4761" w:themeColor="accent1" w:themeShade="BF"/>
    </w:rPr>
  </w:style>
  <w:style w:type="character" w:styleId="IntenseReference">
    <w:name w:val="Intense Reference"/>
    <w:basedOn w:val="DefaultParagraphFont"/>
    <w:uiPriority w:val="32"/>
    <w:qFormat/>
    <w:rsid w:val="00AE51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879</Words>
  <Characters>5014</Characters>
  <Application>Microsoft Office Word</Application>
  <DocSecurity>0</DocSecurity>
  <Lines>41</Lines>
  <Paragraphs>11</Paragraphs>
  <ScaleCrop>false</ScaleCrop>
  <Company/>
  <LinksUpToDate>false</LinksUpToDate>
  <CharactersWithSpaces>5882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Maida Shahzad</dc:creator>
  <cp:keywords/>
  <dc:description/>
  <cp:lastModifiedBy>Maida Shahzad</cp:lastModifiedBy>
  <cp:revision>2</cp:revision>
  <dcterms:created xsi:type="dcterms:W3CDTF">2025-10-13T15:58:00Z</dcterms:created>
  <dcterms:modified xsi:type="dcterms:W3CDTF">2025-10-13T16:00:00Z</dcterms:modified>
</cp:coreProperties>
</file>