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color w:val="4B5563"/>
          <w:sz w:val="20"/>
        </w:rPr>
        <w:t>SOCIALIST REPUBLIC OF VIETNAM</w:t>
        <w:br/>
        <w:t>Independence - Freedom - Happiness</w:t>
        <w:br/>
      </w:r>
      <w:r>
        <w:rPr>
          <w:rFonts w:ascii="Times New Roman" w:hAnsi="Times New Roman"/>
          <w:color w:val="6B7280"/>
          <w:sz w:val="20"/>
        </w:rPr>
        <w:t>-------------------o0o-------------------</w:t>
      </w:r>
    </w:p>
    <w:p>
      <w:pPr>
        <w:spacing w:before="200" w:after="80"/>
        <w:jc w:val="center"/>
      </w:pPr>
      <w:r>
        <w:rPr>
          <w:rFonts w:ascii="Times New Roman" w:hAnsi="Times New Roman"/>
          <w:b/>
          <w:color w:val="0F294A"/>
          <w:sz w:val="28"/>
        </w:rPr>
        <w:t>HỢP ĐỒNG DỊCH VỤ VẬN CHUYỂN NGỰA ĐUA CHUYÊN DỤNG</w:t>
        <w:br/>
        <w:t>(KÝ KẾT ĐIỆN TỬ QUA ỨNG DỤNG)</w:t>
        <w:br/>
      </w:r>
      <w:r>
        <w:rPr>
          <w:rFonts w:ascii="Times New Roman" w:hAnsi="Times New Roman"/>
          <w:b/>
          <w:i/>
          <w:color w:val="1E3A8A"/>
          <w:sz w:val="23"/>
        </w:rPr>
        <w:t>ELECTRONIC SPECIALIZED RACEHORSE TRANSPORT SERVICE AGREEMENT</w:t>
      </w:r>
    </w:p>
    <w:tbl>
      <w:tblPr>
        <w:tblW w:type="auto" w:w="0"/>
        <w:jc w:val="center"/>
        <w:tblLayout w:type="fixed"/>
        <w:tblLook w:firstColumn="1" w:firstRow="1" w:lastColumn="0" w:lastRow="0" w:noHBand="0" w:noVBand="1" w:val="04A0"/>
      </w:tblPr>
      <w:tblGrid>
        <w:gridCol w:w="4680"/>
        <w:gridCol w:w="4680"/>
      </w:tblGrid>
      <w:tr>
        <w:tc>
          <w:tcPr>
            <w:tcW w:type="dxa" w:w="4677"/>
            <w:shd w:fill="F9FAFB"/>
            <w:tcMar>
              <w:top w:w="80" w:type="dxa"/>
              <w:bottom w:w="80" w:type="dxa"/>
              <w:left w:w="120" w:type="dxa"/>
              <w:right w:w="120" w:type="dxa"/>
            </w:tcMar>
            <w:tcBorders>
              <w:top w:val="single" w:sz="4" w:space="0" w:color="E5E7EB"/>
              <w:left w:val="single" w:sz="4" w:space="0" w:color="E5E7EB"/>
              <w:bottom w:val="single" w:sz="4" w:space="0" w:color="E5E7EB"/>
              <w:right w:val="single" w:sz="4" w:space="0" w:color="E5E7EB"/>
              <w:insideH w:val="none"/>
              <w:insideV w:val="none"/>
            </w:tcBorders>
          </w:tcPr>
          <w:p>
            <w:pPr>
              <w:spacing w:after="20"/>
            </w:pPr>
            <w:r>
              <w:rPr>
                <w:rFonts w:ascii="Times New Roman" w:hAnsi="Times New Roman"/>
                <w:b/>
                <w:sz w:val="19"/>
              </w:rPr>
              <w:t xml:space="preserve">• Mã Hợp Đồng (Contract Code): </w:t>
            </w:r>
            <w:r>
              <w:rPr>
                <w:rFonts w:ascii="Times New Roman" w:hAnsi="Times New Roman"/>
                <w:b/>
                <w:color w:val="1E3A8A"/>
                <w:sz w:val="20"/>
              </w:rPr>
              <w:t>{{CONTRACT_CODE}}</w:t>
            </w:r>
          </w:p>
        </w:tc>
        <w:tc>
          <w:tcPr>
            <w:tcW w:type="dxa" w:w="4677"/>
            <w:shd w:fill="F9FAFB"/>
            <w:tcMar>
              <w:top w:w="80" w:type="dxa"/>
              <w:bottom w:w="80" w:type="dxa"/>
              <w:left w:w="120" w:type="dxa"/>
              <w:right w:w="120" w:type="dxa"/>
            </w:tcMar>
            <w:tcBorders>
              <w:top w:val="single" w:sz="4" w:space="0" w:color="E5E7EB"/>
              <w:left w:val="single" w:sz="4" w:space="0" w:color="E5E7EB"/>
              <w:bottom w:val="single" w:sz="4" w:space="0" w:color="E5E7EB"/>
              <w:right w:val="single" w:sz="4" w:space="0" w:color="E5E7EB"/>
              <w:insideH w:val="none"/>
              <w:insideV w:val="none"/>
            </w:tcBorders>
          </w:tcPr>
          <w:p>
            <w:pPr>
              <w:spacing w:after="20"/>
            </w:pPr>
            <w:r>
              <w:rPr>
                <w:rFonts w:ascii="Times New Roman" w:hAnsi="Times New Roman"/>
                <w:b/>
                <w:sz w:val="19"/>
              </w:rPr>
              <w:t xml:space="preserve">• Mã Kế Hoạch Chuyến Đi (Trip ID): </w:t>
            </w:r>
            <w:r>
              <w:rPr>
                <w:rFonts w:ascii="Times New Roman" w:hAnsi="Times New Roman"/>
                <w:b/>
                <w:color w:val="1E3A8A"/>
                <w:sz w:val="20"/>
              </w:rPr>
              <w:t>{{TRIP_ID}}</w:t>
            </w:r>
          </w:p>
        </w:tc>
      </w:tr>
      <w:tr>
        <w:tc>
          <w:tcPr>
            <w:tcW w:type="dxa" w:w="4677"/>
            <w:shd w:fill="F9FAFB"/>
            <w:tcMar>
              <w:top w:w="80" w:type="dxa"/>
              <w:bottom w:w="80" w:type="dxa"/>
              <w:left w:w="120" w:type="dxa"/>
              <w:right w:w="120" w:type="dxa"/>
            </w:tcMar>
            <w:tcBorders>
              <w:top w:val="single" w:sz="4" w:space="0" w:color="E5E7EB"/>
              <w:left w:val="single" w:sz="4" w:space="0" w:color="E5E7EB"/>
              <w:bottom w:val="single" w:sz="4" w:space="0" w:color="E5E7EB"/>
              <w:right w:val="single" w:sz="4" w:space="0" w:color="E5E7EB"/>
              <w:insideH w:val="none"/>
              <w:insideV w:val="none"/>
            </w:tcBorders>
          </w:tcPr>
          <w:p>
            <w:pPr>
              <w:spacing w:after="20"/>
            </w:pPr>
            <w:r>
              <w:rPr>
                <w:rFonts w:ascii="Times New Roman" w:hAnsi="Times New Roman"/>
                <w:b/>
                <w:sz w:val="19"/>
              </w:rPr>
              <w:t xml:space="preserve">• Mã Yêu Cầu Đặt Chỗ (Request ID): </w:t>
            </w:r>
            <w:r>
              <w:rPr>
                <w:rFonts w:ascii="Times New Roman" w:hAnsi="Times New Roman"/>
                <w:b/>
                <w:color w:val="1E3A8A"/>
                <w:sz w:val="20"/>
              </w:rPr>
              <w:t>{{REQUEST_ID}}</w:t>
            </w:r>
          </w:p>
        </w:tc>
        <w:tc>
          <w:tcPr>
            <w:tcW w:type="dxa" w:w="4677"/>
            <w:shd w:fill="F9FAFB"/>
            <w:tcMar>
              <w:top w:w="80" w:type="dxa"/>
              <w:bottom w:w="80" w:type="dxa"/>
              <w:left w:w="120" w:type="dxa"/>
              <w:right w:w="120" w:type="dxa"/>
            </w:tcMar>
            <w:tcBorders>
              <w:top w:val="single" w:sz="4" w:space="0" w:color="E5E7EB"/>
              <w:left w:val="single" w:sz="4" w:space="0" w:color="E5E7EB"/>
              <w:bottom w:val="single" w:sz="4" w:space="0" w:color="E5E7EB"/>
              <w:right w:val="single" w:sz="4" w:space="0" w:color="E5E7EB"/>
              <w:insideH w:val="none"/>
              <w:insideV w:val="none"/>
            </w:tcBorders>
          </w:tcPr>
          <w:p>
            <w:pPr>
              <w:spacing w:after="20"/>
            </w:pPr>
            <w:r>
              <w:rPr>
                <w:rFonts w:ascii="Times New Roman" w:hAnsi="Times New Roman"/>
                <w:b/>
                <w:sz w:val="19"/>
              </w:rPr>
              <w:t xml:space="preserve">• Thời Điểm Lập Hợp Đồng (Creation Date): </w:t>
            </w:r>
            <w:r>
              <w:rPr>
                <w:rFonts w:ascii="Times New Roman" w:hAnsi="Times New Roman"/>
                <w:b/>
                <w:color w:val="1E3A8A"/>
                <w:sz w:val="20"/>
              </w:rPr>
              <w:t>{{CREATED_DATE}}</w:t>
            </w:r>
          </w:p>
        </w:tc>
      </w:tr>
    </w:tbl>
    <w:p>
      <w:pPr>
        <w:spacing w:after="40"/>
      </w:pPr>
    </w:p>
    <w:p>
      <w:pPr>
        <w:spacing w:after="60" w:line="276" w:lineRule="auto"/>
      </w:pPr>
      <w:r>
        <w:rPr>
          <w:rFonts w:ascii="Times New Roman" w:hAnsi="Times New Roman"/>
          <w:color w:val="111827"/>
          <w:sz w:val="22"/>
        </w:rPr>
        <w:t>Hôm nay, ngày {{SIGNING_DAY}} tháng {{SIGNING_MONTH}} năm {{SIGNING_YEAR}}, thông qua Nền tảng Ứng dụng Di động / Hệ thống Điều phối Vận tải Ngựa đua Trực tuyến, Hợp đồng này được giao kết hợp pháp giữa các Bên dưới đây căn cứ theo:</w:t>
        <w:br/>
      </w:r>
      <w:r>
        <w:rPr>
          <w:rFonts w:ascii="Times New Roman" w:hAnsi="Times New Roman"/>
          <w:i/>
          <w:color w:val="4B5563"/>
          <w:sz w:val="19"/>
        </w:rPr>
        <w:t>Today, on {{SIGNING_DATE}}, through the Online Racehorse Transport Mobile Application / Dispatch Platform, this Agreement is legally entered into by and between the Parties hereunder based upon:</w:t>
      </w:r>
    </w:p>
    <w:p>
      <w:pPr>
        <w:spacing w:after="40" w:line="276" w:lineRule="auto"/>
        <w:ind w:left="360"/>
      </w:pPr>
      <w:r>
        <w:rPr>
          <w:rFonts w:ascii="Times New Roman" w:hAnsi="Times New Roman"/>
          <w:color w:val="111827"/>
          <w:sz w:val="22"/>
        </w:rPr>
        <w:t>- Bộ luật Dân sự số 91/2015/QH13 của Quốc hội Nước Cộng hòa Xã hội Chủ nghĩa Việt Nam;</w:t>
        <w:br/>
      </w:r>
      <w:r>
        <w:rPr>
          <w:rFonts w:ascii="Times New Roman" w:hAnsi="Times New Roman"/>
          <w:i/>
          <w:color w:val="4B5563"/>
          <w:sz w:val="19"/>
        </w:rPr>
        <w:t>- The Civil Code No. 91/2015/QH13 of the National Assembly of Vietnam;</w:t>
      </w:r>
    </w:p>
    <w:p>
      <w:pPr>
        <w:spacing w:after="40" w:line="276" w:lineRule="auto"/>
        <w:ind w:left="360"/>
      </w:pPr>
      <w:r>
        <w:rPr>
          <w:rFonts w:ascii="Times New Roman" w:hAnsi="Times New Roman"/>
          <w:color w:val="111827"/>
          <w:sz w:val="22"/>
        </w:rPr>
        <w:t>- Luật Thương mại số 36/2005/QH11 và Luật Giao thông Đường bộ hiện hành;</w:t>
        <w:br/>
      </w:r>
      <w:r>
        <w:rPr>
          <w:rFonts w:ascii="Times New Roman" w:hAnsi="Times New Roman"/>
          <w:i/>
          <w:color w:val="4B5563"/>
          <w:sz w:val="19"/>
        </w:rPr>
        <w:t>- The Commercial Law No. 36/2005/QH11 and prevailing Road Traffic Laws;</w:t>
      </w:r>
    </w:p>
    <w:p>
      <w:pPr>
        <w:spacing w:after="40" w:line="276" w:lineRule="auto"/>
        <w:ind w:left="360"/>
      </w:pPr>
      <w:r>
        <w:rPr>
          <w:rFonts w:ascii="Times New Roman" w:hAnsi="Times New Roman"/>
          <w:color w:val="111827"/>
          <w:sz w:val="22"/>
        </w:rPr>
        <w:t>- Luật Giao dịch điện tử số 20/2023/QH15 điều chỉnh về giá trị pháp lý của hợp đồng và chữ ký số;</w:t>
        <w:br/>
      </w:r>
      <w:r>
        <w:rPr>
          <w:rFonts w:ascii="Times New Roman" w:hAnsi="Times New Roman"/>
          <w:i/>
          <w:color w:val="4B5563"/>
          <w:sz w:val="19"/>
        </w:rPr>
        <w:t>- The Law on Electronic Transactions No. 20/2023/QH15 governing legal validity of electronic contracts and digital signatures;</w:t>
      </w:r>
    </w:p>
    <w:p>
      <w:pPr>
        <w:spacing w:after="40" w:line="276" w:lineRule="auto"/>
        <w:ind w:left="360"/>
      </w:pPr>
      <w:r>
        <w:rPr>
          <w:rFonts w:ascii="Times New Roman" w:hAnsi="Times New Roman"/>
          <w:color w:val="111827"/>
          <w:sz w:val="22"/>
        </w:rPr>
        <w:t>- Luật Thú y số 79/2015/QH13 và các quy định của Cục Thú y về vận chuyển động vật sống;</w:t>
        <w:br/>
      </w:r>
      <w:r>
        <w:rPr>
          <w:rFonts w:ascii="Times New Roman" w:hAnsi="Times New Roman"/>
          <w:i/>
          <w:color w:val="4B5563"/>
          <w:sz w:val="19"/>
        </w:rPr>
        <w:t>- The Veterinary Law No. 79/2015/QH13 and regulations of Department of Animal Health on live animal transportation;</w:t>
      </w:r>
    </w:p>
    <w:p>
      <w:pPr>
        <w:spacing w:after="40" w:line="276" w:lineRule="auto"/>
        <w:ind w:left="360"/>
      </w:pPr>
      <w:r>
        <w:rPr>
          <w:rFonts w:ascii="Times New Roman" w:hAnsi="Times New Roman"/>
          <w:color w:val="111827"/>
          <w:sz w:val="22"/>
        </w:rPr>
        <w:t>- Quy định Vận chuyển Động vật Sống của Hiệp hội Vận tải Hàng không Quốc tế (IATA Live Animals Regulations - LAR) và Quy chế Thú y của Liên đoàn Thể thao Cưỡi ngựa Quốc tế (FEI Veterinary Regulations) đối với các chặng bay quốc tế.</w:t>
        <w:br/>
      </w:r>
      <w:r>
        <w:rPr>
          <w:rFonts w:ascii="Times New Roman" w:hAnsi="Times New Roman"/>
          <w:i/>
          <w:color w:val="4B5563"/>
          <w:sz w:val="19"/>
        </w:rPr>
        <w:t>- The IATA Live Animals Regulations (LAR) and FEI Veterinary Regulations for international multimodal legs.</w:t>
      </w:r>
    </w:p>
    <w:p>
      <w:pPr>
        <w:spacing w:after="40"/>
      </w:pPr>
    </w:p>
    <w:p>
      <w:pPr>
        <w:spacing w:before="120" w:after="40"/>
      </w:pPr>
      <w:r>
        <w:rPr>
          <w:rFonts w:ascii="Times New Roman" w:hAnsi="Times New Roman"/>
          <w:b/>
          <w:color w:val="0F294A"/>
          <w:sz w:val="22"/>
        </w:rPr>
        <w:t>BÊN A: ĐƠN VỊ CUNG CẤP DỊCH VỤ VẬN CHUYỂN &amp; VẬN HÀNH ỨNG DỤNG (BÊN VẬN CHUYỂN)</w:t>
        <w:br/>
      </w:r>
      <w:r>
        <w:rPr>
          <w:rFonts w:ascii="Times New Roman" w:hAnsi="Times New Roman"/>
          <w:b/>
          <w:i/>
          <w:color w:val="1E3A8A"/>
          <w:sz w:val="19"/>
        </w:rPr>
        <w:t>PARTY A: SPECIALIZED TRANSPORT &amp; PLATFORM OPERATOR (CARRIER)</w:t>
      </w:r>
    </w:p>
    <w:tbl>
      <w:tblPr>
        <w:tblW w:type="auto" w:w="0"/>
        <w:jc w:val="center"/>
        <w:tblLook w:firstColumn="1" w:firstRow="1" w:lastColumn="0" w:lastRow="0" w:noHBand="0" w:noVBand="1" w:val="04A0"/>
      </w:tblPr>
      <w:tblGrid>
        <w:gridCol w:w="3168"/>
        <w:gridCol w:w="6192"/>
      </w:tblGrid>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Tên doanh nghiệp / Company Name</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{{COMPANY_NAME}}</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Mã số thuế / Tax Identification No.</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{{COMPANY_TAX_CODE}}</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Địa chỉ trụ sở / Head Office</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{{COMPANY_ADDRESS}}</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Người đại diện / Legal Representative</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{{COMPANY_REPRESENTATIVE}} - Chức vụ / Title: {{COMPANY_REP_POSITION}}</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Tổng đài Hotline / Điều phối 24/7</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{{COMPANY_HOTLINE}} - Email: {{COMPANY_EMAIL}}</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Tài khoản thanh toán / Bank Account</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{{COMPANY_BANK_ACCOUNT}} tại Ngân hàng / Bank: {{COMPANY_BANK_NAME}}</w:t>
            </w:r>
          </w:p>
        </w:tc>
      </w:tr>
    </w:tbl>
    <w:p>
      <w:pPr>
        <w:spacing w:before="160" w:after="40"/>
      </w:pPr>
      <w:r>
        <w:rPr>
          <w:rFonts w:ascii="Times New Roman" w:hAnsi="Times New Roman"/>
          <w:b/>
          <w:color w:val="0F294A"/>
          <w:sz w:val="22"/>
        </w:rPr>
        <w:t>BÊN B: KHÁCH HÀNG / CHỦ SỞ HỮU NGỰA / BÊN THUÊ VẬN CHUYỂN</w:t>
        <w:br/>
      </w:r>
      <w:r>
        <w:rPr>
          <w:rFonts w:ascii="Times New Roman" w:hAnsi="Times New Roman"/>
          <w:b/>
          <w:i/>
          <w:color w:val="1E3A8A"/>
          <w:sz w:val="19"/>
        </w:rPr>
        <w:t>PARTY B: CUSTOMER / HORSE OWNER / SHIPPER</w:t>
      </w:r>
    </w:p>
    <w:tbl>
      <w:tblPr>
        <w:tblW w:type="auto" w:w="0"/>
        <w:jc w:val="center"/>
        <w:tblLook w:firstColumn="1" w:firstRow="1" w:lastColumn="0" w:lastRow="0" w:noHBand="0" w:noVBand="1" w:val="04A0"/>
      </w:tblPr>
      <w:tblGrid>
        <w:gridCol w:w="3168"/>
        <w:gridCol w:w="6192"/>
      </w:tblGrid>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Tên cá nhân/Tổ chức / Customer Name</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{{CUSTOMER_FULL_NAME}}</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Mã định danh hệ thống / User ID</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{{CUSTOMER_USER_ID}}</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CCCD / Hộ chiếu / Identity No.</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{{CUSTOMER_ID_NUMBER}}</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Địa chỉ liên lạc / Address</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{{CUSTOMER_ADDRESS}}</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Số điện thoại / Điện thoại đăng ký</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{{CUSTOMER_PHONE}} - Email: {{CUSTOMER_EMAIL}}</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Người nhận ủy quyền tại đích / Designated Receiver</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{{DESIGNATED_RECEIVER_NAME}} - SĐT: {{DESIGNATED_RECEIVER_PHONE}}</w:t>
            </w:r>
          </w:p>
        </w:tc>
      </w:tr>
    </w:tbl>
    <w:p>
      <w:pPr>
        <w:spacing w:after="120" w:line="276" w:lineRule="auto"/>
      </w:pPr>
      <w:r>
        <w:rPr>
          <w:rFonts w:ascii="Times New Roman" w:hAnsi="Times New Roman"/>
          <w:color w:val="111827"/>
          <w:sz w:val="22"/>
        </w:rPr>
        <w:t>Hai bên thống nhất ký kết Hợp đồng dịch vụ vận chuyển ngựa đua chuyên dụng bằng phương thức điện tử với các điều khoản và điều kiện cụ thể sau đây:</w:t>
        <w:br/>
      </w:r>
      <w:r>
        <w:rPr>
          <w:rFonts w:ascii="Times New Roman" w:hAnsi="Times New Roman"/>
          <w:i/>
          <w:color w:val="4B5563"/>
          <w:sz w:val="19"/>
        </w:rPr>
        <w:t>The Parties mutually agree to execute this Electronic Specialized Racehorse Transport Service Agreement subject to the terms and conditions set forth below:</w:t>
      </w:r>
    </w:p>
    <w:p>
      <w:pPr>
        <w:keepNext/>
        <w:spacing w:before="200" w:after="60"/>
      </w:pPr>
      <w:r>
        <w:rPr>
          <w:rFonts w:ascii="Times New Roman" w:hAnsi="Times New Roman"/>
          <w:b/>
          <w:color w:val="0F294A"/>
          <w:sz w:val="23"/>
        </w:rPr>
        <w:t>Điều 1. ĐỐI TƯỢNG HỢP ĐỒNG &amp; THÔNG TIN HÀNH TRÌNH</w:t>
        <w:br/>
      </w:r>
      <w:r>
        <w:rPr>
          <w:rFonts w:ascii="Times New Roman" w:hAnsi="Times New Roman"/>
          <w:b/>
          <w:i/>
          <w:color w:val="1E3A8A"/>
          <w:sz w:val="20"/>
        </w:rPr>
        <w:t>(OBJECT OF AGREEMENT &amp; ITINERARY)</w:t>
      </w:r>
    </w:p>
    <w:p>
      <w:pPr>
        <w:spacing w:after="80" w:line="276" w:lineRule="auto"/>
      </w:pPr>
      <w:r>
        <w:rPr>
          <w:rFonts w:ascii="Times New Roman" w:hAnsi="Times New Roman"/>
          <w:color w:val="111827"/>
          <w:sz w:val="22"/>
        </w:rPr>
        <w:t>1.1. Đối tượng vận chuyển: Bên A đồng ý cung cấp dịch vụ logistics chuyên dụng, bao gồm phương tiện vận tải điều hòa chuyên biệt, thiết bị giám sát hành trình thời gian thực (Telematics), chế độ dinh dưỡng và chăm sóc y tế thú y đặc biệt cho (các) cá thể ngựa đua thuộc quyền sở hữu/quản lý hợp pháp của Bên B theo danh mục chi tiết tại Phụ lục 1 của Hợp đồng này.</w:t>
        <w:br/>
      </w:r>
      <w:r>
        <w:rPr>
          <w:rFonts w:ascii="Times New Roman" w:hAnsi="Times New Roman"/>
          <w:i/>
          <w:color w:val="4B5563"/>
          <w:sz w:val="19"/>
        </w:rPr>
        <w:t>1.1. Object of Transportation: Party A agrees to provide specialized logistics services, including dedicated climate-controlled vehicles, real-time telemetry monitoring, nutritional feeding, and professional veterinary escort care for the racehorse(s) legally owned/managed by Party B as detailed in Annex 1 of this Agreement.</w:t>
      </w:r>
    </w:p>
    <w:p>
      <w:pPr>
        <w:spacing w:after="80" w:line="276" w:lineRule="auto"/>
      </w:pPr>
      <w:r>
        <w:rPr>
          <w:rFonts w:ascii="Times New Roman" w:hAnsi="Times New Roman"/>
          <w:color w:val="111827"/>
          <w:sz w:val="22"/>
        </w:rPr>
        <w:t>1.2. Thông tin hành trình và Lộ trình vận chuyển:</w:t>
        <w:br/>
        <w:t>• Điểm khởi hành (Departure Location): {{DEPARTURE_LOCATION}}</w:t>
        <w:br/>
        <w:t>• Điểm đến bàn giao (Destination Location): {{DESTINATION_LOCATION}}</w:t>
        <w:br/>
        <w:t>• Mục đích vận chuyển (Purpose): {{TRANSPORT_PURPOSE}} (Thi đấu giải / Chuyển chuồng huấn luyện / Phối giống thương mại)</w:t>
        <w:br/>
        <w:t>• Phương thức vận chuyển (Transport Mode): {{TRANSPORT_MODE}} (Đường bộ chuyên dụng / Đa phương thức Quốc tế Hàng không AVI)</w:t>
        <w:br/>
        <w:t>• Tổng cự ly dự kiến (Estimated Total Distance): {{TOTAL_DISTANCE_KM}} km</w:t>
        <w:br/>
        <w:t>• Thời gian khởi hành dự kiến (Expected Departure): {{EXPECTED_DEPARTURE_DATETIME}}</w:t>
        <w:br/>
        <w:t>• Hạn chót cam kết giao ngựa tại đích (Committed Deadline): {{COMMITTED_DEADLINE_DATETIME}}</w:t>
        <w:br/>
      </w:r>
      <w:r>
        <w:rPr>
          <w:rFonts w:ascii="Times New Roman" w:hAnsi="Times New Roman"/>
          <w:i/>
          <w:color w:val="4B5563"/>
          <w:sz w:val="19"/>
        </w:rPr>
        <w:t>1.2. Itinerary and Transport Details:</w:t>
        <w:br/>
        <w:t>• Departure Location: {{DEPARTURE_LOCATION}}</w:t>
        <w:br/>
        <w:t>• Destination Location: {{DESTINATION_LOCATION}}</w:t>
        <w:br/>
        <w:t>• Transport Purpose: {{TRANSPORT_PURPOSE}} (Official Racing Competition / Stable Relocation / Breeding)</w:t>
        <w:br/>
        <w:t>• Transport Mode: {{TRANSPORT_MODE}} (Dedicated Road Horsebox / International Multimodal AVI Air Freight)</w:t>
        <w:br/>
        <w:t>• Estimated Total Distance: {{TOTAL_DISTANCE_KM}} km</w:t>
        <w:br/>
        <w:t>• Expected Departure DateTime: {{EXPECTED_DEPARTURE_DATETIME}}</w:t>
        <w:br/>
        <w:t>• Committed Arrival Deadline: {{COMMITTED_DEADLINE_DATETIME}}</w:t>
      </w:r>
    </w:p>
    <w:p>
      <w:pPr>
        <w:keepNext/>
        <w:spacing w:before="200" w:after="60"/>
      </w:pPr>
      <w:r>
        <w:rPr>
          <w:rFonts w:ascii="Times New Roman" w:hAnsi="Times New Roman"/>
          <w:b/>
          <w:color w:val="0F294A"/>
          <w:sz w:val="23"/>
        </w:rPr>
        <w:t>Điều 2. TIÊU CHUẨN KỸ THUẬT, PHƯƠNG TIỆN &amp; CHĂM SÓC DỌC ĐƯỜNG</w:t>
        <w:br/>
      </w:r>
      <w:r>
        <w:rPr>
          <w:rFonts w:ascii="Times New Roman" w:hAnsi="Times New Roman"/>
          <w:b/>
          <w:i/>
          <w:color w:val="1E3A8A"/>
          <w:sz w:val="20"/>
        </w:rPr>
        <w:t>(TECHNICAL STANDARDS, FLEET &amp; VETERINARY CARE)</w:t>
      </w:r>
    </w:p>
    <w:p>
      <w:pPr>
        <w:spacing w:after="80" w:line="276" w:lineRule="auto"/>
      </w:pPr>
      <w:r>
        <w:rPr>
          <w:rFonts w:ascii="Times New Roman" w:hAnsi="Times New Roman"/>
          <w:color w:val="111827"/>
          <w:sz w:val="22"/>
        </w:rPr>
        <w:t>2.1. Tiêu chuẩn Phương tiện chuyên dụng: Xe chở ngựa hoặc ngăn chuồng máy bay (Air Stall) phải đáp ứng nghiêm ngặt quy chuẩn kỹ thuật: hệ thống đệm sàn cao su chống trượt dày ≥ 20mm, vách ngăn chống va đập, hệ thống làm mát/điều hòa không khí cưỡng bức duy trì 18°C - 24°C, thông gió tuần hoàn, camera giám sát hồng ngoại bên trong thùng xe và cảm biến thân nhiệt/nhịp tim không dây truyền dữ liệu về Ứng dụng di động.</w:t>
        <w:br/>
      </w:r>
      <w:r>
        <w:rPr>
          <w:rFonts w:ascii="Times New Roman" w:hAnsi="Times New Roman"/>
          <w:i/>
          <w:color w:val="4B5563"/>
          <w:sz w:val="19"/>
        </w:rPr>
        <w:t>2.1. Specialized Vehicle Standards: Horsebox vehicles or aircraft stalls (Air Stall) must strictly adhere to technical regulations: anti-slip rubber flooring thickness ≥ 20mm, impact-resistant padded partitions, forced HVAC climate control maintaining 18°C - 24°C, active ventilation, infrared CCTV inside the stall, and wireless biometric sensors transmitting heart rate and body temperature to the Mobile Application.</w:t>
      </w:r>
    </w:p>
    <w:p>
      <w:pPr>
        <w:spacing w:after="80" w:line="276" w:lineRule="auto"/>
      </w:pPr>
      <w:r>
        <w:rPr>
          <w:rFonts w:ascii="Times New Roman" w:hAnsi="Times New Roman"/>
          <w:color w:val="111827"/>
          <w:sz w:val="22"/>
        </w:rPr>
        <w:t>2.2. Tổ vận hành &amp; Nhân sự áp tải: Mỗi chuyến đi được biên chế tối thiểu 01 Tài xế xe chuyên dụng có chứng chỉ và 01 Chuyên viên áp tải/Kỹ thuật viên thú y (Groom/Escort) có đầy đủ giấy tờ hợp lệ (Staff Documents). Nhân sự áp tải chịu trách nhiệm cấp nước khoáng, thức ăn tiêu chuẩn (cỏ khô Timothy/Alfalfa, cám dinh dưỡng), vệ sinh ô chuồng và cập nhật Nhật ký Sức khỏe (Health Log) lên hệ thống mỗi 2 - 4 giờ.</w:t>
        <w:br/>
      </w:r>
      <w:r>
        <w:rPr>
          <w:rFonts w:ascii="Times New Roman" w:hAnsi="Times New Roman"/>
          <w:i/>
          <w:color w:val="4B5563"/>
          <w:sz w:val="19"/>
        </w:rPr>
        <w:t>2.2. Operating Crew &amp; Escort Personnel: Each trip is staffed with at least 01 certified specialized driver and 01 professional equine escort/groom possessing valid travel credentials and certifications. The escort is responsible for hydrating, administering prescribed diets (Timothy/Alfalfa hay, concentrates), sanitizing stalls, and logging Health Logs into the system every 2 - 4 hours.</w:t>
      </w:r>
    </w:p>
    <w:p>
      <w:pPr>
        <w:spacing w:after="80" w:line="276" w:lineRule="auto"/>
      </w:pPr>
      <w:r>
        <w:rPr>
          <w:rFonts w:ascii="Times New Roman" w:hAnsi="Times New Roman"/>
          <w:color w:val="111827"/>
          <w:sz w:val="22"/>
        </w:rPr>
        <w:t>2.3. Trạm dừng nghỉ &amp; Kiểm dịch (Partner Facilities): Chuyến đi áp dụng quy chuẩn dừng nghỉ kỹ thuật bắt buộc sau mỗi 4 - 6 giờ di chuyển tại các Trạm đối tác đã được kiểm định an toàn sinh học. Đối với hành trình quốc tế, ngựa được lưu trú cách ly và lấy mẫu xét nghiệm theo yêu cầu của cơ quan Thú y sở tại.</w:t>
        <w:br/>
      </w:r>
      <w:r>
        <w:rPr>
          <w:rFonts w:ascii="Times New Roman" w:hAnsi="Times New Roman"/>
          <w:i/>
          <w:color w:val="4B5563"/>
          <w:sz w:val="19"/>
        </w:rPr>
        <w:t>2.3. Rest Stations &amp; Quarantine Facilities: Compulsory rest stops occur every 4 - 6 hours at vetted Partner Facilities complying with biosecurity protocols. For international trips, horses will undergo quarantine accommodation and diagnostic lab sampling according to host veterinary authorities.</w:t>
      </w:r>
    </w:p>
    <w:p>
      <w:pPr>
        <w:keepNext/>
        <w:spacing w:before="200" w:after="60"/>
      </w:pPr>
      <w:r>
        <w:rPr>
          <w:rFonts w:ascii="Times New Roman" w:hAnsi="Times New Roman"/>
          <w:b/>
          <w:color w:val="0F294A"/>
          <w:sz w:val="23"/>
        </w:rPr>
        <w:t>Điều 3. GIÁ HỢP ĐỒNG, NGUYÊN TẮC BẤT BIẾN &amp; ĐỒNG TIỀN THANH TOÁN</w:t>
        <w:br/>
      </w:r>
      <w:r>
        <w:rPr>
          <w:rFonts w:ascii="Times New Roman" w:hAnsi="Times New Roman"/>
          <w:b/>
          <w:i/>
          <w:color w:val="1E3A8A"/>
          <w:sz w:val="20"/>
        </w:rPr>
        <w:t>(CONTRACT BASE PRICE, PRICE INVARIANCE &amp; CURRENCY)</w:t>
      </w:r>
    </w:p>
    <w:p>
      <w:pPr>
        <w:spacing w:after="80" w:line="276" w:lineRule="auto"/>
      </w:pPr>
      <w:r>
        <w:rPr>
          <w:rFonts w:ascii="Times New Roman" w:hAnsi="Times New Roman"/>
          <w:color w:val="111827"/>
          <w:sz w:val="22"/>
        </w:rPr>
        <w:t>3.1. Giá trị Hợp đồng Cơ sở (Contract Base Price - Ký hiệu: P): Tổng giá trị trọn gói của Hợp đồng vận chuyển này là: {{BASE_PRICE_P}} {{CURRENCY_CODE}}</w:t>
        <w:br/>
        <w:t>(Bằng chữ: {{BASE_PRICE_IN_WORDS}})</w:t>
        <w:br/>
        <w:t>• Tỷ giá quy đổi cố định sang Đồng Việt Nam (nếu áp dụng): 1 {{CURRENCY_CODE}} = {{EXCHANGE_RATE}} VNĐ</w:t>
        <w:br/>
        <w:t>• Tổng giá trị tương đương bằng VNĐ: {{TOTAL_PRICE_VND}} VNĐ (Bằng chữ: {{TOTAL_PRICE_VND_IN_WORDS}}).</w:t>
        <w:br/>
      </w:r>
      <w:r>
        <w:rPr>
          <w:rFonts w:ascii="Times New Roman" w:hAnsi="Times New Roman"/>
          <w:i/>
          <w:color w:val="4B5563"/>
          <w:sz w:val="19"/>
        </w:rPr>
        <w:t>3.1. Contract Base Price (Designated as P): The total lump-sum value of this Transportation Agreement is: {{BASE_PRICE_P}} {{CURRENCY_CODE}}</w:t>
        <w:br/>
        <w:t>(In words: {{BASE_PRICE_IN_WORDS}})</w:t>
        <w:br/>
        <w:t>• Fixed exchange rate to Vietnamese Dong (if applicable): 1 {{CURRENCY_CODE}} = {{EXCHANGE_RATE}} VND</w:t>
        <w:br/>
        <w:t>• Total equivalent value in VND: {{TOTAL_PRICE_VND}} VND (In words: {{TOTAL_PRICE_VND_IN_WORDS}}).</w:t>
      </w:r>
    </w:p>
    <w:tbl>
      <w:tblPr>
        <w:tblW w:type="auto" w:w="0"/>
        <w:jc w:val="center"/>
        <w:tblLayout w:type="fixed"/>
        <w:tblLook w:firstColumn="1" w:firstRow="1" w:lastColumn="0" w:lastRow="0" w:noHBand="0" w:noVBand="1" w:val="04A0"/>
      </w:tblPr>
      <w:tblGrid>
        <w:gridCol w:w="9360"/>
      </w:tblGrid>
      <w:tr>
        <w:tc>
          <w:tcPr>
            <w:tcW w:type="dxa" w:w="9355"/>
            <w:shd w:fill="F0F4F8"/>
            <w:tcMar>
              <w:top w:w="140" w:type="dxa"/>
              <w:bottom w:w="140" w:type="dxa"/>
              <w:left w:w="200" w:type="dxa"/>
              <w:right w:w="180" w:type="dxa"/>
            </w:tcMar>
            <w:tcBorders>
              <w:top w:val="single" w:sz="4" w:space="0" w:color="D1D5DB"/>
              <w:left w:val="single" w:sz="18" w:space="0" w:color="1E3A8A"/>
              <w:bottom w:val="single" w:sz="4" w:space="0" w:color="D1D5DB"/>
              <w:right w:val="single" w:sz="4" w:space="0" w:color="D1D5DB"/>
              <w:insideH w:val="none"/>
              <w:insideV w:val="none"/>
            </w:tcBorders>
          </w:tcPr>
          <w:p>
            <w:pPr>
              <w:spacing w:after="60"/>
            </w:pPr>
            <w:r>
              <w:rPr>
                <w:rFonts w:ascii="Times New Roman" w:hAnsi="Times New Roman"/>
                <w:b/>
                <w:color w:val="0F294A"/>
                <w:sz w:val="21"/>
              </w:rPr>
              <w:t xml:space="preserve">★ NGUYÊN TẮC BẤT BIẾN CỦA GIÁ HỢP ĐỒNG (PRICE INVARIANCE PRINCIPLE) / </w:t>
            </w:r>
            <w:r>
              <w:rPr>
                <w:rFonts w:ascii="Times New Roman" w:hAnsi="Times New Roman"/>
                <w:b/>
                <w:i/>
                <w:color w:val="1E3A8A"/>
                <w:sz w:val="20"/>
              </w:rPr>
              <w:t>PRICE INVARIANCE LEGAL PRINCIPLE</w:t>
              <w:br/>
            </w:r>
            <w:r>
              <w:rPr>
                <w:rFonts w:ascii="Times New Roman" w:hAnsi="Times New Roman"/>
                <w:color w:val="1F2937"/>
                <w:sz w:val="20"/>
              </w:rPr>
              <w:t>Giá Hợp đồng cơ sở (P) có tính chất PHÁP LÝ BẤT BIẾN. Bên A cam kết TUYỆT ĐỐI KHÔNG tự ý tăng giá P dưới bất kỳ hình thức nào do biến động thị trường (giá nhiên liệu xăng dầu tăng, trượt giá hối đoái, phụ phí đường bộ phát sinh thông thường). Giá P chỉ được điều chỉnh khi chính Bên B chủ động yêu cầu thay đổi lộ trình hoặc yêu cầu dịch vụ bổ sung ngoài hợp đồng thông qua tính năng phê duyệt trên Ứng dụng.</w:t>
              <w:br/>
            </w:r>
            <w:r>
              <w:rPr>
                <w:rFonts w:ascii="Times New Roman" w:hAnsi="Times New Roman"/>
                <w:i/>
                <w:color w:val="4B5563"/>
                <w:sz w:val="18"/>
              </w:rPr>
              <w:t>The Contract Base Price (P) is legally INVARIANT and fixed. Party A strictly commits NOT to unilaterally increase Price P under any circumstances resulting from market volatility (fuel hikes, standard toll fluctuations, inflation). Price P shall only be adjusted if Party B proactively requests a route modification or additional out-of-scope services approved via the Mobile App.</w:t>
            </w:r>
          </w:p>
        </w:tc>
      </w:tr>
    </w:tbl>
    <w:p>
      <w:pPr>
        <w:spacing w:after="40"/>
      </w:pPr>
    </w:p>
    <w:p>
      <w:pPr>
        <w:keepNext/>
        <w:spacing w:before="200" w:after="60"/>
      </w:pPr>
      <w:r>
        <w:rPr>
          <w:rFonts w:ascii="Times New Roman" w:hAnsi="Times New Roman"/>
          <w:b/>
          <w:color w:val="0F294A"/>
          <w:sz w:val="23"/>
        </w:rPr>
        <w:t>Điều 4. TIẾN ĐỘ THANH TOÁN '3 ĐỢT VÀNG' &amp; CỔNG AN TOÀN 50% KM</w:t>
        <w:br/>
      </w:r>
      <w:r>
        <w:rPr>
          <w:rFonts w:ascii="Times New Roman" w:hAnsi="Times New Roman"/>
          <w:b/>
          <w:i/>
          <w:color w:val="1E3A8A"/>
          <w:sz w:val="20"/>
        </w:rPr>
        <w:t>(PAYMENT SCHEDULE - 3 GOLDEN INSTALLMENTS &amp; SAFETY GATE)</w:t>
      </w:r>
    </w:p>
    <w:p>
      <w:pPr>
        <w:spacing w:after="80" w:line="276" w:lineRule="auto"/>
      </w:pPr>
      <w:r>
        <w:rPr>
          <w:rFonts w:ascii="Times New Roman" w:hAnsi="Times New Roman"/>
          <w:color w:val="111827"/>
          <w:sz w:val="22"/>
        </w:rPr>
        <w:t>4.1. Cấu trúc Thanh toán 3 Đợt Vàng: Dòng tiền của Hợp đồng được thực hiện nghiêm ngặt qua 3 đợt thanh toán tự động trên Ứng dụng di động (Tỷ lệ chuẩn 40% - 30% - 30%):</w:t>
        <w:br/>
      </w:r>
      <w:r>
        <w:rPr>
          <w:rFonts w:ascii="Times New Roman" w:hAnsi="Times New Roman"/>
          <w:i/>
          <w:color w:val="4B5563"/>
          <w:sz w:val="19"/>
        </w:rPr>
        <w:t>4.1. Three Golden Installments Framework: Contract cashflow is strictly scheduled into three automatic installment milestones via the Mobile App (Standard ratio 40% - 30% - 30%):</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728"/>
            <w:shd w:fill="1E3A8A"/>
            <w:tcMar>
              <w:top w:w="80" w:type="dxa"/>
              <w:bottom w:w="80" w:type="dxa"/>
              <w:left w:w="100" w:type="dxa"/>
              <w:right w:w="100" w:type="dxa"/>
            </w:tcMar>
          </w:tcPr>
          <w:p>
            <w:r>
              <w:rPr>
                <w:rFonts w:ascii="Times New Roman" w:hAnsi="Times New Roman"/>
                <w:b/>
                <w:color w:val="FFFFFF"/>
                <w:sz w:val="19"/>
              </w:rPr>
              <w:t>Đợt / Milestone</w:t>
            </w:r>
          </w:p>
        </w:tc>
        <w:tc>
          <w:tcPr>
            <w:tcW w:type="dxa" w:w="2160"/>
            <w:shd w:fill="1E3A8A"/>
            <w:tcMar>
              <w:top w:w="80" w:type="dxa"/>
              <w:bottom w:w="80" w:type="dxa"/>
              <w:left w:w="100" w:type="dxa"/>
              <w:right w:w="100" w:type="dxa"/>
            </w:tcMar>
          </w:tcPr>
          <w:p>
            <w:r>
              <w:rPr>
                <w:rFonts w:ascii="Times New Roman" w:hAnsi="Times New Roman"/>
                <w:b/>
                <w:color w:val="FFFFFF"/>
                <w:sz w:val="19"/>
              </w:rPr>
              <w:t>Tỷ lệ &amp; Số tiền / Rate &amp; Amount</w:t>
            </w:r>
          </w:p>
        </w:tc>
        <w:tc>
          <w:tcPr>
            <w:tcW w:type="dxa" w:w="2304"/>
            <w:shd w:fill="1E3A8A"/>
            <w:tcMar>
              <w:top w:w="80" w:type="dxa"/>
              <w:bottom w:w="80" w:type="dxa"/>
              <w:left w:w="100" w:type="dxa"/>
              <w:right w:w="100" w:type="dxa"/>
            </w:tcMar>
          </w:tcPr>
          <w:p>
            <w:r>
              <w:rPr>
                <w:rFonts w:ascii="Times New Roman" w:hAnsi="Times New Roman"/>
                <w:b/>
                <w:color w:val="FFFFFF"/>
                <w:sz w:val="19"/>
              </w:rPr>
              <w:t>Thời điểm kích hoạt / Trigger Event</w:t>
            </w:r>
          </w:p>
        </w:tc>
        <w:tc>
          <w:tcPr>
            <w:tcW w:type="dxa" w:w="3168"/>
            <w:shd w:fill="1E3A8A"/>
            <w:tcMar>
              <w:top w:w="80" w:type="dxa"/>
              <w:bottom w:w="80" w:type="dxa"/>
              <w:left w:w="100" w:type="dxa"/>
              <w:right w:w="100" w:type="dxa"/>
            </w:tcMar>
          </w:tcPr>
          <w:p>
            <w:r>
              <w:rPr>
                <w:rFonts w:ascii="Times New Roman" w:hAnsi="Times New Roman"/>
                <w:b/>
                <w:color w:val="FFFFFF"/>
                <w:sz w:val="19"/>
              </w:rPr>
              <w:t>Điều kiện nghiệm thu &amp; Ràng buộc pháp lý / Gate Condition</w:t>
            </w:r>
          </w:p>
        </w:tc>
      </w:tr>
      <w:tr>
        <w:tc>
          <w:tcPr>
            <w:tcW w:type="dxa" w:w="1728"/>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color w:val="0F294A"/>
                <w:sz w:val="18"/>
              </w:rPr>
              <w:t>ĐỢT 1</w:t>
              <w:br/>
              <w:t>(Cọc Chuẩn)</w:t>
              <w:br/>
              <w:t>Installment 1</w:t>
            </w:r>
          </w:p>
        </w:tc>
        <w:tc>
          <w:tcPr>
            <w:tcW w:type="dxa" w:w="2160"/>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40% Giá HĐ (P)</w:t>
              <w:br/>
              <w:t>{{DEPOSIT_AMOUNT_40}} {{CURRENCY_CODE}}</w:t>
              <w:br/>
              <w:t>({{DEPOSIT_AMOUNT_40_VND}} VNĐ)</w:t>
            </w:r>
          </w:p>
        </w:tc>
        <w:tc>
          <w:tcPr>
            <w:tcW w:type="dxa" w:w="2304"/>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Ký Hợp đồng điện tử</w:t>
              <w:br/>
              <w:t>(Hóa đơn INV_1)</w:t>
              <w:br/>
              <w:t>Upon E-Signing</w:t>
            </w:r>
          </w:p>
        </w:tc>
        <w:tc>
          <w:tcPr>
            <w:tcW w:type="dxa" w:w="3168"/>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Điều kiện tiên quyết để bên A điều phối xe, giữ slot chuồng bay quốc tế và bác sĩ thú y thực hiện khám lâm sàng tiền khởi hành.</w:t>
            </w:r>
          </w:p>
        </w:tc>
      </w:tr>
      <w:tr>
        <w:tc>
          <w:tcPr>
            <w:tcW w:type="dxa" w:w="1728"/>
            <w:shd w:fill="FFFFFF"/>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color w:val="0F294A"/>
                <w:sz w:val="18"/>
              </w:rPr>
              <w:t>ĐỢT 2</w:t>
              <w:br/>
              <w:t>(Giữa chặng)</w:t>
              <w:br/>
              <w:t>Installment 2</w:t>
            </w:r>
          </w:p>
        </w:tc>
        <w:tc>
          <w:tcPr>
            <w:tcW w:type="dxa" w:w="2160"/>
            <w:shd w:fill="FFFFFF"/>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30% Giá HĐ (P) + Phụ phí chặng 1 (nếu có)</w:t>
              <w:br/>
              <w:t>{{MIDWAY_AMOUNT_30}} {{CURRENCY_CODE}}</w:t>
              <w:br/>
              <w:t>({{MIDWAY_AMOUNT_30_VND}} VNĐ)</w:t>
            </w:r>
          </w:p>
        </w:tc>
        <w:tc>
          <w:tcPr>
            <w:tcW w:type="dxa" w:w="2304"/>
            <w:shd w:fill="FFFFFF"/>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Mốc 50% Cự ly hành trình</w:t>
              <w:br/>
              <w:t>(Hóa đơn INV_2)</w:t>
              <w:br/>
              <w:t>At 50% Distance Gate</w:t>
            </w:r>
          </w:p>
        </w:tc>
        <w:tc>
          <w:tcPr>
            <w:tcW w:type="dxa" w:w="3168"/>
            <w:shd w:fill="FFFFFF"/>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 CỔNG KIỂM SOÁT AN TOÀN (SAFETY GATE): Xe chỉ được phép rời trạm 50% khi Bên B đã thanh toán 100% Hóa đơn Đợt 2.</w:t>
            </w:r>
          </w:p>
        </w:tc>
      </w:tr>
      <w:tr>
        <w:tc>
          <w:tcPr>
            <w:tcW w:type="dxa" w:w="1728"/>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color w:val="0F294A"/>
                <w:sz w:val="18"/>
              </w:rPr>
              <w:t>ĐỢT 3</w:t>
              <w:br/>
              <w:t>(Quyết toán Đích)</w:t>
              <w:br/>
              <w:t>Installment 3</w:t>
            </w:r>
          </w:p>
        </w:tc>
        <w:tc>
          <w:tcPr>
            <w:tcW w:type="dxa" w:w="2160"/>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30% Giá HĐ (P) + Phụ phí chặng cuối</w:t>
              <w:br/>
              <w:t>{{FINAL_AMOUNT_30}} {{CURRENCY_CODE}}</w:t>
              <w:br/>
              <w:t>({{FINAL_AMOUNT_30_VND}} VNĐ)</w:t>
            </w:r>
          </w:p>
        </w:tc>
        <w:tc>
          <w:tcPr>
            <w:tcW w:type="dxa" w:w="2304"/>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Đến Trạm đích giao nhận</w:t>
              <w:br/>
              <w:t>(Hóa đơn INV_3)</w:t>
              <w:br/>
              <w:t>At Final Destination</w:t>
            </w:r>
          </w:p>
        </w:tc>
        <w:tc>
          <w:tcPr>
            <w:tcW w:type="dxa" w:w="3168"/>
            <w:shd w:fill="F9FAFB"/>
            <w:tcMar>
              <w:top w:w="60" w:type="dxa"/>
              <w:bottom w:w="6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8"/>
              </w:rPr>
              <w:t>Bên B thanh toán đủ 100% Hóa đơn Đợt 3 trước khi ký Biên bản bàn giao nhận ngựa (Handover Protocol). Kích hoạt quyền Lien nếu chậm trả.</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55"/>
            <w:shd w:fill="F0F4F8"/>
            <w:tcMar>
              <w:top w:w="140" w:type="dxa"/>
              <w:bottom w:w="140" w:type="dxa"/>
              <w:left w:w="200" w:type="dxa"/>
              <w:right w:w="180" w:type="dxa"/>
            </w:tcMar>
            <w:tcBorders>
              <w:top w:val="single" w:sz="4" w:space="0" w:color="D1D5DB"/>
              <w:left w:val="single" w:sz="18" w:space="0" w:color="1E3A8A"/>
              <w:bottom w:val="single" w:sz="4" w:space="0" w:color="D1D5DB"/>
              <w:right w:val="single" w:sz="4" w:space="0" w:color="D1D5DB"/>
              <w:insideH w:val="none"/>
              <w:insideV w:val="none"/>
            </w:tcBorders>
          </w:tcPr>
          <w:p>
            <w:pPr>
              <w:spacing w:after="60"/>
            </w:pPr>
            <w:r>
              <w:rPr>
                <w:rFonts w:ascii="Times New Roman" w:hAnsi="Times New Roman"/>
                <w:b/>
                <w:color w:val="0F294A"/>
                <w:sz w:val="21"/>
              </w:rPr>
              <w:t xml:space="preserve">★ CHẾ ĐỊNH CỔNG AN TOÀN 50% KM (SAFETY GATE OPERATIONAL PROTOCOL) / </w:t>
            </w:r>
            <w:r>
              <w:rPr>
                <w:rFonts w:ascii="Times New Roman" w:hAnsi="Times New Roman"/>
                <w:b/>
                <w:i/>
                <w:color w:val="1E3A8A"/>
                <w:sz w:val="20"/>
              </w:rPr>
              <w:t>50% KM SAFETY GATE INTERLOCK</w:t>
              <w:br/>
            </w:r>
            <w:r>
              <w:rPr>
                <w:rFonts w:ascii="Times New Roman" w:hAnsi="Times New Roman"/>
                <w:color w:val="1F2937"/>
                <w:sz w:val="20"/>
              </w:rPr>
              <w:t>Khi xe chuyên dụng chạm mốc 50% tổng cự ly (thường là trạm dừng nghỉ đêm giữa chặng tại {{SAFETY_GATE_LOCATION}}), hệ thống kích hoạt 'Cổng An Toàn'. Nếu Bên B chưa hoàn tất thanh toán Hóa đơn Đợt 2, phương tiện sẽ lưu chuồng an toàn tại trạm đối tác và KHÔNG LĂN BÁNH tiếp tục chặng 2 cho đến khi giao dịch thanh toán được hệ thống ghi nhận thành công.</w:t>
              <w:br/>
            </w:r>
            <w:r>
              <w:rPr>
                <w:rFonts w:ascii="Times New Roman" w:hAnsi="Times New Roman"/>
                <w:i/>
                <w:color w:val="4B5563"/>
                <w:sz w:val="18"/>
              </w:rPr>
              <w:t>Upon arriving at the 50% total mileage waypoint (scheduled rest station at {{SAFETY_GATE_LOCATION}}), the system engages the 'Safety Gate'. If Party B has not fully settled Invoice 2, the vehicle will hold at the facility and will NOT depart for the second leg until payment confirmation is verified on the platform.</w:t>
            </w:r>
          </w:p>
        </w:tc>
      </w:tr>
    </w:tbl>
    <w:p>
      <w:pPr>
        <w:spacing w:after="40"/>
      </w:pPr>
    </w:p>
    <w:p>
      <w:pPr>
        <w:keepNext/>
        <w:spacing w:before="200" w:after="60"/>
      </w:pPr>
      <w:r>
        <w:rPr>
          <w:rFonts w:ascii="Times New Roman" w:hAnsi="Times New Roman"/>
          <w:b/>
          <w:color w:val="0F294A"/>
          <w:sz w:val="23"/>
        </w:rPr>
        <w:t>Điều 5. BẢO HIỂM VẬN CHUYỂN TOÀN DIỆN &amp; PHÂN BỔ RỦI RO</w:t>
        <w:br/>
      </w:r>
      <w:r>
        <w:rPr>
          <w:rFonts w:ascii="Times New Roman" w:hAnsi="Times New Roman"/>
          <w:b/>
          <w:i/>
          <w:color w:val="1E3A8A"/>
          <w:sz w:val="20"/>
        </w:rPr>
        <w:t>(ALL-INCLUSIVE INSURANCE &amp; RISK ALLOCATION)</w:t>
      </w:r>
    </w:p>
    <w:p>
      <w:pPr>
        <w:spacing w:after="80" w:line="276" w:lineRule="auto"/>
      </w:pPr>
      <w:r>
        <w:rPr>
          <w:rFonts w:ascii="Times New Roman" w:hAnsi="Times New Roman"/>
          <w:color w:val="111827"/>
          <w:sz w:val="22"/>
        </w:rPr>
        <w:t>5.1. Cơ chế Bao trọn gói Bảo hiểm (All-Inclusive Risk Protection): Giá Hợp đồng cơ sở (P) đã bao gồm phí Bảo hiểm vận chuyển sinh mạng và chấn thương giá trị cao cho cá thể ngựa (Livestock Transit Insurance). Hợp đồng bảo hiểm có hiệu lực xuyên suốt từ thời điểm bắt đầu bốc dỡ ngựa lên xe tại điểm đi cho đến khi hoàn tất ký biên bản bàn giao tại điểm đến.</w:t>
        <w:br/>
      </w:r>
      <w:r>
        <w:rPr>
          <w:rFonts w:ascii="Times New Roman" w:hAnsi="Times New Roman"/>
          <w:i/>
          <w:color w:val="4B5563"/>
          <w:sz w:val="19"/>
        </w:rPr>
        <w:t>5.1. All-Inclusive Insurance Protection: Contract Base Price (P) incorporates comprehensive Livestock Transit Insurance covering mortality, critical injury, and transit emergency. Coverage remains continuously active from the moment the horse is boarded onto the transport vehicle at origin until formal handover execution at destination.</w:t>
      </w:r>
    </w:p>
    <w:p>
      <w:pPr>
        <w:spacing w:after="80" w:line="276" w:lineRule="auto"/>
      </w:pPr>
      <w:r>
        <w:rPr>
          <w:rFonts w:ascii="Times New Roman" w:hAnsi="Times New Roman"/>
          <w:color w:val="111827"/>
          <w:sz w:val="22"/>
        </w:rPr>
        <w:t>5.2. Phân định Trách nhiệm Chi phí Sự cố trên đường:</w:t>
        <w:br/>
        <w:t>• Trách nhiệm của Bên A và Đơn vị Bảo hiểm (Carrier &amp; Insurance Bearer): Chi trả 100% các chi phí kỹ thuật dọc đường gồm vá vỏ/thay lốp xe (IC_TIRE_REPAIR), bảo dưỡng sửa chữa động cơ (IC_ENGINE_MAINT), nhiên liệu tăng, vé cầu đường phụ trội (IC_TOLL_EXTRA), bão lũ/thiên tai làm kéo dài thời gian và chi phí cấp cứu thú y khẩn cấp trên đường (IC_VET_EMERGENCY). Tuyệt đối không thu thêm tiền của Bên B đối với các sự cố khách quan này.</w:t>
        <w:br/>
        <w:t>• Trách nhiệm của Bên B (Customer Bearer): Chỉ phát sinh chi phí phụ trội khi Bên B CHỦ ĐỘNG thực hiện yêu cầu thay đổi lộ trình / đổi điểm đến trên App (IC_ROUTE_CHANGE) hoặc Bên B yêu cầu thêm các dịch vụ lưu chuồng dài ngày đặc biệt ngoài kế hoạch ban đầu.</w:t>
        <w:br/>
      </w:r>
      <w:r>
        <w:rPr>
          <w:rFonts w:ascii="Times New Roman" w:hAnsi="Times New Roman"/>
          <w:i/>
          <w:color w:val="4B5563"/>
          <w:sz w:val="19"/>
        </w:rPr>
        <w:t>5.2. Incident Cost Allocation Matrix:</w:t>
        <w:br/>
        <w:t>• Party A &amp; Underwriter Responsibility: 100% coverage for transit technical breakdowns including tire repair (IC_TIRE_REPAIR), mechanical breakdown maintenance (IC_ENGINE_MAINT), unexpected route tolls (IC_TOLL_EXTRA), force majeure weather delays, and transit veterinary emergencies (IC_VET_EMERGENCY). No surcharges shall be billed to Party B for objective incidents.</w:t>
        <w:br/>
        <w:t>• Party B Responsibility: Additional surcharges only occur when Party B PROACTIVELY requests a route modification/destination change via the App (IC_ROUTE_CHANGE) or requests prolonged non-scheduled stable boarding.</w:t>
      </w:r>
    </w:p>
    <w:p>
      <w:pPr>
        <w:keepNext/>
        <w:spacing w:before="200" w:after="60"/>
      </w:pPr>
      <w:r>
        <w:rPr>
          <w:rFonts w:ascii="Times New Roman" w:hAnsi="Times New Roman"/>
          <w:b/>
          <w:color w:val="0F294A"/>
          <w:sz w:val="23"/>
        </w:rPr>
        <w:t>Điều 6. ĐỔI LỘ TRÌNH, DỪNG CHUYẾN GIỮA ĐƯỜNG &amp; PHẠT HỦY HỢP ĐỒNG</w:t>
        <w:br/>
      </w:r>
      <w:r>
        <w:rPr>
          <w:rFonts w:ascii="Times New Roman" w:hAnsi="Times New Roman"/>
          <w:b/>
          <w:i/>
          <w:color w:val="1E3A8A"/>
          <w:sz w:val="20"/>
        </w:rPr>
        <w:t>(REROUTING, M5 SETTLEMENT &amp; CANCELLATION PENALTIES)</w:t>
      </w:r>
    </w:p>
    <w:p>
      <w:pPr>
        <w:spacing w:after="80" w:line="276" w:lineRule="auto"/>
      </w:pPr>
      <w:r>
        <w:rPr>
          <w:rFonts w:ascii="Times New Roman" w:hAnsi="Times New Roman"/>
          <w:color w:val="111827"/>
          <w:sz w:val="22"/>
        </w:rPr>
        <w:t>6.1. Thay đổi lộ trình chủ động (IC_ROUTE_CHANGE): Khi Bên B nhấn nút 'Thay đổi lộ trình' trên App, hệ thống tự động tính toán lại chênh lệch cự ly (Δd = d_mới - d_cũ) và báo giá bổ sung. Sau khi Bên B bấm 'Đồng ý', xe mới chuyển hướng và chi phí phát sinh được ghi nhận vào Hóa đơn kế tiếp.</w:t>
        <w:br/>
      </w:r>
      <w:r>
        <w:rPr>
          <w:rFonts w:ascii="Times New Roman" w:hAnsi="Times New Roman"/>
          <w:i/>
          <w:color w:val="4B5563"/>
          <w:sz w:val="19"/>
        </w:rPr>
        <w:t>6.1. Proactive Route Change (IC_ROUTE_CHANGE): When Party B triggers 'Reroute' on the App, the system calculates distance variance (Δd = d_new - d_old) and quotes additional mileage fee. Upon Party B's digital acceptance, the vehicle reroutes, and surcharges accrue into the next scheduled invoice.</w:t>
      </w:r>
    </w:p>
    <w:p>
      <w:pPr>
        <w:spacing w:after="80" w:line="276" w:lineRule="auto"/>
      </w:pPr>
      <w:r>
        <w:rPr>
          <w:rFonts w:ascii="Times New Roman" w:hAnsi="Times New Roman"/>
          <w:color w:val="111827"/>
          <w:sz w:val="22"/>
        </w:rPr>
        <w:t>6.2. Dừng chuyến an toàn giữa đường (M5 Early Termination): Khi xảy ra lệnh phong tỏa bất khả kháng hoặc Bên B yêu cầu chấm dứt hành trình giữa chặng, xe đưa ngựa vào trạm an toàn gần nhất. Chi phí chuyến đi được tất toán theo công thức chuẩn: Tiền thanh toán = P × (d_đã_chạy / d_tổng_kế_hoạch) + Chi phí phát sinh thực tế đã duyệt.</w:t>
        <w:br/>
      </w:r>
      <w:r>
        <w:rPr>
          <w:rFonts w:ascii="Times New Roman" w:hAnsi="Times New Roman"/>
          <w:i/>
          <w:color w:val="4B5563"/>
          <w:sz w:val="19"/>
        </w:rPr>
        <w:t>6.2. Safe Mid-route Termination (M5 Settlement): In the event of statutory force majeure lockdown or Party B requesting premature trip termination, the vehicle shelters the horse at the nearest verified facility. Final settlement follows standard formula: Payable = P × (d_actual / d_total) + approved actual incurred costs.</w:t>
      </w:r>
    </w:p>
    <w:p>
      <w:pPr>
        <w:spacing w:after="80" w:line="276" w:lineRule="auto"/>
      </w:pPr>
      <w:r>
        <w:rPr>
          <w:rFonts w:ascii="Times New Roman" w:hAnsi="Times New Roman"/>
          <w:color w:val="111827"/>
          <w:sz w:val="22"/>
        </w:rPr>
        <w:t>6.3. Chính sách Phạt Hủy Hợp đồng &amp; Hoàn Cọc (Lá chắn Cọc 40%): Trường hợp Bên B đơn phương hủy hợp đồng trước giờ khởi hành, tiền phạt vi phạm và số tiền hoàn cọc được giải quyết theo 4 mốc thời gian sau:</w:t>
        <w:br/>
        <w:t>• Mốc M1 (Hủy trước &gt; 14 ngày): Phạt 5% Giá hợp đồng P. Hoàn trả Bên B = 40% P - 5% P = 35% P (khấu trừ chi phí chìm cam kết không hoàn lại nếu có).</w:t>
        <w:br/>
        <w:t>• Mốc M2 (Hủy từ 7 đến 14 ngày): Phạt 15% Giá hợp đồng P. Hoàn trả Bên B = 40% P - 15% P = 25% P.</w:t>
        <w:br/>
        <w:t>• Mốc M3 (Hủy từ 3 đến 7 ngày): Phạt 30% Giá hợp đồng P. Hoàn cọc = max(0, 40% P - 30% P - Chi phí chìm thực tế đã cam kết đối tác).</w:t>
        <w:br/>
        <w:t>• Mốc M4 (Hủy trong vòng 72 giờ trước giờ khởi hành): Phạt tối đa 40% Giá hợp đồng P (Toàn bộ số tiền cọc đã nộp). Bên A giữ nguyên 100% tiền cọc và tuyệt đối không truy thu thêm bất kỳ chi phí nào.</w:t>
        <w:br/>
      </w:r>
      <w:r>
        <w:rPr>
          <w:rFonts w:ascii="Times New Roman" w:hAnsi="Times New Roman"/>
          <w:i/>
          <w:color w:val="4B5563"/>
          <w:sz w:val="19"/>
        </w:rPr>
        <w:t>6.3. Contract Cancellation &amp; Deposit Refund Policy (40% Deposit Shield): If Party B unilaterally cancels prior to departure, liquidated damages and refund are settled strictly according to 4 standard milestones:</w:t>
        <w:br/>
        <w:t>• Milestone M1 (Cancel &gt; 14 days prior): 5% P penalty. Refund to Party B = 35% P (less non-refundable committed sunk costs if any).</w:t>
        <w:br/>
        <w:t>• Milestone M2 (Cancel 7 to 14 days prior): 15% P penalty. Refund to Party B = 25% P.</w:t>
        <w:br/>
        <w:t>• Milestone M3 (Cancel 3 to 7 days prior): 30% P penalty. Refund = max(0, 40% P - 30% P - actual committed sunk costs).</w:t>
        <w:br/>
        <w:t>• Milestone M4 (Cancel within 72 hours prior): Maximum penalty capped at 40% P (Forfeiture of full deposit). Party A retains 100% deposit and shall not pursue any further claims.</w:t>
      </w:r>
    </w:p>
    <w:p>
      <w:pPr>
        <w:keepNext/>
        <w:spacing w:before="200" w:after="60"/>
      </w:pPr>
      <w:r>
        <w:rPr>
          <w:rFonts w:ascii="Times New Roman" w:hAnsi="Times New Roman"/>
          <w:b/>
          <w:color w:val="0F294A"/>
          <w:sz w:val="23"/>
        </w:rPr>
        <w:t>Điều 7. QUY TRÌNH GIAO NHẬN &amp; CỬA SỔ BẢO VỆ 72 GIỜ</w:t>
        <w:br/>
      </w:r>
      <w:r>
        <w:rPr>
          <w:rFonts w:ascii="Times New Roman" w:hAnsi="Times New Roman"/>
          <w:b/>
          <w:i/>
          <w:color w:val="1E3A8A"/>
          <w:sz w:val="20"/>
        </w:rPr>
        <w:t>(DELIVERY, HANDOVER PROTOCOL &amp; 72-HOUR PROTECTION WINDOW)</w:t>
      </w:r>
    </w:p>
    <w:p>
      <w:pPr>
        <w:spacing w:after="80" w:line="276" w:lineRule="auto"/>
      </w:pPr>
      <w:r>
        <w:rPr>
          <w:rFonts w:ascii="Times New Roman" w:hAnsi="Times New Roman"/>
          <w:color w:val="111827"/>
          <w:sz w:val="22"/>
        </w:rPr>
        <w:t>7.1. Thủ tục Bàn giao tại Đích (Handover Protocol): Khi phương tiện đến điểm giao nhận, hai bên thực hiện quy trình bàn giao 4 bước nghiêm ngặt: (1) Quét đầu đọc kiểm tra mã số vi mạch điện tử (RFID Microchip ISO 11784/11785) đối chiếu Hộ chiếu FEI; (2) Kiểm tra ngoại quan tình trạng thể lực, thân nhiệt và tứ chi của ngựa; (3) Đối chiếu tài sản, yên cương và hồ sơ giấy tờ đi kèm; (4) Chụp ảnh hiện trạng tải lên hệ thống và ký Biên bản bàn giao điện tử (E-Handover).</w:t>
        <w:br/>
      </w:r>
      <w:r>
        <w:rPr>
          <w:rFonts w:ascii="Times New Roman" w:hAnsi="Times New Roman"/>
          <w:i/>
          <w:color w:val="4B5563"/>
          <w:sz w:val="19"/>
        </w:rPr>
        <w:t>7.1. Delivery &amp; Handover Protocol: Upon arrival at destination, the parties execute a rigorous 4-step handover: (1) Electronic microchip RFID ISO 11784/11785 scanner verification cross-referenced with FEI Passport; (2) Physical inspection of equine body condition, temperature, and limbs; (3) Inventory check of accompanying tack and veterinary permits; (4) Timestamped photo uploads to the platform and digital execution of E-Handover Protocol.</w:t>
      </w:r>
    </w:p>
    <w:p>
      <w:pPr>
        <w:spacing w:after="80" w:line="276" w:lineRule="auto"/>
      </w:pPr>
      <w:r>
        <w:rPr>
          <w:rFonts w:ascii="Times New Roman" w:hAnsi="Times New Roman"/>
          <w:color w:val="111827"/>
          <w:sz w:val="22"/>
        </w:rPr>
        <w:t>7.2. Cửa sổ Bảo vệ 72 Giờ Sau Giao Nhận (72-Hour Protection Window): Kể từ thời điểm ký Biên bản bàn giao, hệ thống kích hoạt đồng hồ đếm ngược 'Cửa sổ bảo vệ 72 giờ'. Trong khoảng thời gian này, nếu Bên B phát hiện cá thể ngựa có dấu hiệu suy kiệt bất thường hoặc chấn thương tiềm ẩn phát sinh từ quá trình vận chuyển, Bên B có quyền nộp đơn khiếu nại trên App kèm Biên bản chẩn đoán của Bác sĩ thú y độc lập để kích hoạt bồi thường bảo hiểm. Quá 72 giờ mà không có khiếu nại, chuyến đi được tự động chuyển sang trạng thái HOÀN TẤT ĐÓNG SỔ (CLOSED).</w:t>
        <w:br/>
      </w:r>
      <w:r>
        <w:rPr>
          <w:rFonts w:ascii="Times New Roman" w:hAnsi="Times New Roman"/>
          <w:i/>
          <w:color w:val="4B5563"/>
          <w:sz w:val="19"/>
        </w:rPr>
        <w:t>7.2. Post-Delivery 72-Hour Protection Window: From the timestamp of E-Handover signature, the platform activates a 72-hour countdown timer. During this window, if Party B discovers latent health trauma or stress complications attributable to transit, Party B may submit an App claim accompanied by an independent veterinary diagnosis report to trigger insurance claims. After 72 hours without dispute, the contract status automatically transitions to CLOSED.</w:t>
      </w:r>
    </w:p>
    <w:p>
      <w:pPr>
        <w:keepNext/>
        <w:spacing w:before="200" w:after="60"/>
      </w:pPr>
      <w:r>
        <w:rPr>
          <w:rFonts w:ascii="Times New Roman" w:hAnsi="Times New Roman"/>
          <w:b/>
          <w:color w:val="0F294A"/>
          <w:sz w:val="23"/>
        </w:rPr>
        <w:t>Điều 8. QUYỀN CẦM GIỮ HỢP PHÁP (LIEN) &amp; XỬ LÝ QUÁ HẠN THANH TOÁN</w:t>
        <w:br/>
      </w:r>
      <w:r>
        <w:rPr>
          <w:rFonts w:ascii="Times New Roman" w:hAnsi="Times New Roman"/>
          <w:b/>
          <w:i/>
          <w:color w:val="1E3A8A"/>
          <w:sz w:val="20"/>
        </w:rPr>
        <w:t>(RIGHT OF LIEN &amp; PAYMENT DEFAULT REMEDIES)</w:t>
      </w:r>
    </w:p>
    <w:tbl>
      <w:tblPr>
        <w:tblW w:type="auto" w:w="0"/>
        <w:jc w:val="center"/>
        <w:tblLayout w:type="fixed"/>
        <w:tblLook w:firstColumn="1" w:firstRow="1" w:lastColumn="0" w:lastRow="0" w:noHBand="0" w:noVBand="1" w:val="04A0"/>
      </w:tblPr>
      <w:tblGrid>
        <w:gridCol w:w="9360"/>
      </w:tblGrid>
      <w:tr>
        <w:tc>
          <w:tcPr>
            <w:tcW w:type="dxa" w:w="9355"/>
            <w:shd w:fill="F0F4F8"/>
            <w:tcMar>
              <w:top w:w="140" w:type="dxa"/>
              <w:bottom w:w="140" w:type="dxa"/>
              <w:left w:w="200" w:type="dxa"/>
              <w:right w:w="180" w:type="dxa"/>
            </w:tcMar>
            <w:tcBorders>
              <w:top w:val="single" w:sz="4" w:space="0" w:color="D1D5DB"/>
              <w:left w:val="single" w:sz="18" w:space="0" w:color="1E3A8A"/>
              <w:bottom w:val="single" w:sz="4" w:space="0" w:color="D1D5DB"/>
              <w:right w:val="single" w:sz="4" w:space="0" w:color="D1D5DB"/>
              <w:insideH w:val="none"/>
              <w:insideV w:val="none"/>
            </w:tcBorders>
          </w:tcPr>
          <w:p>
            <w:pPr>
              <w:spacing w:after="60"/>
            </w:pPr>
            <w:r>
              <w:rPr>
                <w:rFonts w:ascii="Times New Roman" w:hAnsi="Times New Roman"/>
                <w:b/>
                <w:color w:val="0F294A"/>
                <w:sz w:val="21"/>
              </w:rPr>
              <w:t xml:space="preserve">★ QUYỀN CẦM GIỮ TÀI SẢN &amp; PHÍ LƯU CHUỒNG CƯỠNG CHẾ (LIEN &amp; STORAGE ACCRUAL) / </w:t>
            </w:r>
            <w:r>
              <w:rPr>
                <w:rFonts w:ascii="Times New Roman" w:hAnsi="Times New Roman"/>
                <w:b/>
                <w:i/>
                <w:color w:val="1E3A8A"/>
                <w:sz w:val="20"/>
              </w:rPr>
              <w:t>CARRIER'S LEGAL RIGHT OF LIEN &amp; ARBITRATION REMEDY</w:t>
              <w:br/>
            </w:r>
            <w:r>
              <w:rPr>
                <w:rFonts w:ascii="Times New Roman" w:hAnsi="Times New Roman"/>
                <w:color w:val="1F2937"/>
                <w:sz w:val="20"/>
              </w:rPr>
              <w:t>Trường hợp phương tiện đã đến điểm đích nhưng Bên B từ chối hoặc không thanh toán đầy đủ Hóa đơn Đợt 3, Bên A có toàn quyền kích hoạt QUYỀN CẦM GIỮ HỢP PHÁP (LIEN) theo Điều 546 Bộ luật Dân sự 2015 và thông lệ Logistics quốc tế. Ngựa sẽ được chuyển về trạm lưu chuồng đối tác an toàn, phát sinh phí lưu chuồng và chăm sóc thú y cưỡng chế: {{LIEN_DAILY_RATE}} USD/ngày ({{LIEN_DAILY_RATE_VND}} VNĐ/ngày). Sau thời hạn tối đa 07 (bảy) ngày mà Bên B vẫn không thanh toán, vụ việc sẽ được nộp ngay tới Trọng tài Thương mại để xử lý tài sản bảo đảm bù đắp công nợ.</w:t>
              <w:br/>
            </w:r>
            <w:r>
              <w:rPr>
                <w:rFonts w:ascii="Times New Roman" w:hAnsi="Times New Roman"/>
                <w:i/>
                <w:color w:val="4B5563"/>
                <w:sz w:val="18"/>
              </w:rPr>
              <w:t>If the vehicle arrives at destination but Party B fails or refuses to pay Invoice 3 in full, Party A reserves the full LEGAL RIGHT OF LIEN pursuant to Article 546 Vietnam Civil Code 2015 and international transport customs. The horse shall be sheltered at a secured facility, accruing a daily lien holding fee: {{LIEN_DAILY_RATE}} USD/day ({{LIEN_DAILY_RATE_VND}} VND/day). If non-payment exceeds 7 (seven) consecutive days, the dispute shall be immediately submitted to Arbitration to liquidate the asset to recover outstanding debts.</w:t>
            </w:r>
          </w:p>
        </w:tc>
      </w:tr>
    </w:tbl>
    <w:p>
      <w:pPr>
        <w:spacing w:after="40"/>
      </w:pPr>
    </w:p>
    <w:p>
      <w:pPr>
        <w:keepNext/>
        <w:spacing w:before="200" w:after="60"/>
      </w:pPr>
      <w:r>
        <w:rPr>
          <w:rFonts w:ascii="Times New Roman" w:hAnsi="Times New Roman"/>
          <w:b/>
          <w:color w:val="0F294A"/>
          <w:sz w:val="23"/>
        </w:rPr>
        <w:t>Điều 9. QUYỀN VÀ NGHĨA VỤ CỦA BÊN A (BÊN VẬN CHUYỂN)</w:t>
        <w:br/>
      </w:r>
      <w:r>
        <w:rPr>
          <w:rFonts w:ascii="Times New Roman" w:hAnsi="Times New Roman"/>
          <w:b/>
          <w:i/>
          <w:color w:val="1E3A8A"/>
          <w:sz w:val="20"/>
        </w:rPr>
        <w:t>(RIGHTS &amp; OBLIGATIONS OF PARTY A (CARRIER))</w:t>
      </w:r>
    </w:p>
    <w:p>
      <w:pPr>
        <w:spacing w:after="80" w:line="276" w:lineRule="auto"/>
      </w:pPr>
      <w:r>
        <w:rPr>
          <w:rFonts w:ascii="Times New Roman" w:hAnsi="Times New Roman"/>
          <w:color w:val="111827"/>
          <w:sz w:val="22"/>
        </w:rPr>
        <w:t>9.1. Nghĩa vụ của Bên A:</w:t>
        <w:br/>
        <w:t>• Bố trí phương tiện chuyên dụng đạt chuẩn kỹ thuật đã kiểm định và nhân sự áp tải có chứng chỉ chuyên môn.</w:t>
        <w:br/>
        <w:t>• Đảm bảo vệ sinh tiêu độc khử trùng phương tiện vận chuyển trước khi đón ngựa và sau khi trả ngựa.</w:t>
        <w:br/>
        <w:t>• Truyền phát dữ liệu giám sát hành trình GPS, video giám sát trong xe và chỉ số sinh trắc học của ngựa liên tục về Ứng dụng để Bên B theo dõi.</w:t>
        <w:br/>
        <w:t>• Mua bảo hiểm vận chuyển động vật sống giá trị cao theo đúng cam kết tại Điều 5.</w:t>
        <w:br/>
        <w:t>• Chăm sóc, cung cấp khẩu phần ăn uống, làm mát và sơ cứu thú y kịp thời trong suốt hành trình.</w:t>
        <w:br/>
      </w:r>
      <w:r>
        <w:rPr>
          <w:rFonts w:ascii="Times New Roman" w:hAnsi="Times New Roman"/>
          <w:i/>
          <w:color w:val="4B5563"/>
          <w:sz w:val="19"/>
        </w:rPr>
        <w:t>9.1. Obligations of Party A:</w:t>
        <w:br/>
        <w:t>• Deploy certified specialized fleet and qualified equine escort staff.</w:t>
        <w:br/>
        <w:t>• Sanitize and disinfect transport stalls prior to boarding and after delivery.</w:t>
        <w:br/>
        <w:t>• Broadcast live GPS tracking, in-stall CCTV, and equine biometric telemetry seamlessly to Party B's Mobile App.</w:t>
        <w:br/>
        <w:t>• Procure comprehensive livestock transit insurance as undertaken in Article 5.</w:t>
        <w:br/>
        <w:t>• Maintain proper feeding, hydration, climate control, and transit veterinary care throughout the voyage.</w:t>
      </w:r>
    </w:p>
    <w:p>
      <w:pPr>
        <w:spacing w:after="80" w:line="276" w:lineRule="auto"/>
      </w:pPr>
      <w:r>
        <w:rPr>
          <w:rFonts w:ascii="Times New Roman" w:hAnsi="Times New Roman"/>
          <w:color w:val="111827"/>
          <w:sz w:val="22"/>
        </w:rPr>
        <w:t>9.2. Quyền của Bên A:</w:t>
        <w:br/>
        <w:t>• Yêu cầu Bên B cung cấp đầy đủ, trung thực hồ sơ định danh, lý lịch y tế và giấy phép kiểm dịch hợp lệ trước giờ xuất phát.</w:t>
        <w:br/>
        <w:t>• Từ chối nhận vận chuyển nếu phát hiện ngựa có triệu chứng bệnh truyền nhiễm nguy hiểm, sốt cao hoặc kiệt sức đe dọa sinh mạng tại thời điểm khám tiền khởi hành.</w:t>
        <w:br/>
        <w:t>• Tạm dừng phương tiện tại Cổng An Toàn 50% km nếu Bên B chưa thanh toán Hóa đơn Đợt 2.</w:t>
        <w:br/>
        <w:t>• Thực thi Quyền Cầm giữ (Lien) tại điểm đến nếu Bên B không thanh toán Hóa đơn Đợt 3.</w:t>
        <w:br/>
      </w:r>
      <w:r>
        <w:rPr>
          <w:rFonts w:ascii="Times New Roman" w:hAnsi="Times New Roman"/>
          <w:i/>
          <w:color w:val="4B5563"/>
          <w:sz w:val="19"/>
        </w:rPr>
        <w:t>9.2. Rights of Party A:</w:t>
        <w:br/>
        <w:t>• Require Party B to supply truthful identification, health passports, and valid quarantine permits prior to departure.</w:t>
        <w:br/>
        <w:t>• Refuse boarding if the horse displays symptoms of contagious diseases, high fever, or severe exhaustion during pre-trip inspection.</w:t>
        <w:br/>
        <w:t>• Hold vehicle at 50% km Safety Gate if Party B fails to settle Invoice 2.</w:t>
        <w:br/>
        <w:t>• Exercise Right of Lien at destination if Party B defaults on Invoice 3.</w:t>
      </w:r>
    </w:p>
    <w:p>
      <w:pPr>
        <w:keepNext/>
        <w:spacing w:before="200" w:after="60"/>
      </w:pPr>
      <w:r>
        <w:rPr>
          <w:rFonts w:ascii="Times New Roman" w:hAnsi="Times New Roman"/>
          <w:b/>
          <w:color w:val="0F294A"/>
          <w:sz w:val="23"/>
        </w:rPr>
        <w:t>Điều 10. QUYỀN VÀ NGHĨA VỤ CỦA BÊN B (BÊN THUÊ VẬN CHUYỂN)</w:t>
        <w:br/>
      </w:r>
      <w:r>
        <w:rPr>
          <w:rFonts w:ascii="Times New Roman" w:hAnsi="Times New Roman"/>
          <w:b/>
          <w:i/>
          <w:color w:val="1E3A8A"/>
          <w:sz w:val="20"/>
        </w:rPr>
        <w:t>(RIGHTS &amp; OBLIGATIONS OF PARTY B (CUSTOMER))</w:t>
      </w:r>
    </w:p>
    <w:p>
      <w:pPr>
        <w:spacing w:after="80" w:line="276" w:lineRule="auto"/>
      </w:pPr>
      <w:r>
        <w:rPr>
          <w:rFonts w:ascii="Times New Roman" w:hAnsi="Times New Roman"/>
          <w:color w:val="111827"/>
          <w:sz w:val="22"/>
        </w:rPr>
        <w:t>10.1. Nghĩa vụ của Bên B:</w:t>
        <w:br/>
        <w:t>• Khai báo thông tin trung thực về cá thể ngựa, tiền sử bệnh tật, các đặc tính tính cách đặc thù (dễ hoảng loạn, đá chuồng) để Bên A chuẩn bị biện pháp an toàn.</w:t>
        <w:br/>
        <w:t>• Cung cấp bản gốc Hộ chiếu ngựa (FEI Passport), Giấy chứng nhận tiêm phòng cúm ngựa (trong vòng 06 tháng), xét nghiệm âm tính Coggins/EIA và các giấy tờ kiểm dịch cần thiết trước ngày khởi hành.</w:t>
        <w:br/>
        <w:t>• Ký Giấy ủy quyền y tế khẩn cấp (Phụ lục 3) cho phép bác sĩ thú y của Bên A đưa ra quyết định can thiệp thú y sinh tử khi xảy ra sự cố trên xe hoặc trên chuyến bay.</w:t>
        <w:br/>
        <w:t>• Thanh toán đúng hạn, đầy đủ các Đợt thanh toán 1, 2 và 3 trên Ứng dụng di động.</w:t>
        <w:br/>
        <w:t>• Cử người đại diện hợp pháp có mặt tại điểm đích đúng giờ để tiếp nhận bàn giao ngựa.</w:t>
        <w:br/>
      </w:r>
      <w:r>
        <w:rPr>
          <w:rFonts w:ascii="Times New Roman" w:hAnsi="Times New Roman"/>
          <w:i/>
          <w:color w:val="4B5563"/>
          <w:sz w:val="19"/>
        </w:rPr>
        <w:t>10.1. Obligations of Party B:</w:t>
        <w:br/>
        <w:t>• Provide accurate disclosure of horse pedigree, medical history, and behavioral traits (claustrophobia, kicking) for safety precautions.</w:t>
        <w:br/>
        <w:t>• Furnish original Equine Passport (FEI/Jockey Club), vaccination certificates (Equine Influenza &lt; 6 months), negative EIA/Coggins lab tests, and quarantine permits prior to departure.</w:t>
        <w:br/>
        <w:t>• Execute Emergency Medical Power of Attorney (Annex 3) empowering Party A's veterinarian to make life-saving medical decisions in emergencies.</w:t>
        <w:br/>
        <w:t>• Execute timely settlements for Golden Installments 1, 2, and 3 via the Mobile App.</w:t>
        <w:br/>
        <w:t>• Ensure authorized receiver is present punctually at destination for handover.</w:t>
      </w:r>
    </w:p>
    <w:p>
      <w:pPr>
        <w:spacing w:after="80" w:line="276" w:lineRule="auto"/>
      </w:pPr>
      <w:r>
        <w:rPr>
          <w:rFonts w:ascii="Times New Roman" w:hAnsi="Times New Roman"/>
          <w:color w:val="111827"/>
          <w:sz w:val="22"/>
        </w:rPr>
        <w:t>10.2. Quyền của Bên B:</w:t>
        <w:br/>
        <w:t>• Giám sát lộ trình di chuyển, định vị GPS, camera và tình trạng sức khỏe của ngựa trực tiếp 24/7 trên Ứng dụng di động.</w:t>
        <w:br/>
        <w:t>• Yêu cầu Bên A giải trình và cung cấp nhật ký y tế (Health Log) trong suốt chuyến đi.</w:t>
        <w:br/>
        <w:t>• Được quyền khiếu nại bảo hiểm trong Cửa sổ bảo vệ 72 giờ sau khi nhận ngựa.</w:t>
        <w:br/>
        <w:t>• Được hoàn cọc theo đúng chính sách M1 - M4 quy định tại Điều 6 nếu phát sinh sự kiện hủy chuyến hợp lệ.</w:t>
        <w:br/>
      </w:r>
      <w:r>
        <w:rPr>
          <w:rFonts w:ascii="Times New Roman" w:hAnsi="Times New Roman"/>
          <w:i/>
          <w:color w:val="4B5563"/>
          <w:sz w:val="19"/>
        </w:rPr>
        <w:t>10.2. Rights of Party B:</w:t>
        <w:br/>
        <w:t>• Monitor live transit GPS, stall camera feeds, and health biometrics 24/7 on the Mobile App.</w:t>
        <w:br/>
        <w:t>• Request journey logs and veterinary health records at any stage of transport.</w:t>
        <w:br/>
        <w:t>• Claim insurance coverage within the 72-Hour Protection Window post-handover.</w:t>
        <w:br/>
        <w:t>• Receive deposit refunds compliant with M1 - M4 milestones in Article 6 if qualifying cancellation occurs.</w:t>
      </w:r>
    </w:p>
    <w:p>
      <w:pPr>
        <w:keepNext/>
        <w:spacing w:before="200" w:after="60"/>
      </w:pPr>
      <w:r>
        <w:rPr>
          <w:rFonts w:ascii="Times New Roman" w:hAnsi="Times New Roman"/>
          <w:b/>
          <w:color w:val="0F294A"/>
          <w:sz w:val="23"/>
        </w:rPr>
        <w:t>Điều 11. HIỆU LỰC HỢP ĐỒNG &amp; GIÁ TRỊ PHÁP LÝ CỦA CHỮ KÝ ĐIỆN TỬ</w:t>
        <w:br/>
      </w:r>
      <w:r>
        <w:rPr>
          <w:rFonts w:ascii="Times New Roman" w:hAnsi="Times New Roman"/>
          <w:b/>
          <w:i/>
          <w:color w:val="1E3A8A"/>
          <w:sz w:val="20"/>
        </w:rPr>
        <w:t>(VALIDITY &amp; ELECTRONIC SIGNATURE PROVISIONS)</w:t>
      </w:r>
    </w:p>
    <w:p>
      <w:pPr>
        <w:spacing w:after="80" w:line="276" w:lineRule="auto"/>
      </w:pPr>
      <w:r>
        <w:rPr>
          <w:rFonts w:ascii="Times New Roman" w:hAnsi="Times New Roman"/>
          <w:color w:val="111827"/>
          <w:sz w:val="22"/>
        </w:rPr>
        <w:t>11.1. Giá trị Pháp lý của Giao dịch Điện tử: Hợp đồng này được thiết lập và giao kết dưới dạng thông điệp dữ liệu điện tử theo quy định của Luật Giao dịch điện tử số 20/2023/QH15. Các bên thừa nhận rằng thao tác bấm 'Ký hợp đồng' kết hợp xác thực mã OTP điện tử gửi qua SMS/Email hoặc nhận diện sinh trắc học trên Ứng dụng di động có giá trị pháp lý ràng buộc tương đương với chữ ký tay và con dấu mộc đỏ truyền thống.</w:t>
        <w:br/>
      </w:r>
      <w:r>
        <w:rPr>
          <w:rFonts w:ascii="Times New Roman" w:hAnsi="Times New Roman"/>
          <w:i/>
          <w:color w:val="4B5563"/>
          <w:sz w:val="19"/>
        </w:rPr>
        <w:t>11.1. Legal Validity of Electronic Execution: This Agreement is concluded as an electronic data message pursuant to Law on Electronic Transactions No. 20/2023/QH15. Both parties acknowledge that clicking 'Sign Contract' coupled with OTP two-factor authentication or biometrics on the Mobile App carries full legal validity equivalent to physical ink signatures and corporate seals.</w:t>
      </w:r>
    </w:p>
    <w:p>
      <w:pPr>
        <w:spacing w:after="80" w:line="276" w:lineRule="auto"/>
      </w:pPr>
      <w:r>
        <w:rPr>
          <w:rFonts w:ascii="Times New Roman" w:hAnsi="Times New Roman"/>
          <w:color w:val="111827"/>
          <w:sz w:val="22"/>
        </w:rPr>
        <w:t>11.2. Tính Toàn Vẹn &amp; Khả Năng Tái Sử Dụng (Template &amp; Cloning): Mẫu hợp đồng này được chuẩn hóa để hệ thống Backend tự động tạo lập (clone) và gán dữ liệu cho từng chuyến đi. Mọi bản ghi lịch sử giao kết, nhật ký kiểm toán (Audit Log) và mã băm mã hóa SHA-256 của Hợp đồng được lưu trữ an toàn trên máy chủ của Bên A và có giá trị chứng cứ pháp lý tuyệt đối.</w:t>
        <w:br/>
      </w:r>
      <w:r>
        <w:rPr>
          <w:rFonts w:ascii="Times New Roman" w:hAnsi="Times New Roman"/>
          <w:i/>
          <w:color w:val="4B5563"/>
          <w:sz w:val="19"/>
        </w:rPr>
        <w:t>11.2. Document Integrity &amp; Cloning: This template is standardized for automated backend generation (cloning) and dynamic parameter binding. Audit logs, transaction timestamps, and SHA-256 cryptographic hashes are securely archived on Party A's server and possess conclusive evidentiary value.</w:t>
      </w:r>
    </w:p>
    <w:p>
      <w:pPr>
        <w:keepNext/>
        <w:spacing w:before="200" w:after="60"/>
      </w:pPr>
      <w:r>
        <w:rPr>
          <w:rFonts w:ascii="Times New Roman" w:hAnsi="Times New Roman"/>
          <w:b/>
          <w:color w:val="0F294A"/>
          <w:sz w:val="23"/>
        </w:rPr>
        <w:t>Điều 12. LUẬT ÁP DỤNG &amp; GIẢI QUYẾT TRANH CHẤP QUA TRỌNG TÀI</w:t>
        <w:br/>
      </w:r>
      <w:r>
        <w:rPr>
          <w:rFonts w:ascii="Times New Roman" w:hAnsi="Times New Roman"/>
          <w:b/>
          <w:i/>
          <w:color w:val="1E3A8A"/>
          <w:sz w:val="20"/>
        </w:rPr>
        <w:t>(GOVERNING LAW &amp; DISPUTE RESOLUTION BY ARBITRATION)</w:t>
      </w:r>
    </w:p>
    <w:p>
      <w:pPr>
        <w:spacing w:after="80" w:line="276" w:lineRule="auto"/>
      </w:pPr>
      <w:r>
        <w:rPr>
          <w:rFonts w:ascii="Times New Roman" w:hAnsi="Times New Roman"/>
          <w:color w:val="111827"/>
          <w:sz w:val="22"/>
        </w:rPr>
        <w:t>12.1. Luật Áp dụng: Hợp đồng này được điều chỉnh và giải thích theo quy định của Pháp luật Nước Cộng hòa Xã hội Chủ nghĩa Việt Nam (và các công ước quốc tế về vận chuyển hàng không đa phương thức mà Việt Nam là thành viên đối với chặng bay quốc tế).</w:t>
        <w:br/>
      </w:r>
      <w:r>
        <w:rPr>
          <w:rFonts w:ascii="Times New Roman" w:hAnsi="Times New Roman"/>
          <w:i/>
          <w:color w:val="4B5563"/>
          <w:sz w:val="19"/>
        </w:rPr>
        <w:t>12.1. Governing Law: This Agreement shall be governed by and construed in accordance with the laws of the Socialist Republic of Vietnam (and applicable international conventions on multimodal air freight for cross-border routes).</w:t>
      </w:r>
    </w:p>
    <w:p>
      <w:pPr>
        <w:spacing w:after="80" w:line="276" w:lineRule="auto"/>
      </w:pPr>
      <w:r>
        <w:rPr>
          <w:rFonts w:ascii="Times New Roman" w:hAnsi="Times New Roman"/>
          <w:color w:val="111827"/>
          <w:sz w:val="22"/>
        </w:rPr>
        <w:t>12.2. Thủ tục Trọng tài Thương mại (Arbitration Clause): Mọi tranh chấp phát sinh từ hoặc liên quan đến Hợp đồng này trước hết sẽ được giải quyết thông qua thương lượng hòa giải thiện chí trong thời hạn ba mươi (30) ngày. Nếu không thể hòa giải thành, tranh chấp sẽ được đưa ra giải quyết dứt điểm tại Trung tâm Trọng tài Quốc tế Việt Nam (VIAC) theo Quy tắc tố tụng trọng tài của VIAC (hoặc Trung tâm Trọng tài Quốc tế Singapore - SIAC đối với các tranh chấp phát sinh ngoài lãnh thổ Việt Nam). Phán quyết của Hội đồng Trọng tài là chung thẩm, có giá trị bắt buộc thi hành đối với cả hai Bên. Bên thua kiện chịu toàn bộ án phí và chi phí luật sư hợp lý.</w:t>
        <w:br/>
      </w:r>
      <w:r>
        <w:rPr>
          <w:rFonts w:ascii="Times New Roman" w:hAnsi="Times New Roman"/>
          <w:i/>
          <w:color w:val="4B5563"/>
          <w:sz w:val="19"/>
        </w:rPr>
        <w:t>12.2. Arbitration Clause: Any dispute arising out of or in connection with this Agreement shall first be resolved through amicable mediation within thirty (30) days. If unresolved, the dispute shall be finally settled by arbitration at the Vietnam International Arbitration Centre (VIAC) in accordance with its Arbitration Rules (or Singapore International Arbitration Centre - SIAC for extraterritorial cross-border disputes). The arbitral award shall be final and binding on both Parties. The losing party shall bear all arbitration costs and reasonable legal fees.</w:t>
      </w:r>
    </w:p>
    <w:p>
      <w:pPr>
        <w:keepNext/>
        <w:spacing w:before="240" w:after="80"/>
      </w:pPr>
      <w:r>
        <w:rPr>
          <w:rFonts w:ascii="Times New Roman" w:hAnsi="Times New Roman"/>
          <w:b/>
          <w:color w:val="0F294A"/>
          <w:sz w:val="23"/>
        </w:rPr>
        <w:t>XÁC NHẬN KÝ KẾT ĐIỆN TỬ CỦA CÁC BÊN / PARTIES' ELECTRONIC SIGNATURES</w:t>
      </w:r>
    </w:p>
    <w:tbl>
      <w:tblPr>
        <w:tblW w:type="auto" w:w="0"/>
        <w:jc w:val="center"/>
        <w:tblLayout w:type="fixed"/>
        <w:tblLook w:firstColumn="1" w:firstRow="1" w:lastColumn="0" w:lastRow="0" w:noHBand="0" w:noVBand="1" w:val="04A0"/>
      </w:tblPr>
      <w:tblGrid>
        <w:gridCol w:w="4680"/>
        <w:gridCol w:w="4680"/>
      </w:tblGrid>
      <w:tr>
        <w:tc>
          <w:tcPr>
            <w:tcW w:type="dxa" w:w="4677"/>
            <w:shd w:fill="F9FAFB"/>
            <w:tcMar>
              <w:top w:w="100" w:type="dxa"/>
              <w:bottom w:w="100" w:type="dxa"/>
              <w:left w:w="120" w:type="dxa"/>
              <w:right w:w="120" w:type="dxa"/>
            </w:tcMar>
            <w:tcBorders>
              <w:top w:val="single" w:sz="6" w:space="0" w:color="1E3A8A"/>
              <w:left w:val="single" w:sz="6" w:space="0" w:color="1E3A8A"/>
              <w:bottom w:val="single" w:sz="6" w:space="0" w:color="1E3A8A"/>
              <w:right w:val="single" w:sz="6" w:space="0" w:color="1E3A8A"/>
              <w:insideH w:val="none"/>
              <w:insideV w:val="none"/>
            </w:tcBorders>
          </w:tcPr>
          <w:p>
            <w:pPr>
              <w:spacing w:after="40"/>
              <w:jc w:val="center"/>
            </w:pPr>
            <w:r>
              <w:rPr>
                <w:rFonts w:ascii="Times New Roman" w:hAnsi="Times New Roman"/>
                <w:b/>
                <w:color w:val="0F294A"/>
                <w:sz w:val="21"/>
              </w:rPr>
              <w:t>ĐẠI DIỆN BÊN A / FOR PARTY A</w:t>
              <w:br/>
            </w:r>
            <w:r>
              <w:rPr>
                <w:rFonts w:ascii="Times New Roman" w:hAnsi="Times New Roman"/>
                <w:i/>
                <w:sz w:val="18"/>
              </w:rPr>
              <w:t>(Ký điện tử &amp; Đóng dấu số / Digital Signature)</w:t>
              <w:br/>
              <w:br/>
            </w:r>
          </w:p>
          <w:p>
            <w:pPr>
              <w:spacing w:after="20"/>
              <w:jc w:val="left"/>
            </w:pPr>
            <w:r>
              <w:rPr>
                <w:rFonts w:ascii="Times New Roman" w:hAnsi="Times New Roman"/>
                <w:b/>
                <w:color w:val="047857"/>
                <w:sz w:val="19"/>
              </w:rPr>
              <w:t>[ĐÃ KÝ SỐ HỢP LỆ / DIGITALLY SIGNED]</w:t>
              <w:br/>
            </w:r>
            <w:r>
              <w:rPr>
                <w:rFonts w:ascii="Times New Roman" w:hAnsi="Times New Roman"/>
                <w:sz w:val="17"/>
              </w:rPr>
              <w:t>Ký bởi: {{COMPANY_REPRESENTATIVE}}</w:t>
              <w:br/>
              <w:t>Tổ chức: {{COMPANY_NAME}}</w:t>
              <w:br/>
              <w:t>Mã giao dịch ký: {{APP_DIGITAL_SIG_ID}}</w:t>
              <w:br/>
              <w:t>Thời gian ký: {{APP_SIGNED_TIMESTAMP}}</w:t>
            </w:r>
          </w:p>
        </w:tc>
        <w:tc>
          <w:tcPr>
            <w:tcW w:type="dxa" w:w="4677"/>
            <w:shd w:fill="F9FAFB"/>
            <w:tcMar>
              <w:top w:w="100" w:type="dxa"/>
              <w:bottom w:w="100" w:type="dxa"/>
              <w:left w:w="120" w:type="dxa"/>
              <w:right w:w="120" w:type="dxa"/>
            </w:tcMar>
            <w:tcBorders>
              <w:top w:val="single" w:sz="6" w:space="0" w:color="1E3A8A"/>
              <w:left w:val="single" w:sz="6" w:space="0" w:color="1E3A8A"/>
              <w:bottom w:val="single" w:sz="6" w:space="0" w:color="1E3A8A"/>
              <w:right w:val="single" w:sz="6" w:space="0" w:color="1E3A8A"/>
              <w:insideH w:val="none"/>
              <w:insideV w:val="none"/>
            </w:tcBorders>
          </w:tcPr>
          <w:p>
            <w:pPr>
              <w:spacing w:after="40"/>
              <w:jc w:val="center"/>
            </w:pPr>
            <w:r>
              <w:rPr>
                <w:rFonts w:ascii="Times New Roman" w:hAnsi="Times New Roman"/>
                <w:b/>
                <w:color w:val="0F294A"/>
                <w:sz w:val="21"/>
              </w:rPr>
              <w:t>ĐẠI DIỆN BÊN B / FOR PARTY B</w:t>
              <w:br/>
            </w:r>
            <w:r>
              <w:rPr>
                <w:rFonts w:ascii="Times New Roman" w:hAnsi="Times New Roman"/>
                <w:i/>
                <w:sz w:val="18"/>
              </w:rPr>
              <w:t>(Xác thực số OTP App / E-Verification)</w:t>
              <w:br/>
              <w:br/>
            </w:r>
          </w:p>
          <w:p>
            <w:pPr>
              <w:spacing w:after="20"/>
              <w:jc w:val="left"/>
            </w:pPr>
            <w:r>
              <w:rPr>
                <w:rFonts w:ascii="Times New Roman" w:hAnsi="Times New Roman"/>
                <w:b/>
                <w:color w:val="047857"/>
                <w:sz w:val="19"/>
              </w:rPr>
              <w:t>[ĐÃ XÁC THỰC OTP HỢP LỆ / OTP VERIFIED]</w:t>
              <w:br/>
            </w:r>
            <w:r>
              <w:rPr>
                <w:rFonts w:ascii="Times New Roman" w:hAnsi="Times New Roman"/>
                <w:sz w:val="17"/>
              </w:rPr>
              <w:t>Ký bởi: {{CUSTOMER_FULL_NAME}}</w:t>
              <w:br/>
              <w:t>Tài khoản User ID: {{CUSTOMER_USER_ID}}</w:t>
              <w:br/>
              <w:t>Mã xác thực OTP: {{CUSTOMER_OTP_AUTH_CODE}}</w:t>
              <w:br/>
              <w:t>Thời gian xác thực: {{CUSTOMER_SIGNED_TIMESTAMP}}</w:t>
            </w:r>
          </w:p>
        </w:tc>
      </w:tr>
    </w:tbl>
    <w:p>
      <w:r>
        <w:br w:type="page"/>
      </w:r>
    </w:p>
    <w:p>
      <w:pPr>
        <w:spacing w:after="80"/>
        <w:jc w:val="center"/>
      </w:pPr>
      <w:r>
        <w:rPr>
          <w:rFonts w:ascii="Times New Roman" w:hAnsi="Times New Roman"/>
          <w:b/>
          <w:color w:val="0F294A"/>
          <w:sz w:val="26"/>
        </w:rPr>
        <w:t>PHỤ LỤC 1: DANH MỤC CÁ THỂ NGỰA ĐUA &amp; HỒ SƠ ĐỊNH DANH Y TẾ</w:t>
        <w:br/>
      </w:r>
      <w:r>
        <w:rPr>
          <w:rFonts w:ascii="Times New Roman" w:hAnsi="Times New Roman"/>
          <w:i/>
          <w:color w:val="1E3A8A"/>
          <w:sz w:val="20"/>
        </w:rPr>
        <w:t>ANNEX 1: SCHEDULE OF RACEHORSES &amp; MEDICAL/IDENTIFICATION PROFILE</w:t>
        <w:br/>
        <w:t>(Đính kèm Hợp đồng số / Attached to Contract No: {{CONTRACT_CODE}})</w:t>
      </w:r>
    </w:p>
    <w:p>
      <w:pPr>
        <w:spacing w:after="80" w:line="276" w:lineRule="auto"/>
      </w:pPr>
      <w:r>
        <w:rPr>
          <w:rFonts w:ascii="Times New Roman" w:hAnsi="Times New Roman"/>
          <w:color w:val="111827"/>
          <w:sz w:val="22"/>
        </w:rPr>
        <w:t>Bảng chi tiết thông số định danh, vi mạch và tình trạng hồ sơ pháp lý y tế của từng cá thể ngựa vận chuyển trong chuyến đi:</w:t>
        <w:br/>
      </w:r>
      <w:r>
        <w:rPr>
          <w:rFonts w:ascii="Times New Roman" w:hAnsi="Times New Roman"/>
          <w:i/>
          <w:color w:val="4B5563"/>
          <w:sz w:val="19"/>
        </w:rPr>
        <w:t>Detailed schedule of microchip identification, equine passports, and health status for each transported racehorse:</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576"/>
            <w:shd w:fill="1E3A8A"/>
            <w:tcMar>
              <w:top w:w="60" w:type="dxa"/>
              <w:bottom w:w="60" w:type="dxa"/>
              <w:left w:w="60" w:type="dxa"/>
              <w:right w:w="60" w:type="dxa"/>
            </w:tcMar>
          </w:tcPr>
          <w:p>
            <w:r>
              <w:rPr>
                <w:rFonts w:ascii="Times New Roman" w:hAnsi="Times New Roman"/>
                <w:b/>
                <w:color w:val="FFFFFF"/>
                <w:sz w:val="17"/>
              </w:rPr>
              <w:t>STT</w:t>
              <w:br/>
              <w:t>No.</w:t>
            </w:r>
          </w:p>
        </w:tc>
        <w:tc>
          <w:tcPr>
            <w:tcW w:type="dxa" w:w="2016"/>
            <w:shd w:fill="1E3A8A"/>
            <w:tcMar>
              <w:top w:w="60" w:type="dxa"/>
              <w:bottom w:w="60" w:type="dxa"/>
              <w:left w:w="60" w:type="dxa"/>
              <w:right w:w="60" w:type="dxa"/>
            </w:tcMar>
          </w:tcPr>
          <w:p>
            <w:r>
              <w:rPr>
                <w:rFonts w:ascii="Times New Roman" w:hAnsi="Times New Roman"/>
                <w:b/>
                <w:color w:val="FFFFFF"/>
                <w:sz w:val="17"/>
              </w:rPr>
              <w:t>Tên cá thể ngựa</w:t>
              <w:br/>
              <w:t>Horse Name</w:t>
            </w:r>
          </w:p>
        </w:tc>
        <w:tc>
          <w:tcPr>
            <w:tcW w:type="dxa" w:w="2016"/>
            <w:shd w:fill="1E3A8A"/>
            <w:tcMar>
              <w:top w:w="60" w:type="dxa"/>
              <w:bottom w:w="60" w:type="dxa"/>
              <w:left w:w="60" w:type="dxa"/>
              <w:right w:w="60" w:type="dxa"/>
            </w:tcMar>
          </w:tcPr>
          <w:p>
            <w:r>
              <w:rPr>
                <w:rFonts w:ascii="Times New Roman" w:hAnsi="Times New Roman"/>
                <w:b/>
                <w:color w:val="FFFFFF"/>
                <w:sz w:val="17"/>
              </w:rPr>
              <w:t>Mã số Vi Mạch</w:t>
              <w:br/>
              <w:t>Microchip ISO 11784</w:t>
            </w:r>
          </w:p>
        </w:tc>
        <w:tc>
          <w:tcPr>
            <w:tcW w:type="dxa" w:w="1440"/>
            <w:shd w:fill="1E3A8A"/>
            <w:tcMar>
              <w:top w:w="60" w:type="dxa"/>
              <w:bottom w:w="60" w:type="dxa"/>
              <w:left w:w="60" w:type="dxa"/>
              <w:right w:w="60" w:type="dxa"/>
            </w:tcMar>
          </w:tcPr>
          <w:p>
            <w:r>
              <w:rPr>
                <w:rFonts w:ascii="Times New Roman" w:hAnsi="Times New Roman"/>
                <w:b/>
                <w:color w:val="FFFFFF"/>
                <w:sz w:val="17"/>
              </w:rPr>
              <w:t>Số Hộ chiếu FEI</w:t>
              <w:br/>
              <w:t>FEI Passport</w:t>
            </w:r>
          </w:p>
        </w:tc>
        <w:tc>
          <w:tcPr>
            <w:tcW w:type="dxa" w:w="1440"/>
            <w:shd w:fill="1E3A8A"/>
            <w:tcMar>
              <w:top w:w="60" w:type="dxa"/>
              <w:bottom w:w="60" w:type="dxa"/>
              <w:left w:w="60" w:type="dxa"/>
              <w:right w:w="60" w:type="dxa"/>
            </w:tcMar>
          </w:tcPr>
          <w:p>
            <w:r>
              <w:rPr>
                <w:rFonts w:ascii="Times New Roman" w:hAnsi="Times New Roman"/>
                <w:b/>
                <w:color w:val="FFFFFF"/>
                <w:sz w:val="17"/>
              </w:rPr>
              <w:t>Giống / Giới tính</w:t>
              <w:br/>
              <w:t>Breed / Sex</w:t>
            </w:r>
          </w:p>
        </w:tc>
        <w:tc>
          <w:tcPr>
            <w:tcW w:type="dxa" w:w="1872"/>
            <w:shd w:fill="1E3A8A"/>
            <w:tcMar>
              <w:top w:w="60" w:type="dxa"/>
              <w:bottom w:w="60" w:type="dxa"/>
              <w:left w:w="60" w:type="dxa"/>
              <w:right w:w="60" w:type="dxa"/>
            </w:tcMar>
          </w:tcPr>
          <w:p>
            <w:r>
              <w:rPr>
                <w:rFonts w:ascii="Times New Roman" w:hAnsi="Times New Roman"/>
                <w:b/>
                <w:color w:val="FFFFFF"/>
                <w:sz w:val="17"/>
              </w:rPr>
              <w:t>Trạng thái Y tế</w:t>
              <w:br/>
              <w:t>Medical Status</w:t>
            </w:r>
          </w:p>
        </w:tc>
      </w:tr>
      <w:tr>
        <w:tc>
          <w:tcPr>
            <w:tcW w:type="dxa" w:w="576"/>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01</w:t>
            </w:r>
          </w:p>
        </w:tc>
        <w:tc>
          <w:tcPr>
            <w:tcW w:type="dxa" w:w="2016"/>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{{HORSE_1_NAME}}</w:t>
              <w:br/>
              <w:t>(Mã: {{HORSE_1_ID}})</w:t>
            </w:r>
          </w:p>
        </w:tc>
        <w:tc>
          <w:tcPr>
            <w:tcW w:type="dxa" w:w="2016"/>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{{HORSE_1_MICROCHIP}}</w:t>
            </w:r>
          </w:p>
        </w:tc>
        <w:tc>
          <w:tcPr>
            <w:tcW w:type="dxa" w:w="1440"/>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{{HORSE_1_FEI_NO}}</w:t>
            </w:r>
          </w:p>
        </w:tc>
        <w:tc>
          <w:tcPr>
            <w:tcW w:type="dxa" w:w="1440"/>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{{HORSE_1_BREED}}</w:t>
              <w:br/>
              <w:t>{{HORSE_1_SEX}}, {{HORSE_1_AGE}} tuổi</w:t>
            </w:r>
          </w:p>
        </w:tc>
        <w:tc>
          <w:tcPr>
            <w:tcW w:type="dxa" w:w="1872"/>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Khám lâm sàng: {{HORSE_1_VET_STATUS}}</w:t>
              <w:br/>
              <w:t>Cúm ngựa: Đã tiêm</w:t>
              <w:br/>
              <w:t>EIA/Coggins: Âm tính</w:t>
            </w:r>
          </w:p>
        </w:tc>
      </w:tr>
    </w:tbl>
    <w:p>
      <w:pPr>
        <w:spacing w:after="40"/>
      </w:pPr>
    </w:p>
    <w:p>
      <w:pPr>
        <w:spacing w:after="80" w:line="276" w:lineRule="auto"/>
      </w:pPr>
      <w:r>
        <w:rPr>
          <w:rFonts w:ascii="Times New Roman" w:hAnsi="Times New Roman"/>
          <w:color w:val="111827"/>
          <w:sz w:val="22"/>
        </w:rPr>
        <w:t>Danh mục hồ sơ y tế &amp; kiểm dịch đính kèm bắt buộc:</w:t>
        <w:br/>
        <w:t>1. Bản gốc Hộ chiếu ngựa (FEI Passport) hoặc Giấy chứng nhận đăng kiểm giống Jockey Club.</w:t>
        <w:br/>
        <w:t>2. Giấy chứng nhận kiểm dịch động vật vận chuyển (Export/Domestic Health Certificate) còn hiệu lực do Chi cục Thú y cấp.</w:t>
        <w:br/>
        <w:t>3. Phiếu kết quả xét nghiệm âm tính bệnh Thiếu máu truyền nhiễm (Equine Infectious Anemia - Coggins Test) trong vòng 30 ngày.</w:t>
        <w:br/>
        <w:t>4. Sổ tiêm chủng vắc-xin Cúm ngựa (Equine Influenza) với mũi tiêm nhắc lại trong vòng 06 tháng gần nhất.</w:t>
        <w:br/>
        <w:t>5. Sổ Tạm Quản Hải quan ATA (ATA Carnet) hoặc Tờ khai tạm xuất tái nhập đối với các chặng thi đấu quốc tế.</w:t>
        <w:br/>
      </w:r>
      <w:r>
        <w:rPr>
          <w:rFonts w:ascii="Times New Roman" w:hAnsi="Times New Roman"/>
          <w:i/>
          <w:color w:val="4B5563"/>
          <w:sz w:val="19"/>
        </w:rPr>
        <w:t>Mandatory Accompanying Veterinary &amp; Customs Documentation:</w:t>
        <w:br/>
        <w:t>1. Original Equine Passport (FEI) or Jockey Club registration certificate.</w:t>
        <w:br/>
        <w:t>2. Valid Animal Health Inspection Certificate issued by competent Veterinary Authority.</w:t>
        <w:br/>
        <w:t>3. Negative laboratory test report for Equine Infectious Anemia (EIA/Coggins Test) within 30 days.</w:t>
        <w:br/>
        <w:t>4. Equine Influenza vaccination record showing booster within the last 6 months.</w:t>
        <w:br/>
        <w:t>5. ATA Carnet or customs temporary export-reimport declarations for international events.</w:t>
      </w:r>
    </w:p>
    <w:p>
      <w:r>
        <w:br w:type="page"/>
      </w:r>
    </w:p>
    <w:p>
      <w:pPr>
        <w:spacing w:after="80"/>
        <w:jc w:val="center"/>
      </w:pPr>
      <w:r>
        <w:rPr>
          <w:rFonts w:ascii="Times New Roman" w:hAnsi="Times New Roman"/>
          <w:b/>
          <w:color w:val="0F294A"/>
          <w:sz w:val="26"/>
        </w:rPr>
        <w:t>PHỤ LỤC 2: KẾ HOẠCH LỘ TRÌNH CHI TIẾT &amp; TIẾN ĐỘ THANH TOÁN 3 ĐỢT</w:t>
        <w:br/>
      </w:r>
      <w:r>
        <w:rPr>
          <w:rFonts w:ascii="Times New Roman" w:hAnsi="Times New Roman"/>
          <w:i/>
          <w:color w:val="1E3A8A"/>
          <w:sz w:val="20"/>
        </w:rPr>
        <w:t>ANNEX 2: DETAILED ROUTING ITINERARY &amp; 3-STAGE GOLDEN PAYMENT MILESTONES</w:t>
        <w:br/>
        <w:t>(Đính kèm Hợp đồng số / Attached to Contract No: {{CONTRACT_CODE}})</w:t>
      </w:r>
    </w:p>
    <w:p>
      <w:pPr>
        <w:keepNext/>
        <w:spacing w:before="200" w:after="60"/>
      </w:pPr>
      <w:r>
        <w:rPr>
          <w:rFonts w:ascii="Times New Roman" w:hAnsi="Times New Roman"/>
          <w:b/>
          <w:color w:val="0F294A"/>
          <w:sz w:val="23"/>
        </w:rPr>
        <w:t>Phần I. KẾ HOẠCH CHẶNG ĐƯỜNG &amp; TRẠM DỪNG NGHỈ ĐỐI TÁC</w:t>
        <w:br/>
      </w:r>
      <w:r>
        <w:rPr>
          <w:rFonts w:ascii="Times New Roman" w:hAnsi="Times New Roman"/>
          <w:b/>
          <w:i/>
          <w:color w:val="1E3A8A"/>
          <w:sz w:val="20"/>
        </w:rPr>
        <w:t>(ROUTE SEGMENTS &amp; PARTNER FACILITIES)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440"/>
            <w:shd w:fill="1E3A8A"/>
            <w:tcMar>
              <w:top w:w="60" w:type="dxa"/>
              <w:bottom w:w="60" w:type="dxa"/>
              <w:left w:w="60" w:type="dxa"/>
              <w:right w:w="60" w:type="dxa"/>
            </w:tcMar>
          </w:tcPr>
          <w:p>
            <w:r>
              <w:rPr>
                <w:rFonts w:ascii="Times New Roman" w:hAnsi="Times New Roman"/>
                <w:b/>
                <w:color w:val="FFFFFF"/>
                <w:sz w:val="17"/>
              </w:rPr>
              <w:t>Chặng</w:t>
              <w:br/>
              <w:t>Segment</w:t>
            </w:r>
          </w:p>
        </w:tc>
        <w:tc>
          <w:tcPr>
            <w:tcW w:type="dxa" w:w="2304"/>
            <w:shd w:fill="1E3A8A"/>
            <w:tcMar>
              <w:top w:w="60" w:type="dxa"/>
              <w:bottom w:w="60" w:type="dxa"/>
              <w:left w:w="60" w:type="dxa"/>
              <w:right w:w="60" w:type="dxa"/>
            </w:tcMar>
          </w:tcPr>
          <w:p>
            <w:r>
              <w:rPr>
                <w:rFonts w:ascii="Times New Roman" w:hAnsi="Times New Roman"/>
                <w:b/>
                <w:color w:val="FFFFFF"/>
                <w:sz w:val="17"/>
              </w:rPr>
              <w:t>Địa điểm / Trạm dừng</w:t>
              <w:br/>
              <w:t>Waypoint / Facility</w:t>
            </w:r>
          </w:p>
        </w:tc>
        <w:tc>
          <w:tcPr>
            <w:tcW w:type="dxa" w:w="1728"/>
            <w:shd w:fill="1E3A8A"/>
            <w:tcMar>
              <w:top w:w="60" w:type="dxa"/>
              <w:bottom w:w="60" w:type="dxa"/>
              <w:left w:w="60" w:type="dxa"/>
              <w:right w:w="60" w:type="dxa"/>
            </w:tcMar>
          </w:tcPr>
          <w:p>
            <w:r>
              <w:rPr>
                <w:rFonts w:ascii="Times New Roman" w:hAnsi="Times New Roman"/>
                <w:b/>
                <w:color w:val="FFFFFF"/>
                <w:sz w:val="17"/>
              </w:rPr>
              <w:t>Phương thức</w:t>
              <w:br/>
              <w:t>Mode</w:t>
            </w:r>
          </w:p>
        </w:tc>
        <w:tc>
          <w:tcPr>
            <w:tcW w:type="dxa" w:w="1872"/>
            <w:shd w:fill="1E3A8A"/>
            <w:tcMar>
              <w:top w:w="60" w:type="dxa"/>
              <w:bottom w:w="60" w:type="dxa"/>
              <w:left w:w="60" w:type="dxa"/>
              <w:right w:w="60" w:type="dxa"/>
            </w:tcMar>
          </w:tcPr>
          <w:p>
            <w:r>
              <w:rPr>
                <w:rFonts w:ascii="Times New Roman" w:hAnsi="Times New Roman"/>
                <w:b/>
                <w:color w:val="FFFFFF"/>
                <w:sz w:val="17"/>
              </w:rPr>
              <w:t>Thời gian dự kiến</w:t>
              <w:br/>
              <w:t>Estimated ETA</w:t>
            </w:r>
          </w:p>
        </w:tc>
        <w:tc>
          <w:tcPr>
            <w:tcW w:type="dxa" w:w="2016"/>
            <w:shd w:fill="1E3A8A"/>
            <w:tcMar>
              <w:top w:w="60" w:type="dxa"/>
              <w:bottom w:w="60" w:type="dxa"/>
              <w:left w:w="60" w:type="dxa"/>
              <w:right w:w="60" w:type="dxa"/>
            </w:tcMar>
          </w:tcPr>
          <w:p>
            <w:r>
              <w:rPr>
                <w:rFonts w:ascii="Times New Roman" w:hAnsi="Times New Roman"/>
                <w:b/>
                <w:color w:val="FFFFFF"/>
                <w:sz w:val="17"/>
              </w:rPr>
              <w:t>Nội dung kỹ thuật</w:t>
              <w:br/>
              <w:t>Operation Notes</w:t>
            </w:r>
          </w:p>
        </w:tc>
      </w:tr>
      <w:tr>
        <w:tc>
          <w:tcPr>
            <w:tcW w:type="dxa" w:w="144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Chặng 1</w:t>
              <w:br/>
              <w:t>(Khởi hành)</w:t>
            </w:r>
          </w:p>
        </w:tc>
        <w:tc>
          <w:tcPr>
            <w:tcW w:type="dxa" w:w="2304"/>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{{DEPARTURE_LOCATION}}</w:t>
              <w:br/>
              <w:t>(Trại xuất phát)</w:t>
            </w:r>
          </w:p>
        </w:tc>
        <w:tc>
          <w:tcPr>
            <w:tcW w:type="dxa" w:w="1728"/>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Đường bộ chuyên dụng</w:t>
              <w:br/>
              <w:t>(Dedicated Truck)</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{{EXPECTED_DEPARTURE_DATETIME}}</w:t>
            </w:r>
          </w:p>
        </w:tc>
        <w:tc>
          <w:tcPr>
            <w:tcW w:type="dxa" w:w="2016"/>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Khám sức khỏe tiền xuất phát, kiểm tra vi mạch, bốc dỡ ngựa lên xe.</w:t>
            </w:r>
          </w:p>
        </w:tc>
      </w:tr>
      <w:tr>
        <w:tc>
          <w:tcPr>
            <w:tcW w:type="dxa" w:w="1440"/>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Chặng 2</w:t>
              <w:br/>
              <w:t>(50% Cự ly)</w:t>
            </w:r>
          </w:p>
        </w:tc>
        <w:tc>
          <w:tcPr>
            <w:tcW w:type="dxa" w:w="2304"/>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{{SAFETY_GATE_LOCATION}}</w:t>
              <w:br/>
              <w:t>(Trạm nghỉ đối tác)</w:t>
            </w:r>
          </w:p>
        </w:tc>
        <w:tc>
          <w:tcPr>
            <w:tcW w:type="dxa" w:w="1728"/>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Trạm nghỉ kỹ thuật</w:t>
              <w:br/>
              <w:t>(Partner Stable)</w:t>
            </w:r>
          </w:p>
        </w:tc>
        <w:tc>
          <w:tcPr>
            <w:tcW w:type="dxa" w:w="1872"/>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{{SAFETY_GATE_ETA}}</w:t>
            </w:r>
          </w:p>
        </w:tc>
        <w:tc>
          <w:tcPr>
            <w:tcW w:type="dxa" w:w="2016"/>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 CỔNG AN TOÀN 50%: Nghỉ ngơi 4-8h, cấp nước, cho ăn cỏ Timothy, kiểm tra thân nhiệt, THANH TOÁN ĐỢT 2.</w:t>
            </w:r>
          </w:p>
        </w:tc>
      </w:tr>
      <w:tr>
        <w:tc>
          <w:tcPr>
            <w:tcW w:type="dxa" w:w="144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Chặng 3</w:t>
              <w:br/>
              <w:t>(Về đích)</w:t>
            </w:r>
          </w:p>
        </w:tc>
        <w:tc>
          <w:tcPr>
            <w:tcW w:type="dxa" w:w="2304"/>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{{DESTINATION_LOCATION}}</w:t>
              <w:br/>
              <w:t>(Trường đua/Trại đích)</w:t>
            </w:r>
          </w:p>
        </w:tc>
        <w:tc>
          <w:tcPr>
            <w:tcW w:type="dxa" w:w="1728"/>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Giao nhận tại đích</w:t>
              <w:br/>
              <w:t>(Arrival / Handover)</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{{COMMITTED_DEADLINE_DATETIME}}</w:t>
            </w:r>
          </w:p>
        </w:tc>
        <w:tc>
          <w:tcPr>
            <w:tcW w:type="dxa" w:w="2016"/>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THANH TOÁN ĐỢT 3, đối soát vi mạch RFID, kiểm tra lâm sàng, ký Biên bản Handover, kích hoạt cửa sổ 72h.</w:t>
            </w:r>
          </w:p>
        </w:tc>
      </w:tr>
    </w:tbl>
    <w:p>
      <w:pPr>
        <w:keepNext/>
        <w:spacing w:before="200" w:after="60"/>
      </w:pPr>
      <w:r>
        <w:rPr>
          <w:rFonts w:ascii="Times New Roman" w:hAnsi="Times New Roman"/>
          <w:b/>
          <w:color w:val="0F294A"/>
          <w:sz w:val="23"/>
        </w:rPr>
        <w:t>Phần II. BẢNG TIẾN ĐỘ DÒNG TIỀN VÀ TRẠNG THÁI HÓA ĐƠN</w:t>
        <w:br/>
      </w:r>
      <w:r>
        <w:rPr>
          <w:rFonts w:ascii="Times New Roman" w:hAnsi="Times New Roman"/>
          <w:b/>
          <w:i/>
          <w:color w:val="1E3A8A"/>
          <w:sz w:val="20"/>
        </w:rPr>
        <w:t>(CASHFLOW MILESTONES &amp; INVOICE STATUS)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440"/>
            <w:shd w:fill="1E3A8A"/>
            <w:tcMar>
              <w:top w:w="60" w:type="dxa"/>
              <w:bottom w:w="60" w:type="dxa"/>
              <w:left w:w="60" w:type="dxa"/>
              <w:right w:w="60" w:type="dxa"/>
            </w:tcMar>
          </w:tcPr>
          <w:p>
            <w:r>
              <w:rPr>
                <w:rFonts w:ascii="Times New Roman" w:hAnsi="Times New Roman"/>
                <w:b/>
                <w:color w:val="FFFFFF"/>
                <w:sz w:val="17"/>
              </w:rPr>
              <w:t>Mã Hóa đơn</w:t>
              <w:br/>
              <w:t>Invoice ID</w:t>
            </w:r>
          </w:p>
        </w:tc>
        <w:tc>
          <w:tcPr>
            <w:tcW w:type="dxa" w:w="1872"/>
            <w:shd w:fill="1E3A8A"/>
            <w:tcMar>
              <w:top w:w="60" w:type="dxa"/>
              <w:bottom w:w="60" w:type="dxa"/>
              <w:left w:w="60" w:type="dxa"/>
              <w:right w:w="60" w:type="dxa"/>
            </w:tcMar>
          </w:tcPr>
          <w:p>
            <w:r>
              <w:rPr>
                <w:rFonts w:ascii="Times New Roman" w:hAnsi="Times New Roman"/>
                <w:b/>
                <w:color w:val="FFFFFF"/>
                <w:sz w:val="17"/>
              </w:rPr>
              <w:t>Đợt thu / Tỷ lệ</w:t>
              <w:br/>
              <w:t>Stage / Ratio</w:t>
            </w:r>
          </w:p>
        </w:tc>
        <w:tc>
          <w:tcPr>
            <w:tcW w:type="dxa" w:w="1872"/>
            <w:shd w:fill="1E3A8A"/>
            <w:tcMar>
              <w:top w:w="60" w:type="dxa"/>
              <w:bottom w:w="60" w:type="dxa"/>
              <w:left w:w="60" w:type="dxa"/>
              <w:right w:w="60" w:type="dxa"/>
            </w:tcMar>
          </w:tcPr>
          <w:p>
            <w:r>
              <w:rPr>
                <w:rFonts w:ascii="Times New Roman" w:hAnsi="Times New Roman"/>
                <w:b/>
                <w:color w:val="FFFFFF"/>
                <w:sz w:val="17"/>
              </w:rPr>
              <w:t>Số tiền quy đổi</w:t>
              <w:br/>
              <w:t>Amount (USD / VND)</w:t>
            </w:r>
          </w:p>
        </w:tc>
        <w:tc>
          <w:tcPr>
            <w:tcW w:type="dxa" w:w="2016"/>
            <w:shd w:fill="1E3A8A"/>
            <w:tcMar>
              <w:top w:w="60" w:type="dxa"/>
              <w:bottom w:w="60" w:type="dxa"/>
              <w:left w:w="60" w:type="dxa"/>
              <w:right w:w="60" w:type="dxa"/>
            </w:tcMar>
          </w:tcPr>
          <w:p>
            <w:r>
              <w:rPr>
                <w:rFonts w:ascii="Times New Roman" w:hAnsi="Times New Roman"/>
                <w:b/>
                <w:color w:val="FFFFFF"/>
                <w:sz w:val="17"/>
              </w:rPr>
              <w:t>Hạn thanh toán</w:t>
              <w:br/>
              <w:t>Payment Due</w:t>
            </w:r>
          </w:p>
        </w:tc>
        <w:tc>
          <w:tcPr>
            <w:tcW w:type="dxa" w:w="2160"/>
            <w:shd w:fill="1E3A8A"/>
            <w:tcMar>
              <w:top w:w="60" w:type="dxa"/>
              <w:bottom w:w="60" w:type="dxa"/>
              <w:left w:w="60" w:type="dxa"/>
              <w:right w:w="60" w:type="dxa"/>
            </w:tcMar>
          </w:tcPr>
          <w:p>
            <w:r>
              <w:rPr>
                <w:rFonts w:ascii="Times New Roman" w:hAnsi="Times New Roman"/>
                <w:b/>
                <w:color w:val="FFFFFF"/>
                <w:sz w:val="17"/>
              </w:rPr>
              <w:t>Hành động hệ thống khi chậm trả</w:t>
              <w:br/>
              <w:t>System Interlock</w:t>
            </w:r>
          </w:p>
        </w:tc>
      </w:tr>
      <w:tr>
        <w:tc>
          <w:tcPr>
            <w:tcW w:type="dxa" w:w="144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INV_1</w:t>
              <w:br/>
              <w:t>(Cọc 40%)</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Đợt 1 (40% P)</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{{DEPOSIT_AMOUNT_40}} USD</w:t>
              <w:br/>
              <w:t>({{DEPOSIT_AMOUNT_40_VND}} VNĐ)</w:t>
            </w:r>
          </w:p>
        </w:tc>
        <w:tc>
          <w:tcPr>
            <w:tcW w:type="dxa" w:w="2016"/>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Trong 24h sau khi ký HĐ</w:t>
              <w:br/>
              <w:t>(Trước giờ G)</w:t>
            </w:r>
          </w:p>
        </w:tc>
        <w:tc>
          <w:tcPr>
            <w:tcW w:type="dxa" w:w="216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Không điều xe lăn bánh, hủy yêu cầu sau hạn chót.</w:t>
            </w:r>
          </w:p>
        </w:tc>
      </w:tr>
      <w:tr>
        <w:tc>
          <w:tcPr>
            <w:tcW w:type="dxa" w:w="1440"/>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INV_2</w:t>
              <w:br/>
              <w:t>(Giữa chặng 30%)</w:t>
            </w:r>
          </w:p>
        </w:tc>
        <w:tc>
          <w:tcPr>
            <w:tcW w:type="dxa" w:w="1872"/>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Đợt 2 (30% P) + Phụ phí chặng 1</w:t>
            </w:r>
          </w:p>
        </w:tc>
        <w:tc>
          <w:tcPr>
            <w:tcW w:type="dxa" w:w="1872"/>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{{MIDWAY_AMOUNT_30}} USD</w:t>
              <w:br/>
              <w:t>({{MIDWAY_AMOUNT_30_VND}} VNĐ)</w:t>
            </w:r>
          </w:p>
        </w:tc>
        <w:tc>
          <w:tcPr>
            <w:tcW w:type="dxa" w:w="2016"/>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Khi xe tới trạm 50% km</w:t>
              <w:br/>
              <w:t>(Tại Safety Gate)</w:t>
            </w:r>
          </w:p>
        </w:tc>
        <w:tc>
          <w:tcPr>
            <w:tcW w:type="dxa" w:w="2160"/>
            <w:shd w:fill="FFFFFF"/>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Cửa chặn an toàn khóa: Không cho xe rời trạm nghỉ.</w:t>
            </w:r>
          </w:p>
        </w:tc>
      </w:tr>
      <w:tr>
        <w:tc>
          <w:tcPr>
            <w:tcW w:type="dxa" w:w="144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7"/>
              </w:rPr>
              <w:t>INV_3</w:t>
              <w:br/>
              <w:t>(Quyết toán 30%)</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Đợt 3 (30% P) + Phụ phí chặng cuối</w:t>
            </w:r>
          </w:p>
        </w:tc>
        <w:tc>
          <w:tcPr>
            <w:tcW w:type="dxa" w:w="1872"/>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{{FINAL_AMOUNT_30}} USD</w:t>
              <w:br/>
              <w:t>({{FINAL_AMOUNT_30_VND}} VNĐ)</w:t>
            </w:r>
          </w:p>
        </w:tc>
        <w:tc>
          <w:tcPr>
            <w:tcW w:type="dxa" w:w="2016"/>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Khi xe chạm điểm đích</w:t>
              <w:br/>
              <w:t>(Trước bàn giao)</w:t>
            </w:r>
          </w:p>
        </w:tc>
        <w:tc>
          <w:tcPr>
            <w:tcW w:type="dxa" w:w="2160"/>
            <w:shd w:fill="F9FAFB"/>
            <w:tcMar>
              <w:top w:w="60" w:type="dxa"/>
              <w:bottom w:w="60" w:type="dxa"/>
              <w:left w:w="60" w:type="dxa"/>
              <w:right w:w="6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sz w:val="17"/>
              </w:rPr>
              <w:t>Kích hoạt Quyền Cầm Giữ (Lien), tính phí 150 USD/ngày.</w:t>
            </w:r>
          </w:p>
        </w:tc>
      </w:tr>
    </w:tbl>
    <w:p>
      <w:r>
        <w:br w:type="page"/>
      </w:r>
    </w:p>
    <w:p>
      <w:pPr>
        <w:spacing w:after="80"/>
        <w:jc w:val="center"/>
      </w:pPr>
      <w:r>
        <w:rPr>
          <w:rFonts w:ascii="Times New Roman" w:hAnsi="Times New Roman"/>
          <w:b/>
          <w:color w:val="0F294A"/>
          <w:sz w:val="26"/>
        </w:rPr>
        <w:t>PHỤ LỤC 3: GIẤY ỦY QUYỀN CAN THIỆP Y TẾ THÚ Y KHẨN CẤP</w:t>
        <w:br/>
        <w:t>&amp; QUY TRÌNH BIÊN BẢN BÀN GIAO (HANDOVER)</w:t>
        <w:br/>
      </w:r>
      <w:r>
        <w:rPr>
          <w:rFonts w:ascii="Times New Roman" w:hAnsi="Times New Roman"/>
          <w:i/>
          <w:color w:val="1E3A8A"/>
          <w:sz w:val="20"/>
        </w:rPr>
        <w:t>ANNEX 3: EMERGENCY MEDICAL POWER OF ATTORNEY (FEI COMPLIANT)</w:t>
        <w:br/>
        <w:t>&amp; HANDOVER PROTOCOL SPECIFICATION</w:t>
        <w:br/>
        <w:t>(Đính kèm Hợp đồng số / Attached to Contract No: {{CONTRACT_CODE}})</w:t>
      </w:r>
    </w:p>
    <w:p>
      <w:pPr>
        <w:keepNext/>
        <w:spacing w:before="200" w:after="60"/>
      </w:pPr>
      <w:r>
        <w:rPr>
          <w:rFonts w:ascii="Times New Roman" w:hAnsi="Times New Roman"/>
          <w:b/>
          <w:color w:val="0F294A"/>
          <w:sz w:val="23"/>
        </w:rPr>
        <w:t>Phần I. GIẤY ỦY QUYỀN Y TẾ KHẨN CẤP (EMERGENCY MEDICAL POWER OF ATTORNEY)</w:t>
        <w:br/>
      </w:r>
      <w:r>
        <w:rPr>
          <w:rFonts w:ascii="Times New Roman" w:hAnsi="Times New Roman"/>
          <w:b/>
          <w:i/>
          <w:color w:val="1E3A8A"/>
          <w:sz w:val="20"/>
        </w:rPr>
        <w:t>(EMERGENCY VETERINARY POWER OF ATTORNEY)</w:t>
      </w:r>
    </w:p>
    <w:p>
      <w:pPr>
        <w:spacing w:after="60" w:line="276" w:lineRule="auto"/>
      </w:pPr>
      <w:r>
        <w:rPr>
          <w:rFonts w:ascii="Times New Roman" w:hAnsi="Times New Roman"/>
          <w:color w:val="111827"/>
          <w:sz w:val="22"/>
        </w:rPr>
        <w:t>Căn cứ tiêu chuẩn thú y của Liên đoàn Thể thao Cưỡi ngựa Quốc tế (FEI Veterinary Regulations) và Quy định Vận chuyển Động vật Sống của IATA (Live Animals Regulations):</w:t>
        <w:br/>
        <w:t>Tôi là: {{CUSTOMER_FULL_NAME}}, Chủ sở hữu / Người đại diện hợp pháp của các cá thể ngựa được liệt kê tại Phụ lục 1, bằng văn bản này BẬT ĐÈN XANH VÀ ỦY QUYỀN TUYỆT ĐỐI cho Chuyên viên áp tải / Bác sĩ thú y chỉ định của Bên A trong trường hợp phát sinh sự cố y tế khẩn cấp đe dọa trực tiếp tới tính mạng cá thể ngựa hoặc an toàn chuyến bay/chuyến xe:</w:t>
        <w:br/>
      </w:r>
      <w:r>
        <w:rPr>
          <w:rFonts w:ascii="Times New Roman" w:hAnsi="Times New Roman"/>
          <w:i/>
          <w:color w:val="4B5563"/>
          <w:sz w:val="19"/>
        </w:rPr>
        <w:t>Pursuant to FEI Veterinary Regulations and IATA Live Animals Regulations:</w:t>
        <w:br/>
        <w:t>I, the undersigned {{CUSTOMER_FULL_NAME}}, being the lawful Owner/Authorized Agent of the racehorse(s) specified in Annex 1, hereby IRREVOCABLY AUTHORIZE Party A's designated Flight Veterinarian / Equine Escort in life-threatening medical emergencies or severe safety jeopardy aboard the aircraft or road vehicle to:</w:t>
      </w:r>
    </w:p>
    <w:p>
      <w:pPr>
        <w:spacing w:after="40" w:line="276" w:lineRule="auto"/>
        <w:ind w:left="360"/>
      </w:pPr>
      <w:r>
        <w:rPr>
          <w:rFonts w:ascii="Times New Roman" w:hAnsi="Times New Roman"/>
          <w:color w:val="111827"/>
          <w:sz w:val="22"/>
        </w:rPr>
        <w:t>• Thực hiện các biện pháp sơ cấp cứu khẩn cấp, truyền dịch và dùng thuốc giảm đau chuyên dụng;</w:t>
        <w:br/>
      </w:r>
      <w:r>
        <w:rPr>
          <w:rFonts w:ascii="Times New Roman" w:hAnsi="Times New Roman"/>
          <w:i/>
          <w:color w:val="4B5563"/>
          <w:sz w:val="19"/>
        </w:rPr>
        <w:t>• Administer emergency first-aid, intravenous fluids, and specialized analgesics;</w:t>
      </w:r>
    </w:p>
    <w:p>
      <w:pPr>
        <w:spacing w:after="40" w:line="276" w:lineRule="auto"/>
        <w:ind w:left="360"/>
      </w:pPr>
      <w:r>
        <w:rPr>
          <w:rFonts w:ascii="Times New Roman" w:hAnsi="Times New Roman"/>
          <w:color w:val="111827"/>
          <w:sz w:val="22"/>
        </w:rPr>
        <w:t>• Sử dụng thuốc an thần (Sedatives/Tranquilizers) theo phác đồ thú y đã được phê duyệt khi cá thể ngựa hoảng loạn, kích động dữ dội có nguy cơ tự gây chấn thương hoặc phá vỡ kết cấu phương tiện/chuồng bay;</w:t>
        <w:br/>
      </w:r>
      <w:r>
        <w:rPr>
          <w:rFonts w:ascii="Times New Roman" w:hAnsi="Times New Roman"/>
          <w:i/>
          <w:color w:val="4B5563"/>
          <w:sz w:val="19"/>
        </w:rPr>
        <w:t>• Administer approved sedatives/tranquilizers when severe equine panic or violent distress threatens self-injury or aircraft/vehicle structural integrity;</w:t>
      </w:r>
    </w:p>
    <w:p>
      <w:pPr>
        <w:spacing w:after="40" w:line="276" w:lineRule="auto"/>
        <w:ind w:left="360"/>
      </w:pPr>
      <w:r>
        <w:rPr>
          <w:rFonts w:ascii="Times New Roman" w:hAnsi="Times New Roman"/>
          <w:color w:val="111827"/>
          <w:sz w:val="22"/>
        </w:rPr>
        <w:t>• Đưa ngựa vào phòng cấp cứu thú y của Trạm đối tác gần nhất dọc hành trình để phẫu thuật khẩn cấp;</w:t>
        <w:br/>
      </w:r>
      <w:r>
        <w:rPr>
          <w:rFonts w:ascii="Times New Roman" w:hAnsi="Times New Roman"/>
          <w:i/>
          <w:color w:val="4B5563"/>
          <w:sz w:val="19"/>
        </w:rPr>
        <w:t>• Direct the horse to the nearest certified veterinary emergency clinic along the route for urgent surgical intervention;</w:t>
      </w:r>
    </w:p>
    <w:p>
      <w:pPr>
        <w:spacing w:after="40" w:line="276" w:lineRule="auto"/>
        <w:ind w:left="360"/>
      </w:pPr>
      <w:r>
        <w:rPr>
          <w:rFonts w:ascii="Times New Roman" w:hAnsi="Times New Roman"/>
          <w:color w:val="111827"/>
          <w:sz w:val="22"/>
        </w:rPr>
        <w:t>• Trong tình huống nguy kịch bất khả kháng (ngựa gãy xương nghiêm trọng không thể hồi phục, đau đớn tột cùng theo kết luận của 02 Bác sĩ thú y độc lập trên chuyến bay/đường trường), được quyền thực hiện biện pháp trợ tử nhân đạo (Humane Euthanasia) nhằm chấm dứt đau đớn theo chuẩn đạo đức động vật FEI và bảo đảm an toàn sinh mạng con người.</w:t>
        <w:br/>
      </w:r>
      <w:r>
        <w:rPr>
          <w:rFonts w:ascii="Times New Roman" w:hAnsi="Times New Roman"/>
          <w:i/>
          <w:color w:val="4B5563"/>
          <w:sz w:val="19"/>
        </w:rPr>
        <w:t>• In extreme catastrophic situations (irreparable compound fractures, untreatable agony confirmed by certified veterinarians), authorize humane euthanasia to alleviate suffering in compliance with FEI ethical guidelines and human life safety.</w:t>
      </w:r>
    </w:p>
    <w:p>
      <w:pPr>
        <w:keepNext/>
        <w:spacing w:before="200" w:after="60"/>
      </w:pPr>
      <w:r>
        <w:rPr>
          <w:rFonts w:ascii="Times New Roman" w:hAnsi="Times New Roman"/>
          <w:b/>
          <w:color w:val="0F294A"/>
          <w:sz w:val="23"/>
        </w:rPr>
        <w:t>Phần II. MẪU BIÊN BẢN BÀN GIAO TIÊU CHUẨN (HANDOVER PROTOCOL)</w:t>
        <w:br/>
      </w:r>
      <w:r>
        <w:rPr>
          <w:rFonts w:ascii="Times New Roman" w:hAnsi="Times New Roman"/>
          <w:b/>
          <w:i/>
          <w:color w:val="1E3A8A"/>
          <w:sz w:val="20"/>
        </w:rPr>
        <w:t>(STANDARD HANDOVER PROTOCOL PROTOCOL)</w:t>
      </w:r>
    </w:p>
    <w:p>
      <w:pPr>
        <w:spacing w:after="60" w:line="276" w:lineRule="auto"/>
      </w:pPr>
      <w:r>
        <w:rPr>
          <w:rFonts w:ascii="Times New Roman" w:hAnsi="Times New Roman"/>
          <w:color w:val="111827"/>
          <w:sz w:val="22"/>
        </w:rPr>
        <w:t>Biên bản bàn giao điện tử (E-Handover Protocol) được tạo lập tại điểm đích trên App và có cấu trúc dữ liệu bắt buộc sau:</w:t>
        <w:br/>
      </w:r>
      <w:r>
        <w:rPr>
          <w:rFonts w:ascii="Times New Roman" w:hAnsi="Times New Roman"/>
          <w:i/>
          <w:color w:val="4B5563"/>
          <w:sz w:val="19"/>
        </w:rPr>
        <w:t>The electronic Handover Protocol executed at destination contains the following mandatory data fields:</w:t>
      </w:r>
    </w:p>
    <w:tbl>
      <w:tblPr>
        <w:tblW w:type="auto" w:w="0"/>
        <w:jc w:val="center"/>
        <w:tblLook w:firstColumn="1" w:firstRow="1" w:lastColumn="0" w:lastRow="0" w:noHBand="0" w:noVBand="1" w:val="04A0"/>
      </w:tblPr>
      <w:tblGrid>
        <w:gridCol w:w="3600"/>
        <w:gridCol w:w="5760"/>
      </w:tblGrid>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Mã Biên bản / Handover ID</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{{HANDOVER_ID}}</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Thời điểm bàn giao / Handover Timestamp</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{{ACTUAL_HANDOVER_TIMESTAMP}}</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Địa điểm bàn giao thực tế / Actual Location</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{{ACTUAL_DELIVERY_LOCATION}}</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Người bàn giao / Handed By (Party A)</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{{HANDED_BY_STAFF_NAME}} (Mã NV: {{HANDED_BY_STAFF_ID}})</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Người nhận ngựa / Received By (Party B)</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{{RECEIVED_BY_NAME}} (SĐT: {{RECEIVED_BY_PHONE}})</w:t>
            </w:r>
          </w:p>
        </w:tc>
      </w:tr>
      <w:tr>
        <w:tc>
          <w:tcPr>
            <w:tcW w:type="dxa" w:w="4677"/>
            <w:shd w:fill="F3F4F6"/>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sz w:val="19"/>
              </w:rPr>
              <w:t>Kết quả quét vi mạch / Microchip Verification</w:t>
            </w:r>
          </w:p>
        </w:tc>
        <w:tc>
          <w:tcPr>
            <w:tcW w:type="dxa" w:w="4677"/>
            <w:tcMar>
              <w:top w:w="50" w:type="dxa"/>
              <w:bottom w:w="50" w:type="dxa"/>
              <w:left w:w="80" w:type="dxa"/>
              <w:right w:w="80" w:type="dxa"/>
            </w:tcMar>
            <w:tcBorders>
              <w:top w:val="single" w:sz="4" w:space="0" w:color="E5E7EB"/>
              <w:left w:val="single" w:sz="4" w:space="0" w:color="E5E7EB"/>
              <w:bottom w:val="single" w:sz="4" w:space="0" w:color="E5E7EB"/>
              <w:right w:val="single" w:sz="4" w:space="0" w:color="E5E7EB"/>
              <w:insideH w:val="none"/>
              <w:insideV w:val="none"/>
            </w:tcBorders>
          </w:tcPr>
          <w:p>
            <w:r>
              <w:rPr>
                <w:rFonts w:ascii="Times New Roman" w:hAnsi="Times New Roman"/>
                <w:b/>
                <w:color w:val="047857"/>
                <w:sz w:val="19"/>
              </w:rPr>
              <w:t>[X] ĐÃ ĐỐI SOÁT TRÙNG KHỚP 100% MÃ RFID / MATCHED</w:t>
            </w:r>
          </w:p>
        </w:tc>
      </w:tr>
    </w:tbl>
    <w:p>
      <w:pPr>
        <w:spacing w:after="80"/>
      </w:pPr>
    </w:p>
    <w:p>
      <w:pPr>
        <w:jc w:val="center"/>
      </w:pPr>
      <w:r>
        <w:rPr>
          <w:rFonts w:ascii="Times New Roman" w:hAnsi="Times New Roman"/>
          <w:b/>
          <w:color w:val="6B7280"/>
          <w:sz w:val="20"/>
        </w:rPr>
        <w:t>--- HẾT NỘI DUNG HỢP ĐỒNG &amp; CÁC PHỤ LỤC ---</w:t>
        <w:br/>
        <w:t>--- END OF AGREEMENT &amp; ALL ANNEXES ---</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CA3AF"/>
        <w:sz w:val="17"/>
      </w:rPr>
      <w:t xml:space="preserve">Bản điện tử có giá trị pháp lý theo Luật Giao dịch điện tử | Trang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CA3AF"/>
        <w:sz w:val="17"/>
      </w:rPr>
      <w:t>Mã HĐ / Contract Code: {{CONTRACT_CODE}} | Racehorse Transport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