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2082403" cy="504825"/>
            <wp:effectExtent b="0" l="0" r="0" t="0"/>
            <wp:docPr descr="TestLink logo" id="1" name="image1.png"/>
            <a:graphic>
              <a:graphicData uri="http://schemas.openxmlformats.org/drawingml/2006/picture">
                <pic:pic>
                  <pic:nvPicPr>
                    <pic:cNvPr descr="TestLink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40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Requirements Specification Document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05/04/2019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1. mrir2135_ReqSpec : Requirements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mrir2135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_F01 : Lab02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mrir2135_F02 : Lab03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mrir2135_F03 : Lab04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1. Requirements Spec.:</w:t>
            </w:r>
            <w:r w:rsidDel="00000000" w:rsidR="00000000" w:rsidRPr="00000000">
              <w:rPr>
                <w:rtl w:val="0"/>
              </w:rPr>
              <w:t xml:space="preserve"> mrir2135_ReqSpec : Requirements Specification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mrir2135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count of requirements (Coverage)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 (3/0)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Requirement: mrir2135_F01 : Lab02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mrir2135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400% (4/1)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 Test Cases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 : ECP Valid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 : ECP non-valid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 : BVA Valid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: BVA non-valid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Requirement: mrir2135_F02 : Lab03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mrir2135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200% (2/1)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 Test Cases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 : TC Valid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 : TC Non-valid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Requirement: mrir2135_F03 : Lab04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mrir2135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 (0/1)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