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nigerverdé"/>
    <w:p>
      <w:pPr>
        <w:pStyle w:val="Heading1"/>
      </w:pPr>
      <w:r>
        <w:t xml:space="preserve">NigerVerdé</w:t>
      </w:r>
    </w:p>
    <w:bookmarkStart w:id="20" w:name="X32812e919d3bd08bae6bda5670ba9692100815f"/>
    <w:p>
      <w:pPr>
        <w:pStyle w:val="Heading2"/>
      </w:pPr>
      <w:r>
        <w:t xml:space="preserve">Un agribusiness climate-smart combinant serres modernes et cultures de plein champ</w:t>
      </w:r>
    </w:p>
    <w:bookmarkEnd w:id="20"/>
    <w:bookmarkStart w:id="21" w:name="présentation-générale"/>
    <w:p>
      <w:pPr>
        <w:pStyle w:val="Heading2"/>
      </w:pPr>
      <w:r>
        <w:t xml:space="preserve">1. Présentation générale</w:t>
      </w:r>
    </w:p>
    <w:p>
      <w:pPr>
        <w:pStyle w:val="FirstParagraph"/>
      </w:pPr>
      <w:r>
        <w:rPr>
          <w:b/>
          <w:bCs/>
        </w:rPr>
        <w:t xml:space="preserve">NigerVerdé est un projet d’agribusiness climate-smart situé à Diakindi, près de Niamey, au Niger.</w:t>
      </w:r>
    </w:p>
    <w:p>
      <w:pPr>
        <w:pStyle w:val="BodyText"/>
      </w:pPr>
      <w:r>
        <w:t xml:space="preserve">Le projet repose sur deux pôles de production complémentaires :</w:t>
      </w:r>
    </w:p>
    <w:p>
      <w:pPr>
        <w:pStyle w:val="Compact"/>
        <w:numPr>
          <w:ilvl w:val="0"/>
          <w:numId w:val="1001"/>
        </w:numPr>
      </w:pPr>
      <w:r>
        <w:rPr>
          <w:b/>
          <w:bCs/>
        </w:rPr>
        <w:t xml:space="preserve">La production sous serre</w:t>
      </w:r>
      <w:r>
        <w:t xml:space="preserve">, utilisant l’hydroponie NFT et la culture hors-sol sur cocopeat;</w:t>
      </w:r>
    </w:p>
    <w:p>
      <w:pPr>
        <w:pStyle w:val="Compact"/>
        <w:numPr>
          <w:ilvl w:val="0"/>
          <w:numId w:val="1001"/>
        </w:numPr>
      </w:pPr>
      <w:r>
        <w:rPr>
          <w:b/>
          <w:bCs/>
        </w:rPr>
        <w:t xml:space="preserve">La production en plein champ</w:t>
      </w:r>
      <w:r>
        <w:t xml:space="preserve">, utilisant l’irrigation goutte-à-goutte, le paillage, l’énergie solaire et l’agriculture de précision avec drones.</w:t>
      </w:r>
    </w:p>
    <w:p>
      <w:pPr>
        <w:pStyle w:val="FirstParagraph"/>
      </w:pPr>
      <w:r>
        <w:t xml:space="preserve">NigerVerdé n’est donc pas uniquement une ferme hydroponique. Il s’agit d’une exploitation agricole mixte qui associe des technologies modernes à des cultures adaptées aux conditions climatiques et commerciales du Niger.</w:t>
      </w:r>
    </w:p>
    <w:p>
      <w:pPr>
        <w:pStyle w:val="BodyText"/>
      </w:pPr>
      <w:r>
        <w:t xml:space="preserve">L’objectif est de produire régulièrement :</w:t>
      </w:r>
    </w:p>
    <w:p>
      <w:pPr>
        <w:pStyle w:val="Compact"/>
        <w:numPr>
          <w:ilvl w:val="0"/>
          <w:numId w:val="1002"/>
        </w:numPr>
      </w:pPr>
      <w:r>
        <w:t xml:space="preserve">des légumes-feuilles;</w:t>
      </w:r>
    </w:p>
    <w:p>
      <w:pPr>
        <w:pStyle w:val="Compact"/>
        <w:numPr>
          <w:ilvl w:val="0"/>
          <w:numId w:val="1002"/>
        </w:numPr>
      </w:pPr>
      <w:r>
        <w:t xml:space="preserve">des plantes aromatiques;</w:t>
      </w:r>
    </w:p>
    <w:p>
      <w:pPr>
        <w:pStyle w:val="Compact"/>
        <w:numPr>
          <w:ilvl w:val="0"/>
          <w:numId w:val="1002"/>
        </w:numPr>
      </w:pPr>
      <w:r>
        <w:t xml:space="preserve">des légumes-fruits;</w:t>
      </w:r>
    </w:p>
    <w:p>
      <w:pPr>
        <w:pStyle w:val="Compact"/>
        <w:numPr>
          <w:ilvl w:val="0"/>
          <w:numId w:val="1002"/>
        </w:numPr>
      </w:pPr>
      <w:r>
        <w:t xml:space="preserve">du moringa;</w:t>
      </w:r>
    </w:p>
    <w:p>
      <w:pPr>
        <w:pStyle w:val="Compact"/>
        <w:numPr>
          <w:ilvl w:val="0"/>
          <w:numId w:val="1002"/>
        </w:numPr>
      </w:pPr>
      <w:r>
        <w:t xml:space="preserve">des cultures maraîchères à forte valeur;</w:t>
      </w:r>
    </w:p>
    <w:p>
      <w:pPr>
        <w:pStyle w:val="Compact"/>
        <w:numPr>
          <w:ilvl w:val="0"/>
          <w:numId w:val="1002"/>
        </w:numPr>
      </w:pPr>
      <w:r>
        <w:t xml:space="preserve">des produits pouvant être transformés à moyen terme.</w:t>
      </w:r>
    </w:p>
    <w:p>
      <w:pPr>
        <w:pStyle w:val="FirstParagraph"/>
      </w:pPr>
      <w:r>
        <w:t xml:space="preserve">Le projet cherche à répondre aux principales contraintes agricoles du Sahel :</w:t>
      </w:r>
    </w:p>
    <w:p>
      <w:pPr>
        <w:pStyle w:val="Compact"/>
        <w:numPr>
          <w:ilvl w:val="0"/>
          <w:numId w:val="1003"/>
        </w:numPr>
      </w:pPr>
      <w:r>
        <w:t xml:space="preserve">la rareté de l’eau;</w:t>
      </w:r>
    </w:p>
    <w:p>
      <w:pPr>
        <w:pStyle w:val="Compact"/>
        <w:numPr>
          <w:ilvl w:val="0"/>
          <w:numId w:val="1003"/>
        </w:numPr>
      </w:pPr>
      <w:r>
        <w:t xml:space="preserve">les températures élevées;</w:t>
      </w:r>
    </w:p>
    <w:p>
      <w:pPr>
        <w:pStyle w:val="Compact"/>
        <w:numPr>
          <w:ilvl w:val="0"/>
          <w:numId w:val="1003"/>
        </w:numPr>
      </w:pPr>
      <w:r>
        <w:t xml:space="preserve">la dégradation ou la faible fertilité de certains sols;</w:t>
      </w:r>
    </w:p>
    <w:p>
      <w:pPr>
        <w:pStyle w:val="Compact"/>
        <w:numPr>
          <w:ilvl w:val="0"/>
          <w:numId w:val="1003"/>
        </w:numPr>
      </w:pPr>
      <w:r>
        <w:t xml:space="preserve">l’irrégularité des productions;</w:t>
      </w:r>
    </w:p>
    <w:p>
      <w:pPr>
        <w:pStyle w:val="Compact"/>
        <w:numPr>
          <w:ilvl w:val="0"/>
          <w:numId w:val="1003"/>
        </w:numPr>
      </w:pPr>
      <w:r>
        <w:t xml:space="preserve">la dépendance au réseau électrique;</w:t>
      </w:r>
    </w:p>
    <w:p>
      <w:pPr>
        <w:pStyle w:val="Compact"/>
        <w:numPr>
          <w:ilvl w:val="0"/>
          <w:numId w:val="1003"/>
        </w:numPr>
      </w:pPr>
      <w:r>
        <w:t xml:space="preserve">les pertes agricoles;</w:t>
      </w:r>
    </w:p>
    <w:p>
      <w:pPr>
        <w:pStyle w:val="Compact"/>
        <w:numPr>
          <w:ilvl w:val="0"/>
          <w:numId w:val="1003"/>
        </w:numPr>
      </w:pPr>
      <w:r>
        <w:t xml:space="preserve">le manque de produits frais réguliers et traçables sur le marché.</w:t>
      </w:r>
    </w:p>
    <w:p>
      <w:r>
        <w:pict>
          <v:rect style="width:0;height:1.5pt" o:hralign="center" o:hrstd="t" o:hr="t"/>
        </w:pict>
      </w:r>
    </w:p>
    <w:bookmarkEnd w:id="21"/>
    <w:bookmarkEnd w:id="22"/>
    <w:bookmarkStart w:id="25" w:name="le-modèle-agricole-de-nigerverdé"/>
    <w:p>
      <w:pPr>
        <w:pStyle w:val="Heading1"/>
      </w:pPr>
      <w:r>
        <w:t xml:space="preserve">2. Le modèle agricole de NigerVerdé</w:t>
      </w:r>
    </w:p>
    <w:p>
      <w:pPr>
        <w:pStyle w:val="FirstParagraph"/>
      </w:pPr>
      <w:r>
        <w:t xml:space="preserve">Le modèle de NigerVerdé repose sur une combinaison de plusieurs méthodes de production.</w:t>
      </w:r>
    </w:p>
    <w:bookmarkStart w:id="23" w:name="pôle-1-production-sous-serre"/>
    <w:p>
      <w:pPr>
        <w:pStyle w:val="Heading2"/>
      </w:pPr>
      <w:r>
        <w:t xml:space="preserve">Pôle 1 : production sous serre</w:t>
      </w:r>
    </w:p>
    <w:p>
      <w:pPr>
        <w:pStyle w:val="FirstParagraph"/>
      </w:pPr>
      <w:r>
        <w:t xml:space="preserve">La production sous serre permet de protéger les cultures les plus sensibles et de mieux contrôler :</w:t>
      </w:r>
    </w:p>
    <w:p>
      <w:pPr>
        <w:pStyle w:val="Compact"/>
        <w:numPr>
          <w:ilvl w:val="0"/>
          <w:numId w:val="1004"/>
        </w:numPr>
      </w:pPr>
      <w:r>
        <w:t xml:space="preserve">la température;</w:t>
      </w:r>
    </w:p>
    <w:p>
      <w:pPr>
        <w:pStyle w:val="Compact"/>
        <w:numPr>
          <w:ilvl w:val="0"/>
          <w:numId w:val="1004"/>
        </w:numPr>
      </w:pPr>
      <w:r>
        <w:t xml:space="preserve">l’humidité;</w:t>
      </w:r>
    </w:p>
    <w:p>
      <w:pPr>
        <w:pStyle w:val="Compact"/>
        <w:numPr>
          <w:ilvl w:val="0"/>
          <w:numId w:val="1004"/>
        </w:numPr>
      </w:pPr>
      <w:r>
        <w:t xml:space="preserve">l’irrigation;</w:t>
      </w:r>
    </w:p>
    <w:p>
      <w:pPr>
        <w:pStyle w:val="Compact"/>
        <w:numPr>
          <w:ilvl w:val="0"/>
          <w:numId w:val="1004"/>
        </w:numPr>
      </w:pPr>
      <w:r>
        <w:t xml:space="preserve">la nutrition des plantes;</w:t>
      </w:r>
    </w:p>
    <w:p>
      <w:pPr>
        <w:pStyle w:val="Compact"/>
        <w:numPr>
          <w:ilvl w:val="0"/>
          <w:numId w:val="1004"/>
        </w:numPr>
      </w:pPr>
      <w:r>
        <w:t xml:space="preserve">les ravageurs;</w:t>
      </w:r>
    </w:p>
    <w:p>
      <w:pPr>
        <w:pStyle w:val="Compact"/>
        <w:numPr>
          <w:ilvl w:val="0"/>
          <w:numId w:val="1004"/>
        </w:numPr>
      </w:pPr>
      <w:r>
        <w:t xml:space="preserve">les maladies;</w:t>
      </w:r>
    </w:p>
    <w:p>
      <w:pPr>
        <w:pStyle w:val="Compact"/>
        <w:numPr>
          <w:ilvl w:val="0"/>
          <w:numId w:val="1004"/>
        </w:numPr>
      </w:pPr>
      <w:r>
        <w:t xml:space="preserve">les cycles de production;</w:t>
      </w:r>
    </w:p>
    <w:p>
      <w:pPr>
        <w:pStyle w:val="Compact"/>
        <w:numPr>
          <w:ilvl w:val="0"/>
          <w:numId w:val="1004"/>
        </w:numPr>
      </w:pPr>
      <w:r>
        <w:t xml:space="preserve">la qualité des récoltes.</w:t>
      </w:r>
    </w:p>
    <w:p>
      <w:pPr>
        <w:pStyle w:val="FirstParagraph"/>
      </w:pPr>
      <w:r>
        <w:t xml:space="preserve">Ce pôle comprend :</w:t>
      </w:r>
    </w:p>
    <w:p>
      <w:pPr>
        <w:pStyle w:val="Compact"/>
        <w:numPr>
          <w:ilvl w:val="0"/>
          <w:numId w:val="1005"/>
        </w:numPr>
      </w:pPr>
      <w:r>
        <w:t xml:space="preserve">une serre hydroponique NFT;</w:t>
      </w:r>
    </w:p>
    <w:p>
      <w:pPr>
        <w:pStyle w:val="Compact"/>
        <w:numPr>
          <w:ilvl w:val="0"/>
          <w:numId w:val="1005"/>
        </w:numPr>
      </w:pPr>
      <w:r>
        <w:t xml:space="preserve">une serre de culture hors-sol sur cocopeat.</w:t>
      </w:r>
    </w:p>
    <w:bookmarkEnd w:id="23"/>
    <w:bookmarkStart w:id="24" w:name="pôle-2-production-en-plein-champ"/>
    <w:p>
      <w:pPr>
        <w:pStyle w:val="Heading2"/>
      </w:pPr>
      <w:r>
        <w:t xml:space="preserve">Pôle 2 : production en plein champ</w:t>
      </w:r>
    </w:p>
    <w:p>
      <w:pPr>
        <w:pStyle w:val="FirstParagraph"/>
      </w:pPr>
      <w:r>
        <w:t xml:space="preserve">La production extérieure permet d’exploiter une plus grande superficie pour cultiver :</w:t>
      </w:r>
    </w:p>
    <w:p>
      <w:pPr>
        <w:pStyle w:val="Compact"/>
        <w:numPr>
          <w:ilvl w:val="0"/>
          <w:numId w:val="1006"/>
        </w:numPr>
      </w:pPr>
      <w:r>
        <w:t xml:space="preserve">le moringa;</w:t>
      </w:r>
    </w:p>
    <w:p>
      <w:pPr>
        <w:pStyle w:val="Compact"/>
        <w:numPr>
          <w:ilvl w:val="0"/>
          <w:numId w:val="1006"/>
        </w:numPr>
      </w:pPr>
      <w:r>
        <w:t xml:space="preserve">le piment;</w:t>
      </w:r>
    </w:p>
    <w:p>
      <w:pPr>
        <w:pStyle w:val="Compact"/>
        <w:numPr>
          <w:ilvl w:val="0"/>
          <w:numId w:val="1006"/>
        </w:numPr>
      </w:pPr>
      <w:r>
        <w:t xml:space="preserve">le gombo;</w:t>
      </w:r>
    </w:p>
    <w:p>
      <w:pPr>
        <w:pStyle w:val="Compact"/>
        <w:numPr>
          <w:ilvl w:val="0"/>
          <w:numId w:val="1006"/>
        </w:numPr>
      </w:pPr>
      <w:r>
        <w:t xml:space="preserve">l’hibiscus ou bissap;</w:t>
      </w:r>
    </w:p>
    <w:p>
      <w:pPr>
        <w:pStyle w:val="Compact"/>
        <w:numPr>
          <w:ilvl w:val="0"/>
          <w:numId w:val="1006"/>
        </w:numPr>
      </w:pPr>
      <w:r>
        <w:t xml:space="preserve">la pastèque;</w:t>
      </w:r>
    </w:p>
    <w:p>
      <w:pPr>
        <w:pStyle w:val="Compact"/>
        <w:numPr>
          <w:ilvl w:val="0"/>
          <w:numId w:val="1006"/>
        </w:numPr>
      </w:pPr>
      <w:r>
        <w:t xml:space="preserve">le maïs;</w:t>
      </w:r>
    </w:p>
    <w:p>
      <w:pPr>
        <w:pStyle w:val="Compact"/>
        <w:numPr>
          <w:ilvl w:val="0"/>
          <w:numId w:val="1006"/>
        </w:numPr>
      </w:pPr>
      <w:r>
        <w:t xml:space="preserve">le niébé;</w:t>
      </w:r>
    </w:p>
    <w:p>
      <w:pPr>
        <w:pStyle w:val="Compact"/>
        <w:numPr>
          <w:ilvl w:val="0"/>
          <w:numId w:val="1006"/>
        </w:numPr>
      </w:pPr>
      <w:r>
        <w:t xml:space="preserve">d’autres cultures adaptées au climat local et aux besoins du marché.</w:t>
      </w:r>
    </w:p>
    <w:p>
      <w:pPr>
        <w:pStyle w:val="FirstParagraph"/>
      </w:pPr>
      <w:r>
        <w:t xml:space="preserve">Ce pôle utilise :</w:t>
      </w:r>
    </w:p>
    <w:p>
      <w:pPr>
        <w:pStyle w:val="Compact"/>
        <w:numPr>
          <w:ilvl w:val="0"/>
          <w:numId w:val="1007"/>
        </w:numPr>
      </w:pPr>
      <w:r>
        <w:t xml:space="preserve">l’irrigation goutte-à-goutte;</w:t>
      </w:r>
    </w:p>
    <w:p>
      <w:pPr>
        <w:pStyle w:val="Compact"/>
        <w:numPr>
          <w:ilvl w:val="0"/>
          <w:numId w:val="1007"/>
        </w:numPr>
      </w:pPr>
      <w:r>
        <w:t xml:space="preserve">le film de paillage;</w:t>
      </w:r>
    </w:p>
    <w:p>
      <w:pPr>
        <w:pStyle w:val="Compact"/>
        <w:numPr>
          <w:ilvl w:val="0"/>
          <w:numId w:val="1007"/>
        </w:numPr>
      </w:pPr>
      <w:r>
        <w:t xml:space="preserve">l’amendement des sols;</w:t>
      </w:r>
    </w:p>
    <w:p>
      <w:pPr>
        <w:pStyle w:val="Compact"/>
        <w:numPr>
          <w:ilvl w:val="0"/>
          <w:numId w:val="1007"/>
        </w:numPr>
      </w:pPr>
      <w:r>
        <w:t xml:space="preserve">le cocopeat lorsque cela est pertinent;</w:t>
      </w:r>
    </w:p>
    <w:p>
      <w:pPr>
        <w:pStyle w:val="Compact"/>
        <w:numPr>
          <w:ilvl w:val="0"/>
          <w:numId w:val="1007"/>
        </w:numPr>
      </w:pPr>
      <w:r>
        <w:t xml:space="preserve">les fertilisants solubles;</w:t>
      </w:r>
    </w:p>
    <w:p>
      <w:pPr>
        <w:pStyle w:val="Compact"/>
        <w:numPr>
          <w:ilvl w:val="0"/>
          <w:numId w:val="1007"/>
        </w:numPr>
      </w:pPr>
      <w:r>
        <w:t xml:space="preserve">l’énergie solaire;</w:t>
      </w:r>
    </w:p>
    <w:p>
      <w:pPr>
        <w:pStyle w:val="Compact"/>
        <w:numPr>
          <w:ilvl w:val="0"/>
          <w:numId w:val="1007"/>
        </w:numPr>
      </w:pPr>
      <w:r>
        <w:t xml:space="preserve">les drones agricoles;</w:t>
      </w:r>
    </w:p>
    <w:p>
      <w:pPr>
        <w:pStyle w:val="Compact"/>
        <w:numPr>
          <w:ilvl w:val="0"/>
          <w:numId w:val="1007"/>
        </w:numPr>
      </w:pPr>
      <w:r>
        <w:t xml:space="preserve">la mécanisation légère;</w:t>
      </w:r>
    </w:p>
    <w:p>
      <w:pPr>
        <w:pStyle w:val="Compact"/>
        <w:numPr>
          <w:ilvl w:val="0"/>
          <w:numId w:val="1007"/>
        </w:numPr>
      </w:pPr>
      <w:r>
        <w:t xml:space="preserve">la surveillance des cultures.</w:t>
      </w:r>
    </w:p>
    <w:p>
      <w:pPr>
        <w:pStyle w:val="FirstParagraph"/>
      </w:pPr>
      <w:r>
        <w:t xml:space="preserve">Les deux pôles se complètent : les serres apportent une production contrôlée et régulière, tandis que le plein champ permet d’augmenter les volumes, de diversifier les revenus et de développer des cultures de transformation.</w:t>
      </w:r>
    </w:p>
    <w:p>
      <w:r>
        <w:pict>
          <v:rect style="width:0;height:1.5pt" o:hralign="center" o:hrstd="t" o:hr="t"/>
        </w:pict>
      </w:r>
    </w:p>
    <w:bookmarkEnd w:id="24"/>
    <w:bookmarkEnd w:id="25"/>
    <w:bookmarkStart w:id="26" w:name="Xb74c259616d8052372f507255342ce716ae3733"/>
    <w:p>
      <w:pPr>
        <w:pStyle w:val="Heading1"/>
      </w:pPr>
      <w:r>
        <w:t xml:space="preserve">3. Les serres adaptées à la chaleur du Sahel</w:t>
      </w:r>
    </w:p>
    <w:p>
      <w:pPr>
        <w:pStyle w:val="FirstParagraph"/>
      </w:pPr>
      <w:r>
        <w:t xml:space="preserve">NigerVerdé démarre avec</w:t>
      </w:r>
      <w:r>
        <w:t xml:space="preserve"> </w:t>
      </w:r>
      <w:r>
        <w:rPr>
          <w:b/>
          <w:bCs/>
        </w:rPr>
        <w:t xml:space="preserve">deux serres Sawtooth de 10 mètres sur 20 mètres</w:t>
      </w:r>
      <w:r>
        <w:t xml:space="preserve">, soit une surface protégée totale de</w:t>
      </w:r>
      <w:r>
        <w:t xml:space="preserve"> </w:t>
      </w:r>
      <w:r>
        <w:rPr>
          <w:b/>
          <w:bCs/>
        </w:rPr>
        <w:t xml:space="preserve">400 m²</w:t>
      </w:r>
      <w:r>
        <w:t xml:space="preserve">.</w:t>
      </w:r>
    </w:p>
    <w:p>
      <w:pPr>
        <w:pStyle w:val="BodyText"/>
      </w:pPr>
      <w:r>
        <w:t xml:space="preserve">Les serres Sawtooth, ou serres à toiture en dents de scie, sont adaptées aux régions chaudes grâce à leur système de ventilation naturelle.</w:t>
      </w:r>
    </w:p>
    <w:p>
      <w:pPr>
        <w:pStyle w:val="BodyText"/>
      </w:pPr>
      <w:r>
        <w:t xml:space="preserve">L’air chaud accumulé à l’intérieur monte et s’évacue par les ouvertures supérieures de la toiture. De l’air plus frais entre par les côtés.</w:t>
      </w:r>
    </w:p>
    <w:p>
      <w:pPr>
        <w:pStyle w:val="BodyText"/>
      </w:pPr>
      <w:r>
        <w:t xml:space="preserve">Les serres comprennent ou prévoient notamment :</w:t>
      </w:r>
    </w:p>
    <w:p>
      <w:pPr>
        <w:pStyle w:val="Compact"/>
        <w:numPr>
          <w:ilvl w:val="0"/>
          <w:numId w:val="1008"/>
        </w:numPr>
      </w:pPr>
      <w:r>
        <w:t xml:space="preserve">une toiture en dents de scie;</w:t>
      </w:r>
    </w:p>
    <w:p>
      <w:pPr>
        <w:pStyle w:val="Compact"/>
        <w:numPr>
          <w:ilvl w:val="0"/>
          <w:numId w:val="1008"/>
        </w:numPr>
      </w:pPr>
      <w:r>
        <w:t xml:space="preserve">des ouvertures de ventilation supérieures;</w:t>
      </w:r>
    </w:p>
    <w:p>
      <w:pPr>
        <w:pStyle w:val="Compact"/>
        <w:numPr>
          <w:ilvl w:val="0"/>
          <w:numId w:val="1008"/>
        </w:numPr>
      </w:pPr>
      <w:r>
        <w:t xml:space="preserve">des ouvertures latérales;</w:t>
      </w:r>
    </w:p>
    <w:p>
      <w:pPr>
        <w:pStyle w:val="Compact"/>
        <w:numPr>
          <w:ilvl w:val="0"/>
          <w:numId w:val="1008"/>
        </w:numPr>
      </w:pPr>
      <w:r>
        <w:t xml:space="preserve">des filets anti-insectes;</w:t>
      </w:r>
    </w:p>
    <w:p>
      <w:pPr>
        <w:pStyle w:val="Compact"/>
        <w:numPr>
          <w:ilvl w:val="0"/>
          <w:numId w:val="1008"/>
        </w:numPr>
      </w:pPr>
      <w:r>
        <w:t xml:space="preserve">un ombrage d’environ 60 %;</w:t>
      </w:r>
    </w:p>
    <w:p>
      <w:pPr>
        <w:pStyle w:val="Compact"/>
        <w:numPr>
          <w:ilvl w:val="0"/>
          <w:numId w:val="1008"/>
        </w:numPr>
      </w:pPr>
      <w:r>
        <w:t xml:space="preserve">un tapis de sol ou</w:t>
      </w:r>
      <w:r>
        <w:t xml:space="preserve"> </w:t>
      </w:r>
      <w:r>
        <w:rPr>
          <w:i/>
          <w:iCs/>
        </w:rPr>
        <w:t xml:space="preserve">weed mat</w:t>
      </w:r>
      <w:r>
        <w:t xml:space="preserve">;</w:t>
      </w:r>
    </w:p>
    <w:p>
      <w:pPr>
        <w:pStyle w:val="Compact"/>
        <w:numPr>
          <w:ilvl w:val="0"/>
          <w:numId w:val="1008"/>
        </w:numPr>
      </w:pPr>
      <w:r>
        <w:t xml:space="preserve">des systèmes d’irrigation;</w:t>
      </w:r>
    </w:p>
    <w:p>
      <w:pPr>
        <w:pStyle w:val="Compact"/>
        <w:numPr>
          <w:ilvl w:val="0"/>
          <w:numId w:val="1008"/>
        </w:numPr>
      </w:pPr>
      <w:r>
        <w:t xml:space="preserve">des systèmes de fertigation;</w:t>
      </w:r>
    </w:p>
    <w:p>
      <w:pPr>
        <w:pStyle w:val="Compact"/>
        <w:numPr>
          <w:ilvl w:val="0"/>
          <w:numId w:val="1008"/>
        </w:numPr>
      </w:pPr>
      <w:r>
        <w:t xml:space="preserve">des réservoirs;</w:t>
      </w:r>
    </w:p>
    <w:p>
      <w:pPr>
        <w:pStyle w:val="Compact"/>
        <w:numPr>
          <w:ilvl w:val="0"/>
          <w:numId w:val="1008"/>
        </w:numPr>
      </w:pPr>
      <w:r>
        <w:t xml:space="preserve">des pompes;</w:t>
      </w:r>
    </w:p>
    <w:p>
      <w:pPr>
        <w:pStyle w:val="Compact"/>
        <w:numPr>
          <w:ilvl w:val="0"/>
          <w:numId w:val="1008"/>
        </w:numPr>
      </w:pPr>
      <w:r>
        <w:t xml:space="preserve">des équipements de contrôle du pH et de l’EC;</w:t>
      </w:r>
    </w:p>
    <w:p>
      <w:pPr>
        <w:pStyle w:val="Compact"/>
        <w:numPr>
          <w:ilvl w:val="0"/>
          <w:numId w:val="1008"/>
        </w:numPr>
      </w:pPr>
      <w:r>
        <w:t xml:space="preserve">une alimentation solaire dédiée.</w:t>
      </w:r>
    </w:p>
    <w:p>
      <w:pPr>
        <w:pStyle w:val="FirstParagraph"/>
      </w:pPr>
      <w:r>
        <w:t xml:space="preserve">Cette conception permet de mieux protéger les cultures contre :</w:t>
      </w:r>
    </w:p>
    <w:p>
      <w:pPr>
        <w:pStyle w:val="Compact"/>
        <w:numPr>
          <w:ilvl w:val="0"/>
          <w:numId w:val="1009"/>
        </w:numPr>
      </w:pPr>
      <w:r>
        <w:t xml:space="preserve">le rayonnement solaire intense;</w:t>
      </w:r>
    </w:p>
    <w:p>
      <w:pPr>
        <w:pStyle w:val="Compact"/>
        <w:numPr>
          <w:ilvl w:val="0"/>
          <w:numId w:val="1009"/>
        </w:numPr>
      </w:pPr>
      <w:r>
        <w:t xml:space="preserve">la chaleur excessive;</w:t>
      </w:r>
    </w:p>
    <w:p>
      <w:pPr>
        <w:pStyle w:val="Compact"/>
        <w:numPr>
          <w:ilvl w:val="0"/>
          <w:numId w:val="1009"/>
        </w:numPr>
      </w:pPr>
      <w:r>
        <w:t xml:space="preserve">certains insectes;</w:t>
      </w:r>
    </w:p>
    <w:p>
      <w:pPr>
        <w:pStyle w:val="Compact"/>
        <w:numPr>
          <w:ilvl w:val="0"/>
          <w:numId w:val="1009"/>
        </w:numPr>
      </w:pPr>
      <w:r>
        <w:t xml:space="preserve">les vents;</w:t>
      </w:r>
    </w:p>
    <w:p>
      <w:pPr>
        <w:pStyle w:val="Compact"/>
        <w:numPr>
          <w:ilvl w:val="0"/>
          <w:numId w:val="1009"/>
        </w:numPr>
      </w:pPr>
      <w:r>
        <w:t xml:space="preserve">les pluies fortes;</w:t>
      </w:r>
    </w:p>
    <w:p>
      <w:pPr>
        <w:pStyle w:val="Compact"/>
        <w:numPr>
          <w:ilvl w:val="0"/>
          <w:numId w:val="1009"/>
        </w:numPr>
      </w:pPr>
      <w:r>
        <w:t xml:space="preserve">les variations climatiques.</w:t>
      </w:r>
    </w:p>
    <w:p>
      <w:r>
        <w:pict>
          <v:rect style="width:0;height:1.5pt" o:hralign="center" o:hrstd="t" o:hr="t"/>
        </w:pict>
      </w:r>
    </w:p>
    <w:bookmarkEnd w:id="26"/>
    <w:bookmarkStart w:id="27" w:name="la-serre-hydroponique-nft"/>
    <w:p>
      <w:pPr>
        <w:pStyle w:val="Heading1"/>
      </w:pPr>
      <w:r>
        <w:t xml:space="preserve">4. La serre hydroponique NFT</w:t>
      </w:r>
    </w:p>
    <w:p>
      <w:pPr>
        <w:pStyle w:val="FirstParagraph"/>
      </w:pPr>
      <w:r>
        <w:t xml:space="preserve">La première serre est équipée d’un système hydroponique NFT —</w:t>
      </w:r>
      <w:r>
        <w:t xml:space="preserve"> </w:t>
      </w:r>
      <w:r>
        <w:rPr>
          <w:i/>
          <w:iCs/>
        </w:rPr>
        <w:t xml:space="preserve">Nutrient Film Technique</w:t>
      </w:r>
      <w:r>
        <w:t xml:space="preserve"> </w:t>
      </w:r>
      <w:r>
        <w:t xml:space="preserve">— en configuration A-frame.</w:t>
      </w:r>
    </w:p>
    <w:p>
      <w:pPr>
        <w:pStyle w:val="BodyText"/>
      </w:pPr>
      <w:r>
        <w:t xml:space="preserve">Le système comprend notamment :</w:t>
      </w:r>
    </w:p>
    <w:p>
      <w:pPr>
        <w:pStyle w:val="Compact"/>
        <w:numPr>
          <w:ilvl w:val="0"/>
          <w:numId w:val="1010"/>
        </w:numPr>
      </w:pPr>
      <w:r>
        <w:t xml:space="preserve">environ 3 600 emplacements de culture;</w:t>
      </w:r>
    </w:p>
    <w:p>
      <w:pPr>
        <w:pStyle w:val="Compact"/>
        <w:numPr>
          <w:ilvl w:val="0"/>
          <w:numId w:val="1010"/>
        </w:numPr>
      </w:pPr>
      <w:r>
        <w:t xml:space="preserve">environ 720 mètres de canaux NFT;</w:t>
      </w:r>
    </w:p>
    <w:p>
      <w:pPr>
        <w:pStyle w:val="Compact"/>
        <w:numPr>
          <w:ilvl w:val="0"/>
          <w:numId w:val="1010"/>
        </w:numPr>
      </w:pPr>
      <w:r>
        <w:t xml:space="preserve">des structures de production sur plusieurs niveaux;</w:t>
      </w:r>
    </w:p>
    <w:p>
      <w:pPr>
        <w:pStyle w:val="Compact"/>
        <w:numPr>
          <w:ilvl w:val="0"/>
          <w:numId w:val="1010"/>
        </w:numPr>
      </w:pPr>
      <w:r>
        <w:t xml:space="preserve">un réservoir de solution nutritive;</w:t>
      </w:r>
    </w:p>
    <w:p>
      <w:pPr>
        <w:pStyle w:val="Compact"/>
        <w:numPr>
          <w:ilvl w:val="0"/>
          <w:numId w:val="1010"/>
        </w:numPr>
      </w:pPr>
      <w:r>
        <w:t xml:space="preserve">des pompes de circulation;</w:t>
      </w:r>
    </w:p>
    <w:p>
      <w:pPr>
        <w:pStyle w:val="Compact"/>
        <w:numPr>
          <w:ilvl w:val="0"/>
          <w:numId w:val="1010"/>
        </w:numPr>
      </w:pPr>
      <w:r>
        <w:t xml:space="preserve">un système de retour de l’eau;</w:t>
      </w:r>
    </w:p>
    <w:p>
      <w:pPr>
        <w:pStyle w:val="Compact"/>
        <w:numPr>
          <w:ilvl w:val="0"/>
          <w:numId w:val="1010"/>
        </w:numPr>
      </w:pPr>
      <w:r>
        <w:t xml:space="preserve">un contrôleur de pH et d’EC;</w:t>
      </w:r>
    </w:p>
    <w:p>
      <w:pPr>
        <w:pStyle w:val="Compact"/>
        <w:numPr>
          <w:ilvl w:val="0"/>
          <w:numId w:val="1010"/>
        </w:numPr>
      </w:pPr>
      <w:r>
        <w:t xml:space="preserve">des pompes de dosage;</w:t>
      </w:r>
    </w:p>
    <w:p>
      <w:pPr>
        <w:pStyle w:val="Compact"/>
        <w:numPr>
          <w:ilvl w:val="0"/>
          <w:numId w:val="1010"/>
        </w:numPr>
      </w:pPr>
      <w:r>
        <w:t xml:space="preserve">une alimentation électrique solaire.</w:t>
      </w:r>
    </w:p>
    <w:p>
      <w:pPr>
        <w:pStyle w:val="FirstParagraph"/>
      </w:pPr>
      <w:r>
        <w:t xml:space="preserve">Dans le système NFT, une fine couche de solution nutritive circule au niveau des racines. L’eau qui n’est pas absorbée retourne dans le réservoir afin d’être réutilisée.</w:t>
      </w:r>
    </w:p>
    <w:p>
      <w:pPr>
        <w:pStyle w:val="BodyText"/>
      </w:pPr>
      <w:r>
        <w:t xml:space="preserve">Cette méthode permet :</w:t>
      </w:r>
    </w:p>
    <w:p>
      <w:pPr>
        <w:pStyle w:val="Compact"/>
        <w:numPr>
          <w:ilvl w:val="0"/>
          <w:numId w:val="1011"/>
        </w:numPr>
      </w:pPr>
      <w:r>
        <w:t xml:space="preserve">d’économiser l’eau;</w:t>
      </w:r>
    </w:p>
    <w:p>
      <w:pPr>
        <w:pStyle w:val="Compact"/>
        <w:numPr>
          <w:ilvl w:val="0"/>
          <w:numId w:val="1011"/>
        </w:numPr>
      </w:pPr>
      <w:r>
        <w:t xml:space="preserve">de mieux contrôler la nutrition;</w:t>
      </w:r>
    </w:p>
    <w:p>
      <w:pPr>
        <w:pStyle w:val="Compact"/>
        <w:numPr>
          <w:ilvl w:val="0"/>
          <w:numId w:val="1011"/>
        </w:numPr>
      </w:pPr>
      <w:r>
        <w:t xml:space="preserve">de réduire la dépendance à la qualité du sol;</w:t>
      </w:r>
    </w:p>
    <w:p>
      <w:pPr>
        <w:pStyle w:val="Compact"/>
        <w:numPr>
          <w:ilvl w:val="0"/>
          <w:numId w:val="1011"/>
        </w:numPr>
      </w:pPr>
      <w:r>
        <w:t xml:space="preserve">de produire sur une surface limitée;</w:t>
      </w:r>
    </w:p>
    <w:p>
      <w:pPr>
        <w:pStyle w:val="Compact"/>
        <w:numPr>
          <w:ilvl w:val="0"/>
          <w:numId w:val="1011"/>
        </w:numPr>
      </w:pPr>
      <w:r>
        <w:t xml:space="preserve">d’augmenter le nombre de plantes par mètre carré;</w:t>
      </w:r>
    </w:p>
    <w:p>
      <w:pPr>
        <w:pStyle w:val="Compact"/>
        <w:numPr>
          <w:ilvl w:val="0"/>
          <w:numId w:val="1011"/>
        </w:numPr>
      </w:pPr>
      <w:r>
        <w:t xml:space="preserve">d’échelonner les récoltes.</w:t>
      </w:r>
    </w:p>
    <w:p>
      <w:pPr>
        <w:pStyle w:val="FirstParagraph"/>
      </w:pPr>
      <w:r>
        <w:t xml:space="preserve">Les principales cultures envisagées dans le système NFT sont :</w:t>
      </w:r>
    </w:p>
    <w:p>
      <w:pPr>
        <w:pStyle w:val="Compact"/>
        <w:numPr>
          <w:ilvl w:val="0"/>
          <w:numId w:val="1012"/>
        </w:numPr>
      </w:pPr>
      <w:r>
        <w:t xml:space="preserve">laitue verte;</w:t>
      </w:r>
    </w:p>
    <w:p>
      <w:pPr>
        <w:pStyle w:val="Compact"/>
        <w:numPr>
          <w:ilvl w:val="0"/>
          <w:numId w:val="1012"/>
        </w:numPr>
      </w:pPr>
      <w:r>
        <w:t xml:space="preserve">laitue rouge;</w:t>
      </w:r>
    </w:p>
    <w:p>
      <w:pPr>
        <w:pStyle w:val="Compact"/>
        <w:numPr>
          <w:ilvl w:val="0"/>
          <w:numId w:val="1012"/>
        </w:numPr>
      </w:pPr>
      <w:r>
        <w:t xml:space="preserve">salade romaine;</w:t>
      </w:r>
    </w:p>
    <w:p>
      <w:pPr>
        <w:pStyle w:val="Compact"/>
        <w:numPr>
          <w:ilvl w:val="0"/>
          <w:numId w:val="1012"/>
        </w:numPr>
      </w:pPr>
      <w:r>
        <w:t xml:space="preserve">basilic;</w:t>
      </w:r>
    </w:p>
    <w:p>
      <w:pPr>
        <w:pStyle w:val="Compact"/>
        <w:numPr>
          <w:ilvl w:val="0"/>
          <w:numId w:val="1012"/>
        </w:numPr>
      </w:pPr>
      <w:r>
        <w:t xml:space="preserve">menthe;</w:t>
      </w:r>
    </w:p>
    <w:p>
      <w:pPr>
        <w:pStyle w:val="Compact"/>
        <w:numPr>
          <w:ilvl w:val="0"/>
          <w:numId w:val="1012"/>
        </w:numPr>
      </w:pPr>
      <w:r>
        <w:t xml:space="preserve">blette;</w:t>
      </w:r>
    </w:p>
    <w:p>
      <w:pPr>
        <w:pStyle w:val="Compact"/>
        <w:numPr>
          <w:ilvl w:val="0"/>
          <w:numId w:val="1012"/>
        </w:numPr>
      </w:pPr>
      <w:r>
        <w:t xml:space="preserve">jeunes feuilles;</w:t>
      </w:r>
    </w:p>
    <w:p>
      <w:pPr>
        <w:pStyle w:val="Compact"/>
        <w:numPr>
          <w:ilvl w:val="0"/>
          <w:numId w:val="1012"/>
        </w:numPr>
      </w:pPr>
      <w:r>
        <w:t xml:space="preserve">autres plantes aromatiques;</w:t>
      </w:r>
    </w:p>
    <w:p>
      <w:pPr>
        <w:pStyle w:val="Compact"/>
        <w:numPr>
          <w:ilvl w:val="0"/>
          <w:numId w:val="1012"/>
        </w:numPr>
      </w:pPr>
      <w:r>
        <w:t xml:space="preserve">fraises premium pendant la période fraîche.</w:t>
      </w:r>
    </w:p>
    <w:p>
      <w:r>
        <w:pict>
          <v:rect style="width:0;height:1.5pt" o:hralign="center" o:hrstd="t" o:hr="t"/>
        </w:pict>
      </w:r>
    </w:p>
    <w:bookmarkEnd w:id="27"/>
    <w:bookmarkStart w:id="28" w:name="la-serre-hors-sol-sur-cocopeat"/>
    <w:p>
      <w:pPr>
        <w:pStyle w:val="Heading1"/>
      </w:pPr>
      <w:r>
        <w:t xml:space="preserve">5. La serre hors-sol sur cocopeat</w:t>
      </w:r>
    </w:p>
    <w:p>
      <w:pPr>
        <w:pStyle w:val="FirstParagraph"/>
      </w:pPr>
      <w:r>
        <w:t xml:space="preserve">La deuxième serre Sawtooth utilise un système de culture hors-sol sur cocopeat.</w:t>
      </w:r>
    </w:p>
    <w:p>
      <w:pPr>
        <w:pStyle w:val="BodyText"/>
      </w:pPr>
      <w:r>
        <w:t xml:space="preserve">Elle comprend environ</w:t>
      </w:r>
      <w:r>
        <w:t xml:space="preserve"> </w:t>
      </w:r>
      <w:r>
        <w:rPr>
          <w:b/>
          <w:bCs/>
        </w:rPr>
        <w:t xml:space="preserve">640 sacs de culture de cinq gallons</w:t>
      </w:r>
      <w:r>
        <w:t xml:space="preserve">, alimentés par un système d’irrigation de type</w:t>
      </w:r>
      <w:r>
        <w:t xml:space="preserve"> </w:t>
      </w:r>
      <w:r>
        <w:rPr>
          <w:i/>
          <w:iCs/>
        </w:rPr>
        <w:t xml:space="preserve">drip arrow</w:t>
      </w:r>
      <w:r>
        <w:t xml:space="preserve">.</w:t>
      </w:r>
    </w:p>
    <w:p>
      <w:pPr>
        <w:pStyle w:val="BodyText"/>
      </w:pPr>
      <w:r>
        <w:t xml:space="preserve">Le cocopeat offre :</w:t>
      </w:r>
    </w:p>
    <w:p>
      <w:pPr>
        <w:pStyle w:val="Compact"/>
        <w:numPr>
          <w:ilvl w:val="0"/>
          <w:numId w:val="1013"/>
        </w:numPr>
      </w:pPr>
      <w:r>
        <w:t xml:space="preserve">une bonne rétention de l’eau;</w:t>
      </w:r>
    </w:p>
    <w:p>
      <w:pPr>
        <w:pStyle w:val="Compact"/>
        <w:numPr>
          <w:ilvl w:val="0"/>
          <w:numId w:val="1013"/>
        </w:numPr>
      </w:pPr>
      <w:r>
        <w:t xml:space="preserve">une bonne aération des racines;</w:t>
      </w:r>
    </w:p>
    <w:p>
      <w:pPr>
        <w:pStyle w:val="Compact"/>
        <w:numPr>
          <w:ilvl w:val="0"/>
          <w:numId w:val="1013"/>
        </w:numPr>
      </w:pPr>
      <w:r>
        <w:t xml:space="preserve">une meilleure maîtrise de la fertigation;</w:t>
      </w:r>
    </w:p>
    <w:p>
      <w:pPr>
        <w:pStyle w:val="Compact"/>
        <w:numPr>
          <w:ilvl w:val="0"/>
          <w:numId w:val="1013"/>
        </w:numPr>
      </w:pPr>
      <w:r>
        <w:t xml:space="preserve">une réduction de la dépendance au sol;</w:t>
      </w:r>
    </w:p>
    <w:p>
      <w:pPr>
        <w:pStyle w:val="Compact"/>
        <w:numPr>
          <w:ilvl w:val="0"/>
          <w:numId w:val="1013"/>
        </w:numPr>
      </w:pPr>
      <w:r>
        <w:t xml:space="preserve">une adaptation aux cultures à fort développement racinaire.</w:t>
      </w:r>
    </w:p>
    <w:p>
      <w:pPr>
        <w:pStyle w:val="FirstParagraph"/>
      </w:pPr>
      <w:r>
        <w:t xml:space="preserve">Cette serre est principalement destinée aux cultures fruitières telles que :</w:t>
      </w:r>
    </w:p>
    <w:p>
      <w:pPr>
        <w:pStyle w:val="Compact"/>
        <w:numPr>
          <w:ilvl w:val="0"/>
          <w:numId w:val="1014"/>
        </w:numPr>
      </w:pPr>
      <w:r>
        <w:t xml:space="preserve">tomates cerises;</w:t>
      </w:r>
    </w:p>
    <w:p>
      <w:pPr>
        <w:pStyle w:val="Compact"/>
        <w:numPr>
          <w:ilvl w:val="0"/>
          <w:numId w:val="1014"/>
        </w:numPr>
      </w:pPr>
      <w:r>
        <w:t xml:space="preserve">concombres;</w:t>
      </w:r>
    </w:p>
    <w:p>
      <w:pPr>
        <w:pStyle w:val="Compact"/>
        <w:numPr>
          <w:ilvl w:val="0"/>
          <w:numId w:val="1014"/>
        </w:numPr>
      </w:pPr>
      <w:r>
        <w:t xml:space="preserve">poivrons;</w:t>
      </w:r>
    </w:p>
    <w:p>
      <w:pPr>
        <w:pStyle w:val="Compact"/>
        <w:numPr>
          <w:ilvl w:val="0"/>
          <w:numId w:val="1014"/>
        </w:numPr>
      </w:pPr>
      <w:r>
        <w:t xml:space="preserve">piments forts;</w:t>
      </w:r>
    </w:p>
    <w:p>
      <w:pPr>
        <w:pStyle w:val="Compact"/>
        <w:numPr>
          <w:ilvl w:val="0"/>
          <w:numId w:val="1014"/>
        </w:numPr>
      </w:pPr>
      <w:r>
        <w:t xml:space="preserve">éventuellement d’autres cultures maraîchères premium.</w:t>
      </w:r>
    </w:p>
    <w:p>
      <w:pPr>
        <w:pStyle w:val="FirstParagraph"/>
      </w:pPr>
      <w:r>
        <w:t xml:space="preserve">Les nutriments sont apportés directement avec l’eau d’irrigation. Les quantités peuvent être adaptées selon la culture, son stade de développement, la température et la qualité de l’eau.</w:t>
      </w:r>
    </w:p>
    <w:p>
      <w:r>
        <w:pict>
          <v:rect style="width:0;height:1.5pt" o:hralign="center" o:hrstd="t" o:hr="t"/>
        </w:pict>
      </w:r>
    </w:p>
    <w:bookmarkEnd w:id="28"/>
    <w:bookmarkStart w:id="35" w:name="les-cultures-de-plein-champ"/>
    <w:p>
      <w:pPr>
        <w:pStyle w:val="Heading1"/>
      </w:pPr>
      <w:r>
        <w:t xml:space="preserve">6. Les cultures de plein champ</w:t>
      </w:r>
    </w:p>
    <w:p>
      <w:pPr>
        <w:pStyle w:val="FirstParagraph"/>
      </w:pPr>
      <w:r>
        <w:t xml:space="preserve">En complément des serres, NigerVerdé développe une production agricole extérieure sur une superficie initiale d’environ</w:t>
      </w:r>
      <w:r>
        <w:t xml:space="preserve"> </w:t>
      </w:r>
      <w:r>
        <w:rPr>
          <w:b/>
          <w:bCs/>
        </w:rPr>
        <w:t xml:space="preserve">un à deux hectares</w:t>
      </w:r>
      <w:r>
        <w:t xml:space="preserve">, avec une possibilité d’expansion progressive.</w:t>
      </w:r>
    </w:p>
    <w:p>
      <w:pPr>
        <w:pStyle w:val="BodyText"/>
      </w:pPr>
      <w:r>
        <w:t xml:space="preserve">Les cultures en plein champ représentent une composante essentielle du projet.</w:t>
      </w:r>
    </w:p>
    <w:p>
      <w:pPr>
        <w:pStyle w:val="BodyText"/>
      </w:pPr>
      <w:r>
        <w:t xml:space="preserve">Elles permettront de :</w:t>
      </w:r>
    </w:p>
    <w:p>
      <w:pPr>
        <w:pStyle w:val="Compact"/>
        <w:numPr>
          <w:ilvl w:val="0"/>
          <w:numId w:val="1015"/>
        </w:numPr>
      </w:pPr>
      <w:r>
        <w:t xml:space="preserve">diversifier les sources de revenus;</w:t>
      </w:r>
    </w:p>
    <w:p>
      <w:pPr>
        <w:pStyle w:val="Compact"/>
        <w:numPr>
          <w:ilvl w:val="0"/>
          <w:numId w:val="1015"/>
        </w:numPr>
      </w:pPr>
      <w:r>
        <w:t xml:space="preserve">augmenter les volumes de production;</w:t>
      </w:r>
    </w:p>
    <w:p>
      <w:pPr>
        <w:pStyle w:val="Compact"/>
        <w:numPr>
          <w:ilvl w:val="0"/>
          <w:numId w:val="1015"/>
        </w:numPr>
      </w:pPr>
      <w:r>
        <w:t xml:space="preserve">approvisionner le marché local;</w:t>
      </w:r>
    </w:p>
    <w:p>
      <w:pPr>
        <w:pStyle w:val="Compact"/>
        <w:numPr>
          <w:ilvl w:val="0"/>
          <w:numId w:val="1015"/>
        </w:numPr>
      </w:pPr>
      <w:r>
        <w:t xml:space="preserve">développer des produits transformés;</w:t>
      </w:r>
    </w:p>
    <w:p>
      <w:pPr>
        <w:pStyle w:val="Compact"/>
        <w:numPr>
          <w:ilvl w:val="0"/>
          <w:numId w:val="1015"/>
        </w:numPr>
      </w:pPr>
      <w:r>
        <w:t xml:space="preserve">valoriser les équipements d’irrigation et les drones;</w:t>
      </w:r>
    </w:p>
    <w:p>
      <w:pPr>
        <w:pStyle w:val="Compact"/>
        <w:numPr>
          <w:ilvl w:val="0"/>
          <w:numId w:val="1015"/>
        </w:numPr>
      </w:pPr>
      <w:r>
        <w:t xml:space="preserve">réduire la dépendance à une seule culture;</w:t>
      </w:r>
    </w:p>
    <w:p>
      <w:pPr>
        <w:pStyle w:val="Compact"/>
        <w:numPr>
          <w:ilvl w:val="0"/>
          <w:numId w:val="1015"/>
        </w:numPr>
      </w:pPr>
      <w:r>
        <w:t xml:space="preserve">utiliser progressivement le domaine agricole disponible.</w:t>
      </w:r>
    </w:p>
    <w:bookmarkStart w:id="29" w:name="le-moringa"/>
    <w:p>
      <w:pPr>
        <w:pStyle w:val="Heading2"/>
      </w:pPr>
      <w:r>
        <w:t xml:space="preserve">6.1 Le moringa</w:t>
      </w:r>
    </w:p>
    <w:p>
      <w:pPr>
        <w:pStyle w:val="FirstParagraph"/>
      </w:pPr>
      <w:r>
        <w:t xml:space="preserve">Le moringa constitue l’une des cultures stratégiques de NigerVerdé.</w:t>
      </w:r>
    </w:p>
    <w:p>
      <w:pPr>
        <w:pStyle w:val="BodyText"/>
      </w:pPr>
      <w:r>
        <w:t xml:space="preserve">Une superficie initiale pouvant atteindre environ</w:t>
      </w:r>
      <w:r>
        <w:t xml:space="preserve"> </w:t>
      </w:r>
      <w:r>
        <w:rPr>
          <w:b/>
          <w:bCs/>
        </w:rPr>
        <w:t xml:space="preserve">un demi-hectare</w:t>
      </w:r>
      <w:r>
        <w:t xml:space="preserve"> </w:t>
      </w:r>
      <w:r>
        <w:t xml:space="preserve">est envisagée pour sa production.</w:t>
      </w:r>
    </w:p>
    <w:p>
      <w:pPr>
        <w:pStyle w:val="BodyText"/>
      </w:pPr>
      <w:r>
        <w:t xml:space="preserve">Le moringa peut être valorisé sous différentes formes :</w:t>
      </w:r>
    </w:p>
    <w:p>
      <w:pPr>
        <w:pStyle w:val="Compact"/>
        <w:numPr>
          <w:ilvl w:val="0"/>
          <w:numId w:val="1016"/>
        </w:numPr>
      </w:pPr>
      <w:r>
        <w:t xml:space="preserve">feuilles fraîches;</w:t>
      </w:r>
    </w:p>
    <w:p>
      <w:pPr>
        <w:pStyle w:val="Compact"/>
        <w:numPr>
          <w:ilvl w:val="0"/>
          <w:numId w:val="1016"/>
        </w:numPr>
      </w:pPr>
      <w:r>
        <w:t xml:space="preserve">feuilles séchées;</w:t>
      </w:r>
    </w:p>
    <w:p>
      <w:pPr>
        <w:pStyle w:val="Compact"/>
        <w:numPr>
          <w:ilvl w:val="0"/>
          <w:numId w:val="1016"/>
        </w:numPr>
      </w:pPr>
      <w:r>
        <w:t xml:space="preserve">poudre de moringa;</w:t>
      </w:r>
    </w:p>
    <w:p>
      <w:pPr>
        <w:pStyle w:val="Compact"/>
        <w:numPr>
          <w:ilvl w:val="0"/>
          <w:numId w:val="1016"/>
        </w:numPr>
      </w:pPr>
      <w:r>
        <w:t xml:space="preserve">sachets alimentaires;</w:t>
      </w:r>
    </w:p>
    <w:p>
      <w:pPr>
        <w:pStyle w:val="Compact"/>
        <w:numPr>
          <w:ilvl w:val="0"/>
          <w:numId w:val="1016"/>
        </w:numPr>
      </w:pPr>
      <w:r>
        <w:t xml:space="preserve">infusion;</w:t>
      </w:r>
    </w:p>
    <w:p>
      <w:pPr>
        <w:pStyle w:val="Compact"/>
        <w:numPr>
          <w:ilvl w:val="0"/>
          <w:numId w:val="1016"/>
        </w:numPr>
      </w:pPr>
      <w:r>
        <w:t xml:space="preserve">produits nutritionnels;</w:t>
      </w:r>
    </w:p>
    <w:p>
      <w:pPr>
        <w:pStyle w:val="Compact"/>
        <w:numPr>
          <w:ilvl w:val="0"/>
          <w:numId w:val="1016"/>
        </w:numPr>
      </w:pPr>
      <w:r>
        <w:t xml:space="preserve">huile issue des graines;</w:t>
      </w:r>
    </w:p>
    <w:p>
      <w:pPr>
        <w:pStyle w:val="Compact"/>
        <w:numPr>
          <w:ilvl w:val="0"/>
          <w:numId w:val="1016"/>
        </w:numPr>
      </w:pPr>
      <w:r>
        <w:t xml:space="preserve">produits cosmétiques;</w:t>
      </w:r>
    </w:p>
    <w:p>
      <w:pPr>
        <w:pStyle w:val="Compact"/>
        <w:numPr>
          <w:ilvl w:val="0"/>
          <w:numId w:val="1016"/>
        </w:numPr>
      </w:pPr>
      <w:r>
        <w:t xml:space="preserve">aliments pour animaux, selon les débouchés.</w:t>
      </w:r>
    </w:p>
    <w:p>
      <w:pPr>
        <w:pStyle w:val="FirstParagraph"/>
      </w:pPr>
      <w:r>
        <w:t xml:space="preserve">Dans la première phase, NigerVerdé privilégiera principalement la production de feuilles et leur éventuelle transformation en poudre.</w:t>
      </w:r>
    </w:p>
    <w:p>
      <w:pPr>
        <w:pStyle w:val="BodyText"/>
      </w:pPr>
      <w:r>
        <w:t xml:space="preserve">Le moringa présente plusieurs intérêts :</w:t>
      </w:r>
    </w:p>
    <w:p>
      <w:pPr>
        <w:pStyle w:val="Compact"/>
        <w:numPr>
          <w:ilvl w:val="0"/>
          <w:numId w:val="1017"/>
        </w:numPr>
      </w:pPr>
      <w:r>
        <w:t xml:space="preserve">adaptation relative au climat chaud;</w:t>
      </w:r>
    </w:p>
    <w:p>
      <w:pPr>
        <w:pStyle w:val="Compact"/>
        <w:numPr>
          <w:ilvl w:val="0"/>
          <w:numId w:val="1017"/>
        </w:numPr>
      </w:pPr>
      <w:r>
        <w:t xml:space="preserve">demande nutritionnelle croissante;</w:t>
      </w:r>
    </w:p>
    <w:p>
      <w:pPr>
        <w:pStyle w:val="Compact"/>
        <w:numPr>
          <w:ilvl w:val="0"/>
          <w:numId w:val="1017"/>
        </w:numPr>
      </w:pPr>
      <w:r>
        <w:t xml:space="preserve">possibilité de récoltes répétées;</w:t>
      </w:r>
    </w:p>
    <w:p>
      <w:pPr>
        <w:pStyle w:val="Compact"/>
        <w:numPr>
          <w:ilvl w:val="0"/>
          <w:numId w:val="1017"/>
        </w:numPr>
      </w:pPr>
      <w:r>
        <w:t xml:space="preserve">potentiel de transformation;</w:t>
      </w:r>
    </w:p>
    <w:p>
      <w:pPr>
        <w:pStyle w:val="Compact"/>
        <w:numPr>
          <w:ilvl w:val="0"/>
          <w:numId w:val="1017"/>
        </w:numPr>
      </w:pPr>
      <w:r>
        <w:t xml:space="preserve">potentiel de commercialisation locale;</w:t>
      </w:r>
    </w:p>
    <w:p>
      <w:pPr>
        <w:pStyle w:val="Compact"/>
        <w:numPr>
          <w:ilvl w:val="0"/>
          <w:numId w:val="1017"/>
        </w:numPr>
      </w:pPr>
      <w:r>
        <w:t xml:space="preserve">possibilité d’exportation à plus long terme.</w:t>
      </w:r>
    </w:p>
    <w:p>
      <w:pPr>
        <w:pStyle w:val="FirstParagraph"/>
      </w:pPr>
      <w:r>
        <w:t xml:space="preserve">La transformation nécessitera cependant :</w:t>
      </w:r>
    </w:p>
    <w:p>
      <w:pPr>
        <w:pStyle w:val="Compact"/>
        <w:numPr>
          <w:ilvl w:val="0"/>
          <w:numId w:val="1018"/>
        </w:numPr>
      </w:pPr>
      <w:r>
        <w:t xml:space="preserve">un séchage hygiénique;</w:t>
      </w:r>
    </w:p>
    <w:p>
      <w:pPr>
        <w:pStyle w:val="Compact"/>
        <w:numPr>
          <w:ilvl w:val="0"/>
          <w:numId w:val="1018"/>
        </w:numPr>
      </w:pPr>
      <w:r>
        <w:t xml:space="preserve">un contrôle de la qualité;</w:t>
      </w:r>
    </w:p>
    <w:p>
      <w:pPr>
        <w:pStyle w:val="Compact"/>
        <w:numPr>
          <w:ilvl w:val="0"/>
          <w:numId w:val="1018"/>
        </w:numPr>
      </w:pPr>
      <w:r>
        <w:t xml:space="preserve">un espace propre;</w:t>
      </w:r>
    </w:p>
    <w:p>
      <w:pPr>
        <w:pStyle w:val="Compact"/>
        <w:numPr>
          <w:ilvl w:val="0"/>
          <w:numId w:val="1018"/>
        </w:numPr>
      </w:pPr>
      <w:r>
        <w:t xml:space="preserve">un conditionnement adapté;</w:t>
      </w:r>
    </w:p>
    <w:p>
      <w:pPr>
        <w:pStyle w:val="Compact"/>
        <w:numPr>
          <w:ilvl w:val="0"/>
          <w:numId w:val="1018"/>
        </w:numPr>
      </w:pPr>
      <w:r>
        <w:t xml:space="preserve">une traçabilité;</w:t>
      </w:r>
    </w:p>
    <w:p>
      <w:pPr>
        <w:pStyle w:val="Compact"/>
        <w:numPr>
          <w:ilvl w:val="0"/>
          <w:numId w:val="1018"/>
        </w:numPr>
      </w:pPr>
      <w:r>
        <w:t xml:space="preserve">le respect des normes applicables.</w:t>
      </w:r>
    </w:p>
    <w:p>
      <w:r>
        <w:pict>
          <v:rect style="width:0;height:1.5pt" o:hralign="center" o:hrstd="t" o:hr="t"/>
        </w:pict>
      </w:r>
    </w:p>
    <w:bookmarkEnd w:id="29"/>
    <w:bookmarkStart w:id="30" w:name="le-piment"/>
    <w:p>
      <w:pPr>
        <w:pStyle w:val="Heading2"/>
      </w:pPr>
      <w:r>
        <w:t xml:space="preserve">6.2 Le piment</w:t>
      </w:r>
    </w:p>
    <w:p>
      <w:pPr>
        <w:pStyle w:val="FirstParagraph"/>
      </w:pPr>
      <w:r>
        <w:t xml:space="preserve">Le piment représente une culture de plein champ à forte valeur commerciale.</w:t>
      </w:r>
    </w:p>
    <w:p>
      <w:pPr>
        <w:pStyle w:val="BodyText"/>
      </w:pPr>
      <w:r>
        <w:t xml:space="preserve">Il peut être vendu :</w:t>
      </w:r>
    </w:p>
    <w:p>
      <w:pPr>
        <w:pStyle w:val="Compact"/>
        <w:numPr>
          <w:ilvl w:val="0"/>
          <w:numId w:val="1019"/>
        </w:numPr>
      </w:pPr>
      <w:r>
        <w:t xml:space="preserve">frais;</w:t>
      </w:r>
    </w:p>
    <w:p>
      <w:pPr>
        <w:pStyle w:val="Compact"/>
        <w:numPr>
          <w:ilvl w:val="0"/>
          <w:numId w:val="1019"/>
        </w:numPr>
      </w:pPr>
      <w:r>
        <w:t xml:space="preserve">séché;</w:t>
      </w:r>
    </w:p>
    <w:p>
      <w:pPr>
        <w:pStyle w:val="Compact"/>
        <w:numPr>
          <w:ilvl w:val="0"/>
          <w:numId w:val="1019"/>
        </w:numPr>
      </w:pPr>
      <w:r>
        <w:t xml:space="preserve">moulu en poudre;</w:t>
      </w:r>
    </w:p>
    <w:p>
      <w:pPr>
        <w:pStyle w:val="Compact"/>
        <w:numPr>
          <w:ilvl w:val="0"/>
          <w:numId w:val="1019"/>
        </w:numPr>
      </w:pPr>
      <w:r>
        <w:t xml:space="preserve">transformé en sauce;</w:t>
      </w:r>
    </w:p>
    <w:p>
      <w:pPr>
        <w:pStyle w:val="Compact"/>
        <w:numPr>
          <w:ilvl w:val="0"/>
          <w:numId w:val="1019"/>
        </w:numPr>
      </w:pPr>
      <w:r>
        <w:t xml:space="preserve">conditionné pour les commerces;</w:t>
      </w:r>
    </w:p>
    <w:p>
      <w:pPr>
        <w:pStyle w:val="Compact"/>
        <w:numPr>
          <w:ilvl w:val="0"/>
          <w:numId w:val="1019"/>
        </w:numPr>
      </w:pPr>
      <w:r>
        <w:t xml:space="preserve">commercialisé auprès des restaurants.</w:t>
      </w:r>
    </w:p>
    <w:p>
      <w:pPr>
        <w:pStyle w:val="FirstParagraph"/>
      </w:pPr>
      <w:r>
        <w:t xml:space="preserve">Le piment pourra occuper une partie de la superficie restante après la mise en place du moringa.</w:t>
      </w:r>
    </w:p>
    <w:p>
      <w:pPr>
        <w:pStyle w:val="BodyText"/>
      </w:pPr>
      <w:r>
        <w:t xml:space="preserve">Son intégration permettra de générer des revenus relativement rapides et de préparer une future activité de transformation.</w:t>
      </w:r>
    </w:p>
    <w:p>
      <w:r>
        <w:pict>
          <v:rect style="width:0;height:1.5pt" o:hralign="center" o:hrstd="t" o:hr="t"/>
        </w:pict>
      </w:r>
    </w:p>
    <w:bookmarkEnd w:id="30"/>
    <w:bookmarkStart w:id="31" w:name="le-gombo"/>
    <w:p>
      <w:pPr>
        <w:pStyle w:val="Heading2"/>
      </w:pPr>
      <w:r>
        <w:t xml:space="preserve">6.3 Le gombo</w:t>
      </w:r>
    </w:p>
    <w:p>
      <w:pPr>
        <w:pStyle w:val="FirstParagraph"/>
      </w:pPr>
      <w:r>
        <w:t xml:space="preserve">Le gombo est une culture adaptée aux habitudes alimentaires locales.</w:t>
      </w:r>
    </w:p>
    <w:p>
      <w:pPr>
        <w:pStyle w:val="BodyText"/>
      </w:pPr>
      <w:r>
        <w:t xml:space="preserve">Il présente plusieurs avantages :</w:t>
      </w:r>
    </w:p>
    <w:p>
      <w:pPr>
        <w:pStyle w:val="Compact"/>
        <w:numPr>
          <w:ilvl w:val="0"/>
          <w:numId w:val="1020"/>
        </w:numPr>
      </w:pPr>
      <w:r>
        <w:t xml:space="preserve">forte consommation au Niger;</w:t>
      </w:r>
    </w:p>
    <w:p>
      <w:pPr>
        <w:pStyle w:val="Compact"/>
        <w:numPr>
          <w:ilvl w:val="0"/>
          <w:numId w:val="1020"/>
        </w:numPr>
      </w:pPr>
      <w:r>
        <w:t xml:space="preserve">commercialisation sur les marchés;</w:t>
      </w:r>
    </w:p>
    <w:p>
      <w:pPr>
        <w:pStyle w:val="Compact"/>
        <w:numPr>
          <w:ilvl w:val="0"/>
          <w:numId w:val="1020"/>
        </w:numPr>
      </w:pPr>
      <w:r>
        <w:t xml:space="preserve">vente aux ménages et restaurants;</w:t>
      </w:r>
    </w:p>
    <w:p>
      <w:pPr>
        <w:pStyle w:val="Compact"/>
        <w:numPr>
          <w:ilvl w:val="0"/>
          <w:numId w:val="1020"/>
        </w:numPr>
      </w:pPr>
      <w:r>
        <w:t xml:space="preserve">possibilité de séchage;</w:t>
      </w:r>
    </w:p>
    <w:p>
      <w:pPr>
        <w:pStyle w:val="Compact"/>
        <w:numPr>
          <w:ilvl w:val="0"/>
          <w:numId w:val="1020"/>
        </w:numPr>
      </w:pPr>
      <w:r>
        <w:t xml:space="preserve">possibilité de récoltes régulières;</w:t>
      </w:r>
    </w:p>
    <w:p>
      <w:pPr>
        <w:pStyle w:val="Compact"/>
        <w:numPr>
          <w:ilvl w:val="0"/>
          <w:numId w:val="1020"/>
        </w:numPr>
      </w:pPr>
      <w:r>
        <w:t xml:space="preserve">adaptation aux températures élevées.</w:t>
      </w:r>
    </w:p>
    <w:p>
      <w:pPr>
        <w:pStyle w:val="FirstParagraph"/>
      </w:pPr>
      <w:r>
        <w:t xml:space="preserve">Le gombo peut compléter les revenus du moringa et du piment.</w:t>
      </w:r>
    </w:p>
    <w:p>
      <w:r>
        <w:pict>
          <v:rect style="width:0;height:1.5pt" o:hralign="center" o:hrstd="t" o:hr="t"/>
        </w:pict>
      </w:r>
    </w:p>
    <w:bookmarkEnd w:id="31"/>
    <w:bookmarkStart w:id="32" w:name="lhibiscus-ou-bissap"/>
    <w:p>
      <w:pPr>
        <w:pStyle w:val="Heading2"/>
      </w:pPr>
      <w:r>
        <w:t xml:space="preserve">6.4 L’hibiscus ou bissap</w:t>
      </w:r>
    </w:p>
    <w:p>
      <w:pPr>
        <w:pStyle w:val="FirstParagraph"/>
      </w:pPr>
      <w:r>
        <w:t xml:space="preserve">L’hibiscus peut être cultivé pour produire des calices destinés :</w:t>
      </w:r>
    </w:p>
    <w:p>
      <w:pPr>
        <w:pStyle w:val="Compact"/>
        <w:numPr>
          <w:ilvl w:val="0"/>
          <w:numId w:val="1021"/>
        </w:numPr>
      </w:pPr>
      <w:r>
        <w:t xml:space="preserve">aux boissons;</w:t>
      </w:r>
    </w:p>
    <w:p>
      <w:pPr>
        <w:pStyle w:val="Compact"/>
        <w:numPr>
          <w:ilvl w:val="0"/>
          <w:numId w:val="1021"/>
        </w:numPr>
      </w:pPr>
      <w:r>
        <w:t xml:space="preserve">aux jus;</w:t>
      </w:r>
    </w:p>
    <w:p>
      <w:pPr>
        <w:pStyle w:val="Compact"/>
        <w:numPr>
          <w:ilvl w:val="0"/>
          <w:numId w:val="1021"/>
        </w:numPr>
      </w:pPr>
      <w:r>
        <w:t xml:space="preserve">aux infusions;</w:t>
      </w:r>
    </w:p>
    <w:p>
      <w:pPr>
        <w:pStyle w:val="Compact"/>
        <w:numPr>
          <w:ilvl w:val="0"/>
          <w:numId w:val="1021"/>
        </w:numPr>
      </w:pPr>
      <w:r>
        <w:t xml:space="preserve">au séchage;</w:t>
      </w:r>
    </w:p>
    <w:p>
      <w:pPr>
        <w:pStyle w:val="Compact"/>
        <w:numPr>
          <w:ilvl w:val="0"/>
          <w:numId w:val="1021"/>
        </w:numPr>
      </w:pPr>
      <w:r>
        <w:t xml:space="preserve">au conditionnement;</w:t>
      </w:r>
    </w:p>
    <w:p>
      <w:pPr>
        <w:pStyle w:val="Compact"/>
        <w:numPr>
          <w:ilvl w:val="0"/>
          <w:numId w:val="1021"/>
        </w:numPr>
      </w:pPr>
      <w:r>
        <w:t xml:space="preserve">à la transformation locale.</w:t>
      </w:r>
    </w:p>
    <w:p>
      <w:pPr>
        <w:pStyle w:val="FirstParagraph"/>
      </w:pPr>
      <w:r>
        <w:t xml:space="preserve">Cette culture offre une possibilité de diversification et de création de produits commercialisés sous la marque NigerVerdé.</w:t>
      </w:r>
    </w:p>
    <w:p>
      <w:r>
        <w:pict>
          <v:rect style="width:0;height:1.5pt" o:hralign="center" o:hrstd="t" o:hr="t"/>
        </w:pict>
      </w:r>
    </w:p>
    <w:bookmarkEnd w:id="32"/>
    <w:bookmarkStart w:id="33" w:name="la-pastèque"/>
    <w:p>
      <w:pPr>
        <w:pStyle w:val="Heading2"/>
      </w:pPr>
      <w:r>
        <w:t xml:space="preserve">6.5 La pastèque</w:t>
      </w:r>
    </w:p>
    <w:p>
      <w:pPr>
        <w:pStyle w:val="FirstParagraph"/>
      </w:pPr>
      <w:r>
        <w:t xml:space="preserve">La pastèque peut être intégrée dans la rotation des cultures ou exploitée sur une partie du terrain en fonction :</w:t>
      </w:r>
    </w:p>
    <w:p>
      <w:pPr>
        <w:pStyle w:val="Compact"/>
        <w:numPr>
          <w:ilvl w:val="0"/>
          <w:numId w:val="1022"/>
        </w:numPr>
      </w:pPr>
      <w:r>
        <w:t xml:space="preserve">de la saison;</w:t>
      </w:r>
    </w:p>
    <w:p>
      <w:pPr>
        <w:pStyle w:val="Compact"/>
        <w:numPr>
          <w:ilvl w:val="0"/>
          <w:numId w:val="1022"/>
        </w:numPr>
      </w:pPr>
      <w:r>
        <w:t xml:space="preserve">de la disponibilité de l’eau;</w:t>
      </w:r>
    </w:p>
    <w:p>
      <w:pPr>
        <w:pStyle w:val="Compact"/>
        <w:numPr>
          <w:ilvl w:val="0"/>
          <w:numId w:val="1022"/>
        </w:numPr>
      </w:pPr>
      <w:r>
        <w:t xml:space="preserve">de la demande;</w:t>
      </w:r>
    </w:p>
    <w:p>
      <w:pPr>
        <w:pStyle w:val="Compact"/>
        <w:numPr>
          <w:ilvl w:val="0"/>
          <w:numId w:val="1022"/>
        </w:numPr>
      </w:pPr>
      <w:r>
        <w:t xml:space="preserve">des prix du marché;</w:t>
      </w:r>
    </w:p>
    <w:p>
      <w:pPr>
        <w:pStyle w:val="Compact"/>
        <w:numPr>
          <w:ilvl w:val="0"/>
          <w:numId w:val="1022"/>
        </w:numPr>
      </w:pPr>
      <w:r>
        <w:t xml:space="preserve">du calendrier de production.</w:t>
      </w:r>
    </w:p>
    <w:p>
      <w:pPr>
        <w:pStyle w:val="FirstParagraph"/>
      </w:pPr>
      <w:r>
        <w:t xml:space="preserve">Elle présente un potentiel de vente important, mais sa superficie devra être déterminée après validation des besoins en eau, des coûts et des débouchés.</w:t>
      </w:r>
    </w:p>
    <w:p>
      <w:r>
        <w:pict>
          <v:rect style="width:0;height:1.5pt" o:hralign="center" o:hrstd="t" o:hr="t"/>
        </w:pict>
      </w:r>
    </w:p>
    <w:bookmarkEnd w:id="33"/>
    <w:bookmarkStart w:id="34" w:name="le-maïs-et-le-niébé"/>
    <w:p>
      <w:pPr>
        <w:pStyle w:val="Heading2"/>
      </w:pPr>
      <w:r>
        <w:t xml:space="preserve">6.6 Le maïs et le niébé</w:t>
      </w:r>
    </w:p>
    <w:p>
      <w:pPr>
        <w:pStyle w:val="FirstParagraph"/>
      </w:pPr>
      <w:r>
        <w:t xml:space="preserve">Le maïs et le niébé peuvent être utilisés :</w:t>
      </w:r>
    </w:p>
    <w:p>
      <w:pPr>
        <w:pStyle w:val="Compact"/>
        <w:numPr>
          <w:ilvl w:val="0"/>
          <w:numId w:val="1023"/>
        </w:numPr>
      </w:pPr>
      <w:r>
        <w:t xml:space="preserve">dans les rotations culturales;</w:t>
      </w:r>
    </w:p>
    <w:p>
      <w:pPr>
        <w:pStyle w:val="Compact"/>
        <w:numPr>
          <w:ilvl w:val="0"/>
          <w:numId w:val="1023"/>
        </w:numPr>
      </w:pPr>
      <w:r>
        <w:t xml:space="preserve">pour diversifier la production;</w:t>
      </w:r>
    </w:p>
    <w:p>
      <w:pPr>
        <w:pStyle w:val="Compact"/>
        <w:numPr>
          <w:ilvl w:val="0"/>
          <w:numId w:val="1023"/>
        </w:numPr>
      </w:pPr>
      <w:r>
        <w:t xml:space="preserve">pour améliorer l’utilisation des parcelles;</w:t>
      </w:r>
    </w:p>
    <w:p>
      <w:pPr>
        <w:pStyle w:val="Compact"/>
        <w:numPr>
          <w:ilvl w:val="0"/>
          <w:numId w:val="1023"/>
        </w:numPr>
      </w:pPr>
      <w:r>
        <w:t xml:space="preserve">pour produire des denrées alimentaires locales;</w:t>
      </w:r>
    </w:p>
    <w:p>
      <w:pPr>
        <w:pStyle w:val="Compact"/>
        <w:numPr>
          <w:ilvl w:val="0"/>
          <w:numId w:val="1023"/>
        </w:numPr>
      </w:pPr>
      <w:r>
        <w:t xml:space="preserve">pour réduire certains risques agricoles.</w:t>
      </w:r>
    </w:p>
    <w:p>
      <w:pPr>
        <w:pStyle w:val="FirstParagraph"/>
      </w:pPr>
      <w:r>
        <w:t xml:space="preserve">Le niébé présente également un intérêt agronomique dans les rotations grâce à son appartenance à la famille des légumineuses.</w:t>
      </w:r>
    </w:p>
    <w:p>
      <w:pPr>
        <w:pStyle w:val="BodyText"/>
      </w:pPr>
      <w:r>
        <w:t xml:space="preserve">Ces cultures ne constituent pas nécessairement le premier moteur commercial de NigerVerdé, mais elles peuvent compléter le système de production.</w:t>
      </w:r>
    </w:p>
    <w:p>
      <w:r>
        <w:pict>
          <v:rect style="width:0;height:1.5pt" o:hralign="center" o:hrstd="t" o:hr="t"/>
        </w:pict>
      </w:r>
    </w:p>
    <w:bookmarkEnd w:id="34"/>
    <w:bookmarkEnd w:id="35"/>
    <w:bookmarkStart w:id="38" w:name="aménagement-du-plein-champ"/>
    <w:p>
      <w:pPr>
        <w:pStyle w:val="Heading1"/>
      </w:pPr>
      <w:r>
        <w:t xml:space="preserve">7. Aménagement du plein champ</w:t>
      </w:r>
    </w:p>
    <w:p>
      <w:pPr>
        <w:pStyle w:val="FirstParagraph"/>
      </w:pPr>
      <w:r>
        <w:t xml:space="preserve">Les cultures extérieures seront organisées avec une approche de production intensive et économe en eau.</w:t>
      </w:r>
    </w:p>
    <w:p>
      <w:pPr>
        <w:pStyle w:val="BodyText"/>
      </w:pPr>
      <w:r>
        <w:t xml:space="preserve">Les principaux équipements et méthodes comprennent :</w:t>
      </w:r>
    </w:p>
    <w:p>
      <w:pPr>
        <w:pStyle w:val="Compact"/>
        <w:numPr>
          <w:ilvl w:val="0"/>
          <w:numId w:val="1024"/>
        </w:numPr>
      </w:pPr>
      <w:r>
        <w:t xml:space="preserve">un système d’irrigation goutte-à-goutte;</w:t>
      </w:r>
    </w:p>
    <w:p>
      <w:pPr>
        <w:pStyle w:val="Compact"/>
        <w:numPr>
          <w:ilvl w:val="0"/>
          <w:numId w:val="1024"/>
        </w:numPr>
      </w:pPr>
      <w:r>
        <w:t xml:space="preserve">un forage;</w:t>
      </w:r>
    </w:p>
    <w:p>
      <w:pPr>
        <w:pStyle w:val="Compact"/>
        <w:numPr>
          <w:ilvl w:val="0"/>
          <w:numId w:val="1024"/>
        </w:numPr>
      </w:pPr>
      <w:r>
        <w:t xml:space="preserve">un réservoir ou château d’eau;</w:t>
      </w:r>
    </w:p>
    <w:p>
      <w:pPr>
        <w:pStyle w:val="Compact"/>
        <w:numPr>
          <w:ilvl w:val="0"/>
          <w:numId w:val="1024"/>
        </w:numPr>
      </w:pPr>
      <w:r>
        <w:t xml:space="preserve">des pompes alimentées par énergie solaire;</w:t>
      </w:r>
    </w:p>
    <w:p>
      <w:pPr>
        <w:pStyle w:val="Compact"/>
        <w:numPr>
          <w:ilvl w:val="0"/>
          <w:numId w:val="1024"/>
        </w:numPr>
      </w:pPr>
      <w:r>
        <w:t xml:space="preserve">un film de paillage;</w:t>
      </w:r>
    </w:p>
    <w:p>
      <w:pPr>
        <w:pStyle w:val="Compact"/>
        <w:numPr>
          <w:ilvl w:val="0"/>
          <w:numId w:val="1024"/>
        </w:numPr>
      </w:pPr>
      <w:r>
        <w:t xml:space="preserve">des lignes d’irrigation;</w:t>
      </w:r>
    </w:p>
    <w:p>
      <w:pPr>
        <w:pStyle w:val="Compact"/>
        <w:numPr>
          <w:ilvl w:val="0"/>
          <w:numId w:val="1024"/>
        </w:numPr>
      </w:pPr>
      <w:r>
        <w:t xml:space="preserve">des filtres;</w:t>
      </w:r>
    </w:p>
    <w:p>
      <w:pPr>
        <w:pStyle w:val="Compact"/>
        <w:numPr>
          <w:ilvl w:val="0"/>
          <w:numId w:val="1024"/>
        </w:numPr>
      </w:pPr>
      <w:r>
        <w:t xml:space="preserve">une fertigation;</w:t>
      </w:r>
    </w:p>
    <w:p>
      <w:pPr>
        <w:pStyle w:val="Compact"/>
        <w:numPr>
          <w:ilvl w:val="0"/>
          <w:numId w:val="1024"/>
        </w:numPr>
      </w:pPr>
      <w:r>
        <w:t xml:space="preserve">des motoculteurs;</w:t>
      </w:r>
    </w:p>
    <w:p>
      <w:pPr>
        <w:pStyle w:val="Compact"/>
        <w:numPr>
          <w:ilvl w:val="0"/>
          <w:numId w:val="1024"/>
        </w:numPr>
      </w:pPr>
      <w:r>
        <w:t xml:space="preserve">des outils de préparation du sol;</w:t>
      </w:r>
    </w:p>
    <w:p>
      <w:pPr>
        <w:pStyle w:val="Compact"/>
        <w:numPr>
          <w:ilvl w:val="0"/>
          <w:numId w:val="1024"/>
        </w:numPr>
      </w:pPr>
      <w:r>
        <w:t xml:space="preserve">une clôture;</w:t>
      </w:r>
    </w:p>
    <w:p>
      <w:pPr>
        <w:pStyle w:val="Compact"/>
        <w:numPr>
          <w:ilvl w:val="0"/>
          <w:numId w:val="1024"/>
        </w:numPr>
      </w:pPr>
      <w:r>
        <w:t xml:space="preserve">un système de surveillance;</w:t>
      </w:r>
    </w:p>
    <w:p>
      <w:pPr>
        <w:pStyle w:val="Compact"/>
        <w:numPr>
          <w:ilvl w:val="0"/>
          <w:numId w:val="1024"/>
        </w:numPr>
      </w:pPr>
      <w:r>
        <w:t xml:space="preserve">des drones agricoles.</w:t>
      </w:r>
    </w:p>
    <w:bookmarkStart w:id="36" w:name="utilisation-du-paillage"/>
    <w:p>
      <w:pPr>
        <w:pStyle w:val="Heading2"/>
      </w:pPr>
      <w:r>
        <w:t xml:space="preserve">Utilisation du paillage</w:t>
      </w:r>
    </w:p>
    <w:p>
      <w:pPr>
        <w:pStyle w:val="FirstParagraph"/>
      </w:pPr>
      <w:r>
        <w:t xml:space="preserve">Le film de paillage permettra notamment de :</w:t>
      </w:r>
    </w:p>
    <w:p>
      <w:pPr>
        <w:pStyle w:val="Compact"/>
        <w:numPr>
          <w:ilvl w:val="0"/>
          <w:numId w:val="1025"/>
        </w:numPr>
      </w:pPr>
      <w:r>
        <w:t xml:space="preserve">réduire l’évaporation;</w:t>
      </w:r>
    </w:p>
    <w:p>
      <w:pPr>
        <w:pStyle w:val="Compact"/>
        <w:numPr>
          <w:ilvl w:val="0"/>
          <w:numId w:val="1025"/>
        </w:numPr>
      </w:pPr>
      <w:r>
        <w:t xml:space="preserve">limiter les mauvaises herbes;</w:t>
      </w:r>
    </w:p>
    <w:p>
      <w:pPr>
        <w:pStyle w:val="Compact"/>
        <w:numPr>
          <w:ilvl w:val="0"/>
          <w:numId w:val="1025"/>
        </w:numPr>
      </w:pPr>
      <w:r>
        <w:t xml:space="preserve">protéger l’humidité du sol;</w:t>
      </w:r>
    </w:p>
    <w:p>
      <w:pPr>
        <w:pStyle w:val="Compact"/>
        <w:numPr>
          <w:ilvl w:val="0"/>
          <w:numId w:val="1025"/>
        </w:numPr>
      </w:pPr>
      <w:r>
        <w:t xml:space="preserve">réduire le contact des fruits avec le sol;</w:t>
      </w:r>
    </w:p>
    <w:p>
      <w:pPr>
        <w:pStyle w:val="Compact"/>
        <w:numPr>
          <w:ilvl w:val="0"/>
          <w:numId w:val="1025"/>
        </w:numPr>
      </w:pPr>
      <w:r>
        <w:t xml:space="preserve">améliorer la propreté des cultures;</w:t>
      </w:r>
    </w:p>
    <w:p>
      <w:pPr>
        <w:pStyle w:val="Compact"/>
        <w:numPr>
          <w:ilvl w:val="0"/>
          <w:numId w:val="1025"/>
        </w:numPr>
      </w:pPr>
      <w:r>
        <w:t xml:space="preserve">réduire certains travaux de désherbage.</w:t>
      </w:r>
    </w:p>
    <w:bookmarkEnd w:id="36"/>
    <w:bookmarkStart w:id="37" w:name="utilisation-du-cocopeat-en-plein-champ"/>
    <w:p>
      <w:pPr>
        <w:pStyle w:val="Heading2"/>
      </w:pPr>
      <w:r>
        <w:t xml:space="preserve">Utilisation du cocopeat en plein champ</w:t>
      </w:r>
    </w:p>
    <w:p>
      <w:pPr>
        <w:pStyle w:val="FirstParagraph"/>
      </w:pPr>
      <w:r>
        <w:t xml:space="preserve">Dans certaines zones présentant un sol très sablonneux, le cocopeat pourra être incorporé localement afin d’améliorer :</w:t>
      </w:r>
    </w:p>
    <w:p>
      <w:pPr>
        <w:pStyle w:val="Compact"/>
        <w:numPr>
          <w:ilvl w:val="0"/>
          <w:numId w:val="1026"/>
        </w:numPr>
      </w:pPr>
      <w:r>
        <w:t xml:space="preserve">la rétention de l’eau;</w:t>
      </w:r>
    </w:p>
    <w:p>
      <w:pPr>
        <w:pStyle w:val="Compact"/>
        <w:numPr>
          <w:ilvl w:val="0"/>
          <w:numId w:val="1026"/>
        </w:numPr>
      </w:pPr>
      <w:r>
        <w:t xml:space="preserve">la structure du sol;</w:t>
      </w:r>
    </w:p>
    <w:p>
      <w:pPr>
        <w:pStyle w:val="Compact"/>
        <w:numPr>
          <w:ilvl w:val="0"/>
          <w:numId w:val="1026"/>
        </w:numPr>
      </w:pPr>
      <w:r>
        <w:t xml:space="preserve">l’environnement racinaire;</w:t>
      </w:r>
    </w:p>
    <w:p>
      <w:pPr>
        <w:pStyle w:val="Compact"/>
        <w:numPr>
          <w:ilvl w:val="0"/>
          <w:numId w:val="1026"/>
        </w:numPr>
      </w:pPr>
      <w:r>
        <w:t xml:space="preserve">l’efficacité de l’irrigation.</w:t>
      </w:r>
    </w:p>
    <w:p>
      <w:pPr>
        <w:pStyle w:val="FirstParagraph"/>
      </w:pPr>
      <w:r>
        <w:t xml:space="preserve">Son utilisation devra être ciblée afin de maintenir un coût raisonnable.</w:t>
      </w:r>
    </w:p>
    <w:p>
      <w:r>
        <w:pict>
          <v:rect style="width:0;height:1.5pt" o:hralign="center" o:hrstd="t" o:hr="t"/>
        </w:pict>
      </w:r>
    </w:p>
    <w:bookmarkEnd w:id="37"/>
    <w:bookmarkEnd w:id="38"/>
    <w:bookmarkStart w:id="42" w:name="agriculture-de-précision-avec-drones"/>
    <w:p>
      <w:pPr>
        <w:pStyle w:val="Heading1"/>
      </w:pPr>
      <w:r>
        <w:t xml:space="preserve">8. Agriculture de précision avec drones</w:t>
      </w:r>
    </w:p>
    <w:p>
      <w:pPr>
        <w:pStyle w:val="FirstParagraph"/>
      </w:pPr>
      <w:r>
        <w:t xml:space="preserve">Les drones seront utilisés pour les cultures de plein champ et pour la gestion générale du domaine.</w:t>
      </w:r>
    </w:p>
    <w:p>
      <w:pPr>
        <w:pStyle w:val="BodyText"/>
      </w:pPr>
      <w:r>
        <w:t xml:space="preserve">Leur utilisation comprendra plusieurs fonctions.</w:t>
      </w:r>
    </w:p>
    <w:bookmarkStart w:id="39" w:name="cartographie-du-terrain"/>
    <w:p>
      <w:pPr>
        <w:pStyle w:val="Heading2"/>
      </w:pPr>
      <w:r>
        <w:t xml:space="preserve">Cartographie du terrain</w:t>
      </w:r>
    </w:p>
    <w:p>
      <w:pPr>
        <w:pStyle w:val="FirstParagraph"/>
      </w:pPr>
      <w:r>
        <w:t xml:space="preserve">Les drones permettront de réaliser :</w:t>
      </w:r>
    </w:p>
    <w:p>
      <w:pPr>
        <w:pStyle w:val="Compact"/>
        <w:numPr>
          <w:ilvl w:val="0"/>
          <w:numId w:val="1027"/>
        </w:numPr>
      </w:pPr>
      <w:r>
        <w:t xml:space="preserve">des orthophotos;</w:t>
      </w:r>
    </w:p>
    <w:p>
      <w:pPr>
        <w:pStyle w:val="Compact"/>
        <w:numPr>
          <w:ilvl w:val="0"/>
          <w:numId w:val="1027"/>
        </w:numPr>
      </w:pPr>
      <w:r>
        <w:t xml:space="preserve">des plans du domaine;</w:t>
      </w:r>
    </w:p>
    <w:p>
      <w:pPr>
        <w:pStyle w:val="Compact"/>
        <w:numPr>
          <w:ilvl w:val="0"/>
          <w:numId w:val="1027"/>
        </w:numPr>
      </w:pPr>
      <w:r>
        <w:t xml:space="preserve">des mesures de superficie;</w:t>
      </w:r>
    </w:p>
    <w:p>
      <w:pPr>
        <w:pStyle w:val="Compact"/>
        <w:numPr>
          <w:ilvl w:val="0"/>
          <w:numId w:val="1027"/>
        </w:numPr>
      </w:pPr>
      <w:r>
        <w:t xml:space="preserve">des cartes d’élévation;</w:t>
      </w:r>
    </w:p>
    <w:p>
      <w:pPr>
        <w:pStyle w:val="Compact"/>
        <w:numPr>
          <w:ilvl w:val="0"/>
          <w:numId w:val="1027"/>
        </w:numPr>
      </w:pPr>
      <w:r>
        <w:t xml:space="preserve">des modèles numériques du terrain;</w:t>
      </w:r>
    </w:p>
    <w:p>
      <w:pPr>
        <w:pStyle w:val="Compact"/>
        <w:numPr>
          <w:ilvl w:val="0"/>
          <w:numId w:val="1027"/>
        </w:numPr>
      </w:pPr>
      <w:r>
        <w:t xml:space="preserve">des plans des réseaux d’irrigation;</w:t>
      </w:r>
    </w:p>
    <w:p>
      <w:pPr>
        <w:pStyle w:val="Compact"/>
        <w:numPr>
          <w:ilvl w:val="0"/>
          <w:numId w:val="1027"/>
        </w:numPr>
      </w:pPr>
      <w:r>
        <w:t xml:space="preserve">des cartes de drainage;</w:t>
      </w:r>
    </w:p>
    <w:p>
      <w:pPr>
        <w:pStyle w:val="Compact"/>
        <w:numPr>
          <w:ilvl w:val="0"/>
          <w:numId w:val="1027"/>
        </w:numPr>
      </w:pPr>
      <w:r>
        <w:t xml:space="preserve">le suivi des travaux.</w:t>
      </w:r>
    </w:p>
    <w:bookmarkEnd w:id="39"/>
    <w:bookmarkStart w:id="40" w:name="surveillance-des-cultures"/>
    <w:p>
      <w:pPr>
        <w:pStyle w:val="Heading2"/>
      </w:pPr>
      <w:r>
        <w:t xml:space="preserve">Surveillance des cultures</w:t>
      </w:r>
    </w:p>
    <w:p>
      <w:pPr>
        <w:pStyle w:val="FirstParagraph"/>
      </w:pPr>
      <w:r>
        <w:t xml:space="preserve">Les drones permettront de surveiller :</w:t>
      </w:r>
    </w:p>
    <w:p>
      <w:pPr>
        <w:pStyle w:val="Compact"/>
        <w:numPr>
          <w:ilvl w:val="0"/>
          <w:numId w:val="1028"/>
        </w:numPr>
      </w:pPr>
      <w:r>
        <w:t xml:space="preserve">le développement des plantes;</w:t>
      </w:r>
    </w:p>
    <w:p>
      <w:pPr>
        <w:pStyle w:val="Compact"/>
        <w:numPr>
          <w:ilvl w:val="0"/>
          <w:numId w:val="1028"/>
        </w:numPr>
      </w:pPr>
      <w:r>
        <w:t xml:space="preserve">les zones présentant un retard de croissance;</w:t>
      </w:r>
    </w:p>
    <w:p>
      <w:pPr>
        <w:pStyle w:val="Compact"/>
        <w:numPr>
          <w:ilvl w:val="0"/>
          <w:numId w:val="1028"/>
        </w:numPr>
      </w:pPr>
      <w:r>
        <w:t xml:space="preserve">les problèmes d’irrigation;</w:t>
      </w:r>
    </w:p>
    <w:p>
      <w:pPr>
        <w:pStyle w:val="Compact"/>
        <w:numPr>
          <w:ilvl w:val="0"/>
          <w:numId w:val="1028"/>
        </w:numPr>
      </w:pPr>
      <w:r>
        <w:t xml:space="preserve">les zones sèches;</w:t>
      </w:r>
    </w:p>
    <w:p>
      <w:pPr>
        <w:pStyle w:val="Compact"/>
        <w:numPr>
          <w:ilvl w:val="0"/>
          <w:numId w:val="1028"/>
        </w:numPr>
      </w:pPr>
      <w:r>
        <w:t xml:space="preserve">les dégâts causés par les ravageurs;</w:t>
      </w:r>
    </w:p>
    <w:p>
      <w:pPr>
        <w:pStyle w:val="Compact"/>
        <w:numPr>
          <w:ilvl w:val="0"/>
          <w:numId w:val="1028"/>
        </w:numPr>
      </w:pPr>
      <w:r>
        <w:t xml:space="preserve">les maladies visibles;</w:t>
      </w:r>
    </w:p>
    <w:p>
      <w:pPr>
        <w:pStyle w:val="Compact"/>
        <w:numPr>
          <w:ilvl w:val="0"/>
          <w:numId w:val="1028"/>
        </w:numPr>
      </w:pPr>
      <w:r>
        <w:t xml:space="preserve">l’état général des parcelles.</w:t>
      </w:r>
    </w:p>
    <w:p>
      <w:pPr>
        <w:pStyle w:val="FirstParagraph"/>
      </w:pPr>
      <w:r>
        <w:t xml:space="preserve">Avec un drone multispectral, NigerVerdé pourra également produire des indices de végétation, comme le NDVI, afin d’identifier des différences de vigueur entre les zones.</w:t>
      </w:r>
    </w:p>
    <w:p>
      <w:pPr>
        <w:pStyle w:val="BodyText"/>
      </w:pPr>
      <w:r>
        <w:t xml:space="preserve">Les observations réalisées par drone devront être confirmées par des inspections directes sur le terrain.</w:t>
      </w:r>
    </w:p>
    <w:bookmarkEnd w:id="40"/>
    <w:bookmarkStart w:id="41" w:name="pulvérisation-agricole"/>
    <w:p>
      <w:pPr>
        <w:pStyle w:val="Heading2"/>
      </w:pPr>
      <w:r>
        <w:t xml:space="preserve">Pulvérisation agricole</w:t>
      </w:r>
    </w:p>
    <w:p>
      <w:pPr>
        <w:pStyle w:val="FirstParagraph"/>
      </w:pPr>
      <w:r>
        <w:t xml:space="preserve">Le drone de pulvérisation pourra être utilisé pour appliquer :</w:t>
      </w:r>
    </w:p>
    <w:p>
      <w:pPr>
        <w:pStyle w:val="Compact"/>
        <w:numPr>
          <w:ilvl w:val="0"/>
          <w:numId w:val="1029"/>
        </w:numPr>
      </w:pPr>
      <w:r>
        <w:t xml:space="preserve">des traitements à base de neem;</w:t>
      </w:r>
    </w:p>
    <w:p>
      <w:pPr>
        <w:pStyle w:val="Compact"/>
        <w:numPr>
          <w:ilvl w:val="0"/>
          <w:numId w:val="1029"/>
        </w:numPr>
      </w:pPr>
      <w:r>
        <w:t xml:space="preserve">des produits de biocontrôle;</w:t>
      </w:r>
    </w:p>
    <w:p>
      <w:pPr>
        <w:pStyle w:val="Compact"/>
        <w:numPr>
          <w:ilvl w:val="0"/>
          <w:numId w:val="1029"/>
        </w:numPr>
      </w:pPr>
      <w:r>
        <w:t xml:space="preserve">des engrais foliaires;</w:t>
      </w:r>
    </w:p>
    <w:p>
      <w:pPr>
        <w:pStyle w:val="Compact"/>
        <w:numPr>
          <w:ilvl w:val="0"/>
          <w:numId w:val="1029"/>
        </w:numPr>
      </w:pPr>
      <w:r>
        <w:t xml:space="preserve">des produits phytosanitaires autorisés;</w:t>
      </w:r>
    </w:p>
    <w:p>
      <w:pPr>
        <w:pStyle w:val="Compact"/>
        <w:numPr>
          <w:ilvl w:val="0"/>
          <w:numId w:val="1029"/>
        </w:numPr>
      </w:pPr>
      <w:r>
        <w:t xml:space="preserve">des traitements ciblés.</w:t>
      </w:r>
    </w:p>
    <w:p>
      <w:pPr>
        <w:pStyle w:val="FirstParagraph"/>
      </w:pPr>
      <w:r>
        <w:t xml:space="preserve">Le drone permet potentiellement :</w:t>
      </w:r>
    </w:p>
    <w:p>
      <w:pPr>
        <w:pStyle w:val="Compact"/>
        <w:numPr>
          <w:ilvl w:val="0"/>
          <w:numId w:val="1030"/>
        </w:numPr>
      </w:pPr>
      <w:r>
        <w:t xml:space="preserve">de traiter rapidement une parcelle;</w:t>
      </w:r>
    </w:p>
    <w:p>
      <w:pPr>
        <w:pStyle w:val="Compact"/>
        <w:numPr>
          <w:ilvl w:val="0"/>
          <w:numId w:val="1030"/>
        </w:numPr>
      </w:pPr>
      <w:r>
        <w:t xml:space="preserve">de réduire le piétinement;</w:t>
      </w:r>
    </w:p>
    <w:p>
      <w:pPr>
        <w:pStyle w:val="Compact"/>
        <w:numPr>
          <w:ilvl w:val="0"/>
          <w:numId w:val="1030"/>
        </w:numPr>
      </w:pPr>
      <w:r>
        <w:t xml:space="preserve">de cibler certaines zones;</w:t>
      </w:r>
    </w:p>
    <w:p>
      <w:pPr>
        <w:pStyle w:val="Compact"/>
        <w:numPr>
          <w:ilvl w:val="0"/>
          <w:numId w:val="1030"/>
        </w:numPr>
      </w:pPr>
      <w:r>
        <w:t xml:space="preserve">de limiter l’exposition directe des opérateurs;</w:t>
      </w:r>
    </w:p>
    <w:p>
      <w:pPr>
        <w:pStyle w:val="Compact"/>
        <w:numPr>
          <w:ilvl w:val="0"/>
          <w:numId w:val="1030"/>
        </w:numPr>
      </w:pPr>
      <w:r>
        <w:t xml:space="preserve">de documenter les interventions.</w:t>
      </w:r>
    </w:p>
    <w:p>
      <w:pPr>
        <w:pStyle w:val="FirstParagraph"/>
      </w:pPr>
      <w:r>
        <w:t xml:space="preserve">Toute application devra respecter les règles de sécurité, les doses recommandées et la réglementation applicable.</w:t>
      </w:r>
    </w:p>
    <w:p>
      <w:r>
        <w:pict>
          <v:rect style="width:0;height:1.5pt" o:hralign="center" o:hrstd="t" o:hr="t"/>
        </w:pict>
      </w:r>
    </w:p>
    <w:bookmarkEnd w:id="41"/>
    <w:bookmarkEnd w:id="42"/>
    <w:bookmarkStart w:id="45" w:name="Xe9abd449bfeeaa23d64805191ee76e12cd5f2ac"/>
    <w:p>
      <w:pPr>
        <w:pStyle w:val="Heading1"/>
      </w:pPr>
      <w:r>
        <w:t xml:space="preserve">9. Gestion de la fertilité et des nutriments</w:t>
      </w:r>
    </w:p>
    <w:bookmarkStart w:id="43" w:name="sous-serre"/>
    <w:p>
      <w:pPr>
        <w:pStyle w:val="Heading2"/>
      </w:pPr>
      <w:r>
        <w:t xml:space="preserve">Sous serre</w:t>
      </w:r>
    </w:p>
    <w:p>
      <w:pPr>
        <w:pStyle w:val="FirstParagraph"/>
      </w:pPr>
      <w:r>
        <w:t xml:space="preserve">La nutrition hydroponique repose notamment sur :</w:t>
      </w:r>
    </w:p>
    <w:p>
      <w:pPr>
        <w:pStyle w:val="Compact"/>
        <w:numPr>
          <w:ilvl w:val="0"/>
          <w:numId w:val="1031"/>
        </w:numPr>
      </w:pPr>
      <w:r>
        <w:t xml:space="preserve">le nitrate de calcium;</w:t>
      </w:r>
    </w:p>
    <w:p>
      <w:pPr>
        <w:pStyle w:val="Compact"/>
        <w:numPr>
          <w:ilvl w:val="0"/>
          <w:numId w:val="1031"/>
        </w:numPr>
      </w:pPr>
      <w:r>
        <w:t xml:space="preserve">le nitrate de potassium;</w:t>
      </w:r>
    </w:p>
    <w:p>
      <w:pPr>
        <w:pStyle w:val="Compact"/>
        <w:numPr>
          <w:ilvl w:val="0"/>
          <w:numId w:val="1031"/>
        </w:numPr>
      </w:pPr>
      <w:r>
        <w:t xml:space="preserve">le sulfate de magnésium;</w:t>
      </w:r>
    </w:p>
    <w:p>
      <w:pPr>
        <w:pStyle w:val="Compact"/>
        <w:numPr>
          <w:ilvl w:val="0"/>
          <w:numId w:val="1031"/>
        </w:numPr>
      </w:pPr>
      <w:r>
        <w:t xml:space="preserve">le phosphate monopotassique;</w:t>
      </w:r>
    </w:p>
    <w:p>
      <w:pPr>
        <w:pStyle w:val="Compact"/>
        <w:numPr>
          <w:ilvl w:val="0"/>
          <w:numId w:val="1031"/>
        </w:numPr>
      </w:pPr>
      <w:r>
        <w:t xml:space="preserve">les oligo-éléments;</w:t>
      </w:r>
    </w:p>
    <w:p>
      <w:pPr>
        <w:pStyle w:val="Compact"/>
        <w:numPr>
          <w:ilvl w:val="0"/>
          <w:numId w:val="1031"/>
        </w:numPr>
      </w:pPr>
      <w:r>
        <w:t xml:space="preserve">le fer chélaté.</w:t>
      </w:r>
    </w:p>
    <w:p>
      <w:pPr>
        <w:pStyle w:val="FirstParagraph"/>
      </w:pPr>
      <w:r>
        <w:t xml:space="preserve">Le fer chélaté est particulièrement important lorsque l’eau de forage présente un pH élevé.</w:t>
      </w:r>
    </w:p>
    <w:p>
      <w:pPr>
        <w:pStyle w:val="BodyText"/>
      </w:pPr>
      <w:r>
        <w:t xml:space="preserve">La formulation de la solution nutritive devra être basée sur une analyse complète de l’eau.</w:t>
      </w:r>
    </w:p>
    <w:bookmarkEnd w:id="43"/>
    <w:bookmarkStart w:id="44" w:name="en-plein-champ"/>
    <w:p>
      <w:pPr>
        <w:pStyle w:val="Heading2"/>
      </w:pPr>
      <w:r>
        <w:t xml:space="preserve">En plein champ</w:t>
      </w:r>
    </w:p>
    <w:p>
      <w:pPr>
        <w:pStyle w:val="FirstParagraph"/>
      </w:pPr>
      <w:r>
        <w:t xml:space="preserve">La fertilisation pourra combiner :</w:t>
      </w:r>
    </w:p>
    <w:p>
      <w:pPr>
        <w:pStyle w:val="Compact"/>
        <w:numPr>
          <w:ilvl w:val="0"/>
          <w:numId w:val="1032"/>
        </w:numPr>
      </w:pPr>
      <w:r>
        <w:t xml:space="preserve">la matière organique;</w:t>
      </w:r>
    </w:p>
    <w:p>
      <w:pPr>
        <w:pStyle w:val="Compact"/>
        <w:numPr>
          <w:ilvl w:val="0"/>
          <w:numId w:val="1032"/>
        </w:numPr>
      </w:pPr>
      <w:r>
        <w:t xml:space="preserve">le fumier composté;</w:t>
      </w:r>
    </w:p>
    <w:p>
      <w:pPr>
        <w:pStyle w:val="Compact"/>
        <w:numPr>
          <w:ilvl w:val="0"/>
          <w:numId w:val="1032"/>
        </w:numPr>
      </w:pPr>
      <w:r>
        <w:t xml:space="preserve">les engrais solubles;</w:t>
      </w:r>
    </w:p>
    <w:p>
      <w:pPr>
        <w:pStyle w:val="Compact"/>
        <w:numPr>
          <w:ilvl w:val="0"/>
          <w:numId w:val="1032"/>
        </w:numPr>
      </w:pPr>
      <w:r>
        <w:t xml:space="preserve">les fertilisants NPK;</w:t>
      </w:r>
    </w:p>
    <w:p>
      <w:pPr>
        <w:pStyle w:val="Compact"/>
        <w:numPr>
          <w:ilvl w:val="0"/>
          <w:numId w:val="1032"/>
        </w:numPr>
      </w:pPr>
      <w:r>
        <w:t xml:space="preserve">le nitrate de calcium;</w:t>
      </w:r>
    </w:p>
    <w:p>
      <w:pPr>
        <w:pStyle w:val="Compact"/>
        <w:numPr>
          <w:ilvl w:val="0"/>
          <w:numId w:val="1032"/>
        </w:numPr>
      </w:pPr>
      <w:r>
        <w:t xml:space="preserve">les micronutriments;</w:t>
      </w:r>
    </w:p>
    <w:p>
      <w:pPr>
        <w:pStyle w:val="Compact"/>
        <w:numPr>
          <w:ilvl w:val="0"/>
          <w:numId w:val="1032"/>
        </w:numPr>
      </w:pPr>
      <w:r>
        <w:t xml:space="preserve">les engrais foliaires;</w:t>
      </w:r>
    </w:p>
    <w:p>
      <w:pPr>
        <w:pStyle w:val="Compact"/>
        <w:numPr>
          <w:ilvl w:val="0"/>
          <w:numId w:val="1032"/>
        </w:numPr>
      </w:pPr>
      <w:r>
        <w:t xml:space="preserve">la fertigation.</w:t>
      </w:r>
    </w:p>
    <w:p>
      <w:pPr>
        <w:pStyle w:val="FirstParagraph"/>
      </w:pPr>
      <w:r>
        <w:t xml:space="preserve">Les programmes de fertilisation devront être adaptés :</w:t>
      </w:r>
    </w:p>
    <w:p>
      <w:pPr>
        <w:pStyle w:val="Compact"/>
        <w:numPr>
          <w:ilvl w:val="0"/>
          <w:numId w:val="1033"/>
        </w:numPr>
      </w:pPr>
      <w:r>
        <w:t xml:space="preserve">à la culture;</w:t>
      </w:r>
    </w:p>
    <w:p>
      <w:pPr>
        <w:pStyle w:val="Compact"/>
        <w:numPr>
          <w:ilvl w:val="0"/>
          <w:numId w:val="1033"/>
        </w:numPr>
      </w:pPr>
      <w:r>
        <w:t xml:space="preserve">à la qualité du sol;</w:t>
      </w:r>
    </w:p>
    <w:p>
      <w:pPr>
        <w:pStyle w:val="Compact"/>
        <w:numPr>
          <w:ilvl w:val="0"/>
          <w:numId w:val="1033"/>
        </w:numPr>
      </w:pPr>
      <w:r>
        <w:t xml:space="preserve">aux résultats d’analyses;</w:t>
      </w:r>
    </w:p>
    <w:p>
      <w:pPr>
        <w:pStyle w:val="Compact"/>
        <w:numPr>
          <w:ilvl w:val="0"/>
          <w:numId w:val="1033"/>
        </w:numPr>
      </w:pPr>
      <w:r>
        <w:t xml:space="preserve">au stade de croissance;</w:t>
      </w:r>
    </w:p>
    <w:p>
      <w:pPr>
        <w:pStyle w:val="Compact"/>
        <w:numPr>
          <w:ilvl w:val="0"/>
          <w:numId w:val="1033"/>
        </w:numPr>
      </w:pPr>
      <w:r>
        <w:t xml:space="preserve">aux rendements recherchés;</w:t>
      </w:r>
    </w:p>
    <w:p>
      <w:pPr>
        <w:pStyle w:val="Compact"/>
        <w:numPr>
          <w:ilvl w:val="0"/>
          <w:numId w:val="1033"/>
        </w:numPr>
      </w:pPr>
      <w:r>
        <w:t xml:space="preserve">à la qualité de l’eau.</w:t>
      </w:r>
    </w:p>
    <w:p>
      <w:r>
        <w:pict>
          <v:rect style="width:0;height:1.5pt" o:hralign="center" o:hrstd="t" o:hr="t"/>
        </w:pict>
      </w:r>
    </w:p>
    <w:bookmarkEnd w:id="44"/>
    <w:bookmarkEnd w:id="45"/>
    <w:bookmarkStart w:id="48" w:name="Xaef8f807f34da5fedb9e5479231d789f56e1a8b"/>
    <w:p>
      <w:pPr>
        <w:pStyle w:val="Heading1"/>
      </w:pPr>
      <w:r>
        <w:t xml:space="preserve">10. Complémentarité entre les serres et le plein champ</w:t>
      </w:r>
    </w:p>
    <w:p>
      <w:pPr>
        <w:pStyle w:val="FirstParagraph"/>
      </w:pPr>
      <w:r>
        <w:t xml:space="preserve">La force de NigerVerdé repose sur la complémentarité entre ses différents systèmes de production.</w:t>
      </w:r>
    </w:p>
    <w:bookmarkStart w:id="46" w:name="les-serres-permettent"/>
    <w:p>
      <w:pPr>
        <w:pStyle w:val="Heading2"/>
      </w:pPr>
      <w:r>
        <w:t xml:space="preserve">Les serres permettent :</w:t>
      </w:r>
    </w:p>
    <w:p>
      <w:pPr>
        <w:pStyle w:val="Compact"/>
        <w:numPr>
          <w:ilvl w:val="0"/>
          <w:numId w:val="1034"/>
        </w:numPr>
      </w:pPr>
      <w:r>
        <w:t xml:space="preserve">une production mieux contrôlée;</w:t>
      </w:r>
    </w:p>
    <w:p>
      <w:pPr>
        <w:pStyle w:val="Compact"/>
        <w:numPr>
          <w:ilvl w:val="0"/>
          <w:numId w:val="1034"/>
        </w:numPr>
      </w:pPr>
      <w:r>
        <w:t xml:space="preserve">une utilisation efficace de l’eau;</w:t>
      </w:r>
    </w:p>
    <w:p>
      <w:pPr>
        <w:pStyle w:val="Compact"/>
        <w:numPr>
          <w:ilvl w:val="0"/>
          <w:numId w:val="1034"/>
        </w:numPr>
      </w:pPr>
      <w:r>
        <w:t xml:space="preserve">des récoltes régulières;</w:t>
      </w:r>
    </w:p>
    <w:p>
      <w:pPr>
        <w:pStyle w:val="Compact"/>
        <w:numPr>
          <w:ilvl w:val="0"/>
          <w:numId w:val="1034"/>
        </w:numPr>
      </w:pPr>
      <w:r>
        <w:t xml:space="preserve">des produits premium;</w:t>
      </w:r>
    </w:p>
    <w:p>
      <w:pPr>
        <w:pStyle w:val="Compact"/>
        <w:numPr>
          <w:ilvl w:val="0"/>
          <w:numId w:val="1034"/>
        </w:numPr>
      </w:pPr>
      <w:r>
        <w:t xml:space="preserve">une meilleure protection contre le climat;</w:t>
      </w:r>
    </w:p>
    <w:p>
      <w:pPr>
        <w:pStyle w:val="Compact"/>
        <w:numPr>
          <w:ilvl w:val="0"/>
          <w:numId w:val="1034"/>
        </w:numPr>
      </w:pPr>
      <w:r>
        <w:t xml:space="preserve">une production sur une petite surface.</w:t>
      </w:r>
    </w:p>
    <w:bookmarkEnd w:id="46"/>
    <w:bookmarkStart w:id="47" w:name="le-plein-champ-permet"/>
    <w:p>
      <w:pPr>
        <w:pStyle w:val="Heading2"/>
      </w:pPr>
      <w:r>
        <w:t xml:space="preserve">Le plein champ permet :</w:t>
      </w:r>
    </w:p>
    <w:p>
      <w:pPr>
        <w:pStyle w:val="Compact"/>
        <w:numPr>
          <w:ilvl w:val="0"/>
          <w:numId w:val="1035"/>
        </w:numPr>
      </w:pPr>
      <w:r>
        <w:t xml:space="preserve">de produire de plus grands volumes;</w:t>
      </w:r>
    </w:p>
    <w:p>
      <w:pPr>
        <w:pStyle w:val="Compact"/>
        <w:numPr>
          <w:ilvl w:val="0"/>
          <w:numId w:val="1035"/>
        </w:numPr>
      </w:pPr>
      <w:r>
        <w:t xml:space="preserve">de cultiver le moringa;</w:t>
      </w:r>
    </w:p>
    <w:p>
      <w:pPr>
        <w:pStyle w:val="Compact"/>
        <w:numPr>
          <w:ilvl w:val="0"/>
          <w:numId w:val="1035"/>
        </w:numPr>
      </w:pPr>
      <w:r>
        <w:t xml:space="preserve">de développer le piment et le gombo;</w:t>
      </w:r>
    </w:p>
    <w:p>
      <w:pPr>
        <w:pStyle w:val="Compact"/>
        <w:numPr>
          <w:ilvl w:val="0"/>
          <w:numId w:val="1035"/>
        </w:numPr>
      </w:pPr>
      <w:r>
        <w:t xml:space="preserve">de diversifier les revenus;</w:t>
      </w:r>
    </w:p>
    <w:p>
      <w:pPr>
        <w:pStyle w:val="Compact"/>
        <w:numPr>
          <w:ilvl w:val="0"/>
          <w:numId w:val="1035"/>
        </w:numPr>
      </w:pPr>
      <w:r>
        <w:t xml:space="preserve">de produire des matières premières transformables;</w:t>
      </w:r>
    </w:p>
    <w:p>
      <w:pPr>
        <w:pStyle w:val="Compact"/>
        <w:numPr>
          <w:ilvl w:val="0"/>
          <w:numId w:val="1035"/>
        </w:numPr>
      </w:pPr>
      <w:r>
        <w:t xml:space="preserve">d’exploiter progressivement le domaine;</w:t>
      </w:r>
    </w:p>
    <w:p>
      <w:pPr>
        <w:pStyle w:val="Compact"/>
        <w:numPr>
          <w:ilvl w:val="0"/>
          <w:numId w:val="1035"/>
        </w:numPr>
      </w:pPr>
      <w:r>
        <w:t xml:space="preserve">de développer l’agriculture de précision avec drones.</w:t>
      </w:r>
    </w:p>
    <w:p>
      <w:pPr>
        <w:pStyle w:val="FirstParagraph"/>
      </w:pPr>
      <w:r>
        <w:t xml:space="preserve">Cette diversification réduit le risque commercial et agricole.</w:t>
      </w:r>
    </w:p>
    <w:p>
      <w:pPr>
        <w:pStyle w:val="BodyText"/>
      </w:pPr>
      <w:r>
        <w:t xml:space="preserve">Si une culture rencontre un problème technique ou commercial, les autres activités peuvent contribuer à maintenir les revenus de l’exploitation.</w:t>
      </w:r>
    </w:p>
    <w:p>
      <w:r>
        <w:pict>
          <v:rect style="width:0;height:1.5pt" o:hralign="center" o:hrstd="t" o:hr="t"/>
        </w:pict>
      </w:r>
    </w:p>
    <w:bookmarkEnd w:id="47"/>
    <w:bookmarkEnd w:id="48"/>
    <w:bookmarkStart w:id="51" w:name="le-marché-ciblé"/>
    <w:p>
      <w:pPr>
        <w:pStyle w:val="Heading1"/>
      </w:pPr>
      <w:r>
        <w:t xml:space="preserve">11. Le marché ciblé</w:t>
      </w:r>
    </w:p>
    <w:p>
      <w:pPr>
        <w:pStyle w:val="FirstParagraph"/>
      </w:pPr>
      <w:r>
        <w:t xml:space="preserve">NigerVerdé vise plusieurs catégories de clients à Niamey.</w:t>
      </w:r>
    </w:p>
    <w:bookmarkStart w:id="49" w:name="produits-des-serres"/>
    <w:p>
      <w:pPr>
        <w:pStyle w:val="Heading2"/>
      </w:pPr>
      <w:r>
        <w:t xml:space="preserve">Produits des serres</w:t>
      </w:r>
    </w:p>
    <w:p>
      <w:pPr>
        <w:pStyle w:val="FirstParagraph"/>
      </w:pPr>
      <w:r>
        <w:t xml:space="preserve">Les légumes hydroponiques et les produits premium seront destinés principalement :</w:t>
      </w:r>
    </w:p>
    <w:p>
      <w:pPr>
        <w:pStyle w:val="Compact"/>
        <w:numPr>
          <w:ilvl w:val="0"/>
          <w:numId w:val="1036"/>
        </w:numPr>
      </w:pPr>
      <w:r>
        <w:t xml:space="preserve">aux hôtels haut de gamme;</w:t>
      </w:r>
    </w:p>
    <w:p>
      <w:pPr>
        <w:pStyle w:val="Compact"/>
        <w:numPr>
          <w:ilvl w:val="0"/>
          <w:numId w:val="1036"/>
        </w:numPr>
      </w:pPr>
      <w:r>
        <w:t xml:space="preserve">aux restaurants;</w:t>
      </w:r>
    </w:p>
    <w:p>
      <w:pPr>
        <w:pStyle w:val="Compact"/>
        <w:numPr>
          <w:ilvl w:val="0"/>
          <w:numId w:val="1036"/>
        </w:numPr>
      </w:pPr>
      <w:r>
        <w:t xml:space="preserve">aux supermarchés;</w:t>
      </w:r>
    </w:p>
    <w:p>
      <w:pPr>
        <w:pStyle w:val="Compact"/>
        <w:numPr>
          <w:ilvl w:val="0"/>
          <w:numId w:val="1036"/>
        </w:numPr>
      </w:pPr>
      <w:r>
        <w:t xml:space="preserve">aux épiceries modernes;</w:t>
      </w:r>
    </w:p>
    <w:p>
      <w:pPr>
        <w:pStyle w:val="Compact"/>
        <w:numPr>
          <w:ilvl w:val="0"/>
          <w:numId w:val="1036"/>
        </w:numPr>
      </w:pPr>
      <w:r>
        <w:t xml:space="preserve">aux pâtisseries;</w:t>
      </w:r>
    </w:p>
    <w:p>
      <w:pPr>
        <w:pStyle w:val="Compact"/>
        <w:numPr>
          <w:ilvl w:val="0"/>
          <w:numId w:val="1036"/>
        </w:numPr>
      </w:pPr>
      <w:r>
        <w:t xml:space="preserve">à la communauté expatriée;</w:t>
      </w:r>
    </w:p>
    <w:p>
      <w:pPr>
        <w:pStyle w:val="Compact"/>
        <w:numPr>
          <w:ilvl w:val="0"/>
          <w:numId w:val="1036"/>
        </w:numPr>
      </w:pPr>
      <w:r>
        <w:t xml:space="preserve">aux ménages;</w:t>
      </w:r>
    </w:p>
    <w:p>
      <w:pPr>
        <w:pStyle w:val="Compact"/>
        <w:numPr>
          <w:ilvl w:val="0"/>
          <w:numId w:val="1036"/>
        </w:numPr>
      </w:pPr>
      <w:r>
        <w:t xml:space="preserve">à la vente directe.</w:t>
      </w:r>
    </w:p>
    <w:p>
      <w:pPr>
        <w:pStyle w:val="FirstParagraph"/>
      </w:pPr>
      <w:r>
        <w:t xml:space="preserve">Parmi les prospects potentiels figurent notamment :</w:t>
      </w:r>
    </w:p>
    <w:p>
      <w:pPr>
        <w:pStyle w:val="Compact"/>
        <w:numPr>
          <w:ilvl w:val="0"/>
          <w:numId w:val="1037"/>
        </w:numPr>
      </w:pPr>
      <w:r>
        <w:t xml:space="preserve">le Bravia Hotel;</w:t>
      </w:r>
    </w:p>
    <w:p>
      <w:pPr>
        <w:pStyle w:val="Compact"/>
        <w:numPr>
          <w:ilvl w:val="0"/>
          <w:numId w:val="1037"/>
        </w:numPr>
      </w:pPr>
      <w:r>
        <w:t xml:space="preserve">le Radisson Blu;</w:t>
      </w:r>
    </w:p>
    <w:p>
      <w:pPr>
        <w:pStyle w:val="Compact"/>
        <w:numPr>
          <w:ilvl w:val="0"/>
          <w:numId w:val="1037"/>
        </w:numPr>
      </w:pPr>
      <w:r>
        <w:t xml:space="preserve">les restaurants de standing;</w:t>
      </w:r>
    </w:p>
    <w:p>
      <w:pPr>
        <w:pStyle w:val="Compact"/>
        <w:numPr>
          <w:ilvl w:val="0"/>
          <w:numId w:val="1037"/>
        </w:numPr>
      </w:pPr>
      <w:r>
        <w:t xml:space="preserve">les commerces situés dans la zone Seyni Kountché.</w:t>
      </w:r>
    </w:p>
    <w:p>
      <w:pPr>
        <w:pStyle w:val="FirstParagraph"/>
      </w:pPr>
      <w:r>
        <w:t xml:space="preserve">Ces établissements constituent des cibles commerciales et ne doivent pas être présentés comme clients confirmés avant la conclusion d’un accord.</w:t>
      </w:r>
    </w:p>
    <w:bookmarkEnd w:id="49"/>
    <w:bookmarkStart w:id="50" w:name="produits-de-plein-champ"/>
    <w:p>
      <w:pPr>
        <w:pStyle w:val="Heading2"/>
      </w:pPr>
      <w:r>
        <w:t xml:space="preserve">Produits de plein champ</w:t>
      </w:r>
    </w:p>
    <w:p>
      <w:pPr>
        <w:pStyle w:val="FirstParagraph"/>
      </w:pPr>
      <w:r>
        <w:t xml:space="preserve">Les produits de plein champ seront destinés :</w:t>
      </w:r>
    </w:p>
    <w:p>
      <w:pPr>
        <w:pStyle w:val="Compact"/>
        <w:numPr>
          <w:ilvl w:val="0"/>
          <w:numId w:val="1038"/>
        </w:numPr>
      </w:pPr>
      <w:r>
        <w:t xml:space="preserve">aux marchés locaux;</w:t>
      </w:r>
    </w:p>
    <w:p>
      <w:pPr>
        <w:pStyle w:val="Compact"/>
        <w:numPr>
          <w:ilvl w:val="0"/>
          <w:numId w:val="1038"/>
        </w:numPr>
      </w:pPr>
      <w:r>
        <w:t xml:space="preserve">aux grossistes;</w:t>
      </w:r>
    </w:p>
    <w:p>
      <w:pPr>
        <w:pStyle w:val="Compact"/>
        <w:numPr>
          <w:ilvl w:val="0"/>
          <w:numId w:val="1038"/>
        </w:numPr>
      </w:pPr>
      <w:r>
        <w:t xml:space="preserve">aux détaillants;</w:t>
      </w:r>
    </w:p>
    <w:p>
      <w:pPr>
        <w:pStyle w:val="Compact"/>
        <w:numPr>
          <w:ilvl w:val="0"/>
          <w:numId w:val="1038"/>
        </w:numPr>
      </w:pPr>
      <w:r>
        <w:t xml:space="preserve">aux restaurants;</w:t>
      </w:r>
    </w:p>
    <w:p>
      <w:pPr>
        <w:pStyle w:val="Compact"/>
        <w:numPr>
          <w:ilvl w:val="0"/>
          <w:numId w:val="1038"/>
        </w:numPr>
      </w:pPr>
      <w:r>
        <w:t xml:space="preserve">aux ménages;</w:t>
      </w:r>
    </w:p>
    <w:p>
      <w:pPr>
        <w:pStyle w:val="Compact"/>
        <w:numPr>
          <w:ilvl w:val="0"/>
          <w:numId w:val="1038"/>
        </w:numPr>
      </w:pPr>
      <w:r>
        <w:t xml:space="preserve">aux transformateurs;</w:t>
      </w:r>
    </w:p>
    <w:p>
      <w:pPr>
        <w:pStyle w:val="Compact"/>
        <w:numPr>
          <w:ilvl w:val="0"/>
          <w:numId w:val="1038"/>
        </w:numPr>
      </w:pPr>
      <w:r>
        <w:t xml:space="preserve">aux points de vente NigerVerdé;</w:t>
      </w:r>
    </w:p>
    <w:p>
      <w:pPr>
        <w:pStyle w:val="Compact"/>
        <w:numPr>
          <w:ilvl w:val="0"/>
          <w:numId w:val="1038"/>
        </w:numPr>
      </w:pPr>
      <w:r>
        <w:t xml:space="preserve">aux clients institutionnels;</w:t>
      </w:r>
    </w:p>
    <w:p>
      <w:pPr>
        <w:pStyle w:val="Compact"/>
        <w:numPr>
          <w:ilvl w:val="0"/>
          <w:numId w:val="1038"/>
        </w:numPr>
      </w:pPr>
      <w:r>
        <w:t xml:space="preserve">aux marchés régionaux à plus long terme.</w:t>
      </w:r>
    </w:p>
    <w:p>
      <w:pPr>
        <w:pStyle w:val="FirstParagraph"/>
      </w:pPr>
      <w:r>
        <w:t xml:space="preserve">Les produits transformés à base de moringa, de piment ou d’hibiscus pourront être commercialisés sous la marque NigerVerdé.</w:t>
      </w:r>
    </w:p>
    <w:p>
      <w:r>
        <w:pict>
          <v:rect style="width:0;height:1.5pt" o:hralign="center" o:hrstd="t" o:hr="t"/>
        </w:pict>
      </w:r>
    </w:p>
    <w:bookmarkEnd w:id="50"/>
    <w:bookmarkEnd w:id="51"/>
    <w:bookmarkStart w:id="52" w:name="proposition-de-valeur"/>
    <w:p>
      <w:pPr>
        <w:pStyle w:val="Heading1"/>
      </w:pPr>
      <w:r>
        <w:t xml:space="preserve">12. Proposition de valeur</w:t>
      </w:r>
    </w:p>
    <w:p>
      <w:pPr>
        <w:pStyle w:val="BlockText"/>
      </w:pPr>
      <w:r>
        <w:rPr>
          <w:b/>
          <w:bCs/>
        </w:rPr>
        <w:t xml:space="preserve">NigerVerdé combine des serres adaptées à la chaleur et des cultures de plein champ irriguées pour produire des légumes frais, du moringa et des cultures à forte valeur grâce à l’énergie solaire, à l’hydroponie et à l’agriculture de précision.</w:t>
      </w:r>
    </w:p>
    <w:p>
      <w:pPr>
        <w:pStyle w:val="FirstParagraph"/>
      </w:pPr>
      <w:r>
        <w:t xml:space="preserve">Le projet propose :</w:t>
      </w:r>
    </w:p>
    <w:p>
      <w:pPr>
        <w:pStyle w:val="Compact"/>
        <w:numPr>
          <w:ilvl w:val="0"/>
          <w:numId w:val="1039"/>
        </w:numPr>
      </w:pPr>
      <w:r>
        <w:t xml:space="preserve">une agriculture adaptée au changement climatique;</w:t>
      </w:r>
    </w:p>
    <w:p>
      <w:pPr>
        <w:pStyle w:val="Compact"/>
        <w:numPr>
          <w:ilvl w:val="0"/>
          <w:numId w:val="1039"/>
        </w:numPr>
      </w:pPr>
      <w:r>
        <w:t xml:space="preserve">une gestion efficace de l’eau;</w:t>
      </w:r>
    </w:p>
    <w:p>
      <w:pPr>
        <w:pStyle w:val="Compact"/>
        <w:numPr>
          <w:ilvl w:val="0"/>
          <w:numId w:val="1039"/>
        </w:numPr>
      </w:pPr>
      <w:r>
        <w:t xml:space="preserve">une production protégée sous serre;</w:t>
      </w:r>
    </w:p>
    <w:p>
      <w:pPr>
        <w:pStyle w:val="Compact"/>
        <w:numPr>
          <w:ilvl w:val="0"/>
          <w:numId w:val="1039"/>
        </w:numPr>
      </w:pPr>
      <w:r>
        <w:t xml:space="preserve">une production diversifiée en plein champ;</w:t>
      </w:r>
    </w:p>
    <w:p>
      <w:pPr>
        <w:pStyle w:val="Compact"/>
        <w:numPr>
          <w:ilvl w:val="0"/>
          <w:numId w:val="1039"/>
        </w:numPr>
      </w:pPr>
      <w:r>
        <w:t xml:space="preserve">des technologies solaires;</w:t>
      </w:r>
    </w:p>
    <w:p>
      <w:pPr>
        <w:pStyle w:val="Compact"/>
        <w:numPr>
          <w:ilvl w:val="0"/>
          <w:numId w:val="1039"/>
        </w:numPr>
      </w:pPr>
      <w:r>
        <w:t xml:space="preserve">une surveillance par drones;</w:t>
      </w:r>
    </w:p>
    <w:p>
      <w:pPr>
        <w:pStyle w:val="Compact"/>
        <w:numPr>
          <w:ilvl w:val="0"/>
          <w:numId w:val="1039"/>
        </w:numPr>
      </w:pPr>
      <w:r>
        <w:t xml:space="preserve">des produits frais et locaux;</w:t>
      </w:r>
    </w:p>
    <w:p>
      <w:pPr>
        <w:pStyle w:val="Compact"/>
        <w:numPr>
          <w:ilvl w:val="0"/>
          <w:numId w:val="1039"/>
        </w:numPr>
      </w:pPr>
      <w:r>
        <w:t xml:space="preserve">des possibilités de transformation;</w:t>
      </w:r>
    </w:p>
    <w:p>
      <w:pPr>
        <w:pStyle w:val="Compact"/>
        <w:numPr>
          <w:ilvl w:val="0"/>
          <w:numId w:val="1039"/>
        </w:numPr>
      </w:pPr>
      <w:r>
        <w:t xml:space="preserve">une meilleure traçabilité;</w:t>
      </w:r>
    </w:p>
    <w:p>
      <w:pPr>
        <w:pStyle w:val="Compact"/>
        <w:numPr>
          <w:ilvl w:val="0"/>
          <w:numId w:val="1039"/>
        </w:numPr>
      </w:pPr>
      <w:r>
        <w:t xml:space="preserve">une réduction de la dépendance à une seule culture.</w:t>
      </w:r>
    </w:p>
    <w:p>
      <w:r>
        <w:pict>
          <v:rect style="width:0;height:1.5pt" o:hralign="center" o:hrstd="t" o:hr="t"/>
        </w:pict>
      </w:r>
    </w:p>
    <w:bookmarkEnd w:id="52"/>
    <w:bookmarkStart w:id="53" w:name="mission"/>
    <w:p>
      <w:pPr>
        <w:pStyle w:val="Heading1"/>
      </w:pPr>
      <w:r>
        <w:t xml:space="preserve">13. Mission</w:t>
      </w:r>
    </w:p>
    <w:p>
      <w:pPr>
        <w:pStyle w:val="BlockText"/>
      </w:pPr>
      <w:r>
        <w:rPr>
          <w:b/>
          <w:bCs/>
        </w:rPr>
        <w:t xml:space="preserve">Développer à Diakindi une exploitation agricole moderne et résiliente combinant serres hydroponiques, culture hors-sol et production de plein champ afin de produire des légumes, du moringa et des cultures à forte valeur avec moins d’eau, une énergie propre et des technologies de précision.</w:t>
      </w:r>
    </w:p>
    <w:p>
      <w:r>
        <w:pict>
          <v:rect style="width:0;height:1.5pt" o:hralign="center" o:hrstd="t" o:hr="t"/>
        </w:pict>
      </w:r>
    </w:p>
    <w:bookmarkEnd w:id="53"/>
    <w:bookmarkStart w:id="54" w:name="vision"/>
    <w:p>
      <w:pPr>
        <w:pStyle w:val="Heading1"/>
      </w:pPr>
      <w:r>
        <w:t xml:space="preserve">14. Vision</w:t>
      </w:r>
    </w:p>
    <w:p>
      <w:pPr>
        <w:pStyle w:val="BlockText"/>
      </w:pPr>
      <w:r>
        <w:rPr>
          <w:b/>
          <w:bCs/>
        </w:rPr>
        <w:t xml:space="preserve">Faire de NigerVerdé une référence de l’agriculture climate-smart au Niger et dans le Sahel, en démontrant qu’une exploitation combinant serres, cultures de plein champ, énergie solaire et drones peut être productive, rentable et durable.</w:t>
      </w:r>
    </w:p>
    <w:p>
      <w:r>
        <w:pict>
          <v:rect style="width:0;height:1.5pt" o:hralign="center" o:hrstd="t" o:hr="t"/>
        </w:pict>
      </w:r>
    </w:p>
    <w:bookmarkEnd w:id="54"/>
    <w:bookmarkStart w:id="55" w:name="présentation-courte"/>
    <w:p>
      <w:pPr>
        <w:pStyle w:val="Heading1"/>
      </w:pPr>
      <w:r>
        <w:t xml:space="preserve">15. Présentation courte</w:t>
      </w:r>
    </w:p>
    <w:p>
      <w:pPr>
        <w:pStyle w:val="BlockText"/>
      </w:pPr>
      <w:r>
        <w:rPr>
          <w:b/>
          <w:bCs/>
        </w:rPr>
        <w:t xml:space="preserve">NigerVerdé est un projet d’agribusiness climate-smart situé à Diakindi, près de Niamey. L’exploitation combine deux serres Sawtooth adaptées à la chaleur, un système hydroponique NFT de 3 600 emplacements, une serre hors-sol sur cocopeat et des cultures irriguées en plein champ. Sous serre, NigerVerdé produit notamment de la laitue, du basilic, de la menthe, des tomates cerises, des concombres, des piments et des fraises saisonnières. En plein champ, le projet développe le moringa ainsi que des cultures comme le piment, le gombo, l’hibiscus et d’autres productions adaptées au marché. L’ensemble est soutenu par l’énergie solaire, l’irrigation goutte-à-goutte et l’agriculture de précision avec drones.</w:t>
      </w:r>
    </w:p>
    <w:p>
      <w:r>
        <w:pict>
          <v:rect style="width:0;height:1.5pt" o:hralign="center" o:hrstd="t" o:hr="t"/>
        </w:pict>
      </w:r>
    </w:p>
    <w:bookmarkEnd w:id="55"/>
    <w:bookmarkStart w:id="56" w:name="pitch-en-une-phrase"/>
    <w:p>
      <w:pPr>
        <w:pStyle w:val="Heading1"/>
      </w:pPr>
      <w:r>
        <w:t xml:space="preserve">16. Pitch en une phrase</w:t>
      </w:r>
    </w:p>
    <w:p>
      <w:pPr>
        <w:pStyle w:val="BlockText"/>
      </w:pPr>
      <w:r>
        <w:rPr>
          <w:b/>
          <w:bCs/>
        </w:rPr>
        <w:t xml:space="preserve">NigerVerdé associe serres intelligentes et cultures de plein champ pour produire davantage avec moins d’eau, grâce au soleil, à l’hydroponie et aux drones.</w:t>
      </w:r>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2026-06-08T06:24:53Z</dcterms:created>
  <dcterms:modified xsi:type="dcterms:W3CDTF">2026-06-08T06:24:53Z</dcterms:modified>
</cp:coreProperties>
</file>

<file path=docProps/custom.xml><?xml version="1.0" encoding="utf-8"?>
<Properties xmlns="http://schemas.openxmlformats.org/officeDocument/2006/custom-properties" xmlns:vt="http://schemas.openxmlformats.org/officeDocument/2006/docPropsVTypes"/>
</file>