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8bf5f477405c3bc2850d195f38985b2aa8bb7af"/>
    <w:p>
      <w:pPr>
        <w:pStyle w:val="Heading1"/>
      </w:pPr>
      <w:r>
        <w:t xml:space="preserve">Stratégie de production du moringa à NigerVerdé</w:t>
      </w:r>
    </w:p>
    <w:bookmarkStart w:id="20" w:name="positionnement-de-la-culture"/>
    <w:p>
      <w:pPr>
        <w:pStyle w:val="Heading2"/>
      </w:pPr>
      <w:r>
        <w:t xml:space="preserve">1. Positionnement de la culture</w:t>
      </w:r>
    </w:p>
    <w:p>
      <w:pPr>
        <w:pStyle w:val="FirstParagraph"/>
      </w:pPr>
      <w:r>
        <w:t xml:space="preserve">À NigerVerdé, le moringa sera principalement conduit comme une</w:t>
      </w:r>
      <w:r>
        <w:t xml:space="preserve"> </w:t>
      </w:r>
      <w:r>
        <w:rPr>
          <w:b/>
          <w:bCs/>
        </w:rPr>
        <w:t xml:space="preserve">culture maraîchère destinée à la production régulière de feuilles</w:t>
      </w:r>
      <w:r>
        <w:t xml:space="preserve">, et non comme un arbre laissé à grandir librement.</w:t>
      </w:r>
    </w:p>
    <w:p>
      <w:pPr>
        <w:pStyle w:val="BodyText"/>
      </w:pPr>
      <w:r>
        <w:t xml:space="preserve">L’objectif principal est d’obtenir :</w:t>
      </w:r>
    </w:p>
    <w:p>
      <w:pPr>
        <w:pStyle w:val="Compact"/>
        <w:numPr>
          <w:ilvl w:val="0"/>
          <w:numId w:val="1001"/>
        </w:numPr>
      </w:pPr>
      <w:r>
        <w:t xml:space="preserve">des feuilles fraîches commercialisables;</w:t>
      </w:r>
    </w:p>
    <w:p>
      <w:pPr>
        <w:pStyle w:val="Compact"/>
        <w:numPr>
          <w:ilvl w:val="0"/>
          <w:numId w:val="1001"/>
        </w:numPr>
      </w:pPr>
      <w:r>
        <w:t xml:space="preserve">des récoltes régulières;</w:t>
      </w:r>
    </w:p>
    <w:p>
      <w:pPr>
        <w:pStyle w:val="Compact"/>
        <w:numPr>
          <w:ilvl w:val="0"/>
          <w:numId w:val="1001"/>
        </w:numPr>
      </w:pPr>
      <w:r>
        <w:t xml:space="preserve">une qualité homogène;</w:t>
      </w:r>
    </w:p>
    <w:p>
      <w:pPr>
        <w:pStyle w:val="Compact"/>
        <w:numPr>
          <w:ilvl w:val="0"/>
          <w:numId w:val="1001"/>
        </w:numPr>
      </w:pPr>
      <w:r>
        <w:t xml:space="preserve">une production étalée sur l’année;</w:t>
      </w:r>
    </w:p>
    <w:p>
      <w:pPr>
        <w:pStyle w:val="Compact"/>
        <w:numPr>
          <w:ilvl w:val="0"/>
          <w:numId w:val="1001"/>
        </w:numPr>
      </w:pPr>
      <w:r>
        <w:t xml:space="preserve">une transformation du surplus en poudre de moringa;</w:t>
      </w:r>
    </w:p>
    <w:p>
      <w:pPr>
        <w:pStyle w:val="Compact"/>
        <w:numPr>
          <w:ilvl w:val="0"/>
          <w:numId w:val="1001"/>
        </w:numPr>
      </w:pPr>
      <w:r>
        <w:t xml:space="preserve">une meilleure utilisation de l’eau, de la main-d’œuvre et des intrants.</w:t>
      </w:r>
    </w:p>
    <w:p>
      <w:pPr>
        <w:pStyle w:val="FirstParagraph"/>
      </w:pPr>
      <w:r>
        <w:t xml:space="preserve">Cette approche permettra à NigerVerdé d’approvisionner régulièrement les ménages, les revendeurs, les restaurants, les magasins spécialisés et les futurs partenaires de transformation.</w:t>
      </w:r>
    </w:p>
    <w:p>
      <w:r>
        <w:pict>
          <v:rect style="width:0;height:1.5pt" o:hralign="center" o:hrstd="t" o:hr="t"/>
        </w:pict>
      </w:r>
    </w:p>
    <w:bookmarkEnd w:id="20"/>
    <w:bookmarkStart w:id="23" w:name="séparation-des-objectifs-de-production"/>
    <w:p>
      <w:pPr>
        <w:pStyle w:val="Heading2"/>
      </w:pPr>
      <w:r>
        <w:t xml:space="preserve">2. Séparation des objectifs de production</w:t>
      </w:r>
    </w:p>
    <w:p>
      <w:pPr>
        <w:pStyle w:val="FirstParagraph"/>
      </w:pPr>
      <w:r>
        <w:t xml:space="preserve">La production de feuilles et la production de graines ne nécessitent pas les mêmes densités, ni les mêmes techniques de taille.</w:t>
      </w:r>
    </w:p>
    <w:bookmarkStart w:id="21" w:name="production-de-feuilles"/>
    <w:p>
      <w:pPr>
        <w:pStyle w:val="Heading3"/>
      </w:pPr>
      <w:r>
        <w:t xml:space="preserve">Production de feuilles</w:t>
      </w:r>
    </w:p>
    <w:p>
      <w:pPr>
        <w:pStyle w:val="FirstParagraph"/>
      </w:pPr>
      <w:r>
        <w:t xml:space="preserve">La production de feuilles nécessite :</w:t>
      </w:r>
    </w:p>
    <w:p>
      <w:pPr>
        <w:pStyle w:val="Compact"/>
        <w:numPr>
          <w:ilvl w:val="0"/>
          <w:numId w:val="1002"/>
        </w:numPr>
      </w:pPr>
      <w:r>
        <w:t xml:space="preserve">une plantation relativement dense;</w:t>
      </w:r>
    </w:p>
    <w:p>
      <w:pPr>
        <w:pStyle w:val="Compact"/>
        <w:numPr>
          <w:ilvl w:val="0"/>
          <w:numId w:val="1002"/>
        </w:numPr>
      </w:pPr>
      <w:r>
        <w:t xml:space="preserve">des plants maintenus bas;</w:t>
      </w:r>
    </w:p>
    <w:p>
      <w:pPr>
        <w:pStyle w:val="Compact"/>
        <w:numPr>
          <w:ilvl w:val="0"/>
          <w:numId w:val="1002"/>
        </w:numPr>
      </w:pPr>
      <w:r>
        <w:t xml:space="preserve">des tailles fréquentes;</w:t>
      </w:r>
    </w:p>
    <w:p>
      <w:pPr>
        <w:pStyle w:val="Compact"/>
        <w:numPr>
          <w:ilvl w:val="0"/>
          <w:numId w:val="1002"/>
        </w:numPr>
      </w:pPr>
      <w:r>
        <w:t xml:space="preserve">une irrigation régulière;</w:t>
      </w:r>
    </w:p>
    <w:p>
      <w:pPr>
        <w:pStyle w:val="Compact"/>
        <w:numPr>
          <w:ilvl w:val="0"/>
          <w:numId w:val="1002"/>
        </w:numPr>
      </w:pPr>
      <w:r>
        <w:t xml:space="preserve">une fertilisation favorisant la repousse;</w:t>
      </w:r>
    </w:p>
    <w:p>
      <w:pPr>
        <w:pStyle w:val="Compact"/>
        <w:numPr>
          <w:ilvl w:val="0"/>
          <w:numId w:val="1002"/>
        </w:numPr>
      </w:pPr>
      <w:r>
        <w:t xml:space="preserve">des récoltes organisées par blocs.</w:t>
      </w:r>
    </w:p>
    <w:bookmarkEnd w:id="21"/>
    <w:bookmarkStart w:id="22" w:name="production-de-graines-et-de-gousses"/>
    <w:p>
      <w:pPr>
        <w:pStyle w:val="Heading3"/>
      </w:pPr>
      <w:r>
        <w:t xml:space="preserve">Production de graines et de gousses</w:t>
      </w:r>
    </w:p>
    <w:p>
      <w:pPr>
        <w:pStyle w:val="FirstParagraph"/>
      </w:pPr>
      <w:r>
        <w:t xml:space="preserve">La production de graines nécessite :</w:t>
      </w:r>
    </w:p>
    <w:p>
      <w:pPr>
        <w:pStyle w:val="Compact"/>
        <w:numPr>
          <w:ilvl w:val="0"/>
          <w:numId w:val="1003"/>
        </w:numPr>
      </w:pPr>
      <w:r>
        <w:t xml:space="preserve">des arbres plus espacés;</w:t>
      </w:r>
    </w:p>
    <w:p>
      <w:pPr>
        <w:pStyle w:val="Compact"/>
        <w:numPr>
          <w:ilvl w:val="0"/>
          <w:numId w:val="1003"/>
        </w:numPr>
      </w:pPr>
      <w:r>
        <w:t xml:space="preserve">un espacement indicatif d’environ 2,5 à 3 mètres;</w:t>
      </w:r>
    </w:p>
    <w:p>
      <w:pPr>
        <w:pStyle w:val="Compact"/>
        <w:numPr>
          <w:ilvl w:val="0"/>
          <w:numId w:val="1003"/>
        </w:numPr>
      </w:pPr>
      <w:r>
        <w:t xml:space="preserve">un développement plus important de la structure de l’arbre;</w:t>
      </w:r>
    </w:p>
    <w:p>
      <w:pPr>
        <w:pStyle w:val="Compact"/>
        <w:numPr>
          <w:ilvl w:val="0"/>
          <w:numId w:val="1003"/>
        </w:numPr>
      </w:pPr>
      <w:r>
        <w:t xml:space="preserve">des tailles moins intensives;</w:t>
      </w:r>
    </w:p>
    <w:p>
      <w:pPr>
        <w:pStyle w:val="Compact"/>
        <w:numPr>
          <w:ilvl w:val="0"/>
          <w:numId w:val="1003"/>
        </w:numPr>
      </w:pPr>
      <w:r>
        <w:t xml:space="preserve">un cycle de production plus long.</w:t>
      </w:r>
    </w:p>
    <w:p>
      <w:pPr>
        <w:pStyle w:val="FirstParagraph"/>
      </w:pPr>
      <w:r>
        <w:t xml:space="preserve">Pour NigerVerdé, la parcelle commerciale principale sera donc réservée à la production de feuilles.</w:t>
      </w:r>
    </w:p>
    <w:p>
      <w:pPr>
        <w:pStyle w:val="BodyText"/>
      </w:pPr>
      <w:r>
        <w:t xml:space="preserve">Quelques arbres-mères seront plantés séparément, à environ</w:t>
      </w:r>
      <w:r>
        <w:t xml:space="preserve"> </w:t>
      </w:r>
      <w:r>
        <w:rPr>
          <w:b/>
          <w:bCs/>
        </w:rPr>
        <w:t xml:space="preserve">3 × 3 mètres</w:t>
      </w:r>
      <w:r>
        <w:t xml:space="preserve">, pour produire :</w:t>
      </w:r>
    </w:p>
    <w:p>
      <w:pPr>
        <w:pStyle w:val="Compact"/>
        <w:numPr>
          <w:ilvl w:val="0"/>
          <w:numId w:val="1004"/>
        </w:numPr>
      </w:pPr>
      <w:r>
        <w:t xml:space="preserve">des graines;</w:t>
      </w:r>
    </w:p>
    <w:p>
      <w:pPr>
        <w:pStyle w:val="Compact"/>
        <w:numPr>
          <w:ilvl w:val="0"/>
          <w:numId w:val="1004"/>
        </w:numPr>
      </w:pPr>
      <w:r>
        <w:t xml:space="preserve">des gousses;</w:t>
      </w:r>
    </w:p>
    <w:p>
      <w:pPr>
        <w:pStyle w:val="Compact"/>
        <w:numPr>
          <w:ilvl w:val="0"/>
          <w:numId w:val="1004"/>
        </w:numPr>
      </w:pPr>
      <w:r>
        <w:t xml:space="preserve">du matériel de reproduction;</w:t>
      </w:r>
    </w:p>
    <w:p>
      <w:pPr>
        <w:pStyle w:val="Compact"/>
        <w:numPr>
          <w:ilvl w:val="0"/>
          <w:numId w:val="1004"/>
        </w:numPr>
      </w:pPr>
      <w:r>
        <w:t xml:space="preserve">des semences pouvant être sélectionnées pour les campagnes futures.</w:t>
      </w:r>
    </w:p>
    <w:p>
      <w:pPr>
        <w:pStyle w:val="FirstParagraph"/>
      </w:pPr>
      <w:r>
        <w:t xml:space="preserve">Cette séparation évitera de compromettre la production foliaire en essayant de produire simultanément des feuilles et des graines sur les mêmes plants.</w:t>
      </w:r>
    </w:p>
    <w:p>
      <w:r>
        <w:pict>
          <v:rect style="width:0;height:1.5pt" o:hralign="center" o:hrstd="t" o:hr="t"/>
        </w:pict>
      </w:r>
    </w:p>
    <w:bookmarkEnd w:id="22"/>
    <w:bookmarkEnd w:id="23"/>
    <w:bookmarkStart w:id="26" w:name="densité-proposée-sur-05-hectare"/>
    <w:p>
      <w:pPr>
        <w:pStyle w:val="Heading2"/>
      </w:pPr>
      <w:r>
        <w:t xml:space="preserve">3. Densité proposée sur 0,5 hectare</w:t>
      </w:r>
    </w:p>
    <w:p>
      <w:pPr>
        <w:pStyle w:val="FirstParagraph"/>
      </w:pPr>
      <w:r>
        <w:t xml:space="preserve">Pour le démarrage, la densité recommandée pour la parcelle principale est :</w:t>
      </w:r>
    </w:p>
    <w:p>
      <w:pPr>
        <w:pStyle w:val="BlockText"/>
      </w:pPr>
      <w:r>
        <w:rPr>
          <w:b/>
          <w:bCs/>
        </w:rPr>
        <w:t xml:space="preserve">0,75 mètre entre les plants et 1 mètre entre les lignes.</w:t>
      </w:r>
    </w:p>
    <w:p>
      <w:pPr>
        <w:pStyle w:val="FirstParagraph"/>
      </w:pPr>
      <w:r>
        <w:t xml:space="preserve">Cette configuration représente un compromis entre :</w:t>
      </w:r>
    </w:p>
    <w:p>
      <w:pPr>
        <w:pStyle w:val="Compact"/>
        <w:numPr>
          <w:ilvl w:val="0"/>
          <w:numId w:val="1005"/>
        </w:numPr>
      </w:pPr>
      <w:r>
        <w:t xml:space="preserve">le rendement en feuilles;</w:t>
      </w:r>
    </w:p>
    <w:p>
      <w:pPr>
        <w:pStyle w:val="Compact"/>
        <w:numPr>
          <w:ilvl w:val="0"/>
          <w:numId w:val="1005"/>
        </w:numPr>
      </w:pPr>
      <w:r>
        <w:t xml:space="preserve">la circulation de l’air;</w:t>
      </w:r>
    </w:p>
    <w:p>
      <w:pPr>
        <w:pStyle w:val="Compact"/>
        <w:numPr>
          <w:ilvl w:val="0"/>
          <w:numId w:val="1005"/>
        </w:numPr>
      </w:pPr>
      <w:r>
        <w:t xml:space="preserve">l’accès pour la récolte;</w:t>
      </w:r>
    </w:p>
    <w:p>
      <w:pPr>
        <w:pStyle w:val="Compact"/>
        <w:numPr>
          <w:ilvl w:val="0"/>
          <w:numId w:val="1005"/>
        </w:numPr>
      </w:pPr>
      <w:r>
        <w:t xml:space="preserve">le désherbage;</w:t>
      </w:r>
    </w:p>
    <w:p>
      <w:pPr>
        <w:pStyle w:val="Compact"/>
        <w:numPr>
          <w:ilvl w:val="0"/>
          <w:numId w:val="1005"/>
        </w:numPr>
      </w:pPr>
      <w:r>
        <w:t xml:space="preserve">la surveillance phytosanitaire;</w:t>
      </w:r>
    </w:p>
    <w:p>
      <w:pPr>
        <w:pStyle w:val="Compact"/>
        <w:numPr>
          <w:ilvl w:val="0"/>
          <w:numId w:val="1005"/>
        </w:numPr>
      </w:pPr>
      <w:r>
        <w:t xml:space="preserve">le passage du petit matériel;</w:t>
      </w:r>
    </w:p>
    <w:p>
      <w:pPr>
        <w:pStyle w:val="Compact"/>
        <w:numPr>
          <w:ilvl w:val="0"/>
          <w:numId w:val="1005"/>
        </w:numPr>
      </w:pPr>
      <w:r>
        <w:t xml:space="preserve">l’utilisation des drones;</w:t>
      </w:r>
    </w:p>
    <w:p>
      <w:pPr>
        <w:pStyle w:val="Compact"/>
        <w:numPr>
          <w:ilvl w:val="0"/>
          <w:numId w:val="1005"/>
        </w:numPr>
      </w:pPr>
      <w:r>
        <w:t xml:space="preserve">la maîtrise des coûts de production.</w:t>
      </w:r>
    </w:p>
    <w:p>
      <w:pPr>
        <w:pStyle w:val="FirstParagraph"/>
      </w:pPr>
      <w:r>
        <w:t xml:space="preserve">Les densités beaucoup plus élevées peuvent produire davantage de biomasse, mais elles nécessitent aussi :</w:t>
      </w:r>
    </w:p>
    <w:p>
      <w:pPr>
        <w:pStyle w:val="Compact"/>
        <w:numPr>
          <w:ilvl w:val="0"/>
          <w:numId w:val="1006"/>
        </w:numPr>
      </w:pPr>
      <w:r>
        <w:t xml:space="preserve">plus de semences;</w:t>
      </w:r>
    </w:p>
    <w:p>
      <w:pPr>
        <w:pStyle w:val="Compact"/>
        <w:numPr>
          <w:ilvl w:val="0"/>
          <w:numId w:val="1006"/>
        </w:numPr>
      </w:pPr>
      <w:r>
        <w:t xml:space="preserve">davantage de fertilisants;</w:t>
      </w:r>
    </w:p>
    <w:p>
      <w:pPr>
        <w:pStyle w:val="Compact"/>
        <w:numPr>
          <w:ilvl w:val="0"/>
          <w:numId w:val="1006"/>
        </w:numPr>
      </w:pPr>
      <w:r>
        <w:t xml:space="preserve">plus de main-d’œuvre;</w:t>
      </w:r>
    </w:p>
    <w:p>
      <w:pPr>
        <w:pStyle w:val="Compact"/>
        <w:numPr>
          <w:ilvl w:val="0"/>
          <w:numId w:val="1006"/>
        </w:numPr>
      </w:pPr>
      <w:r>
        <w:t xml:space="preserve">une irrigation plus précise;</w:t>
      </w:r>
    </w:p>
    <w:p>
      <w:pPr>
        <w:pStyle w:val="Compact"/>
        <w:numPr>
          <w:ilvl w:val="0"/>
          <w:numId w:val="1006"/>
        </w:numPr>
      </w:pPr>
      <w:r>
        <w:t xml:space="preserve">une surveillance phytosanitaire renforcée;</w:t>
      </w:r>
    </w:p>
    <w:p>
      <w:pPr>
        <w:pStyle w:val="Compact"/>
        <w:numPr>
          <w:ilvl w:val="0"/>
          <w:numId w:val="1006"/>
        </w:numPr>
      </w:pPr>
      <w:r>
        <w:t xml:space="preserve">des récoltes et des tailles plus fréquentes.</w:t>
      </w:r>
    </w:p>
    <w:bookmarkStart w:id="24" w:name="calcul-du-nombre-de-plants"/>
    <w:p>
      <w:pPr>
        <w:pStyle w:val="Heading3"/>
      </w:pPr>
      <w:r>
        <w:t xml:space="preserve">Calcul du nombre de plants</w:t>
      </w:r>
    </w:p>
    <w:p>
      <w:pPr>
        <w:pStyle w:val="FirstParagraph"/>
      </w:pPr>
      <w:r>
        <w:t xml:space="preserve">Surface totale de la parcelle :</w:t>
      </w:r>
    </w:p>
    <w:p>
      <w:pPr>
        <w:pStyle w:val="BodyText"/>
      </w:pPr>
      <w:r>
        <w:rPr>
          <w:b/>
          <w:bCs/>
        </w:rPr>
        <w:t xml:space="preserve">0,5 hectare = 5 000 m²</w:t>
      </w:r>
    </w:p>
    <w:p>
      <w:pPr>
        <w:pStyle w:val="BodyText"/>
      </w:pPr>
      <w:r>
        <w:t xml:space="preserve">Une partie du terrain doit être réservée aux :</w:t>
      </w:r>
    </w:p>
    <w:p>
      <w:pPr>
        <w:pStyle w:val="Compact"/>
        <w:numPr>
          <w:ilvl w:val="0"/>
          <w:numId w:val="1007"/>
        </w:numPr>
      </w:pPr>
      <w:r>
        <w:t xml:space="preserve">allées;</w:t>
      </w:r>
    </w:p>
    <w:p>
      <w:pPr>
        <w:pStyle w:val="Compact"/>
        <w:numPr>
          <w:ilvl w:val="0"/>
          <w:numId w:val="1007"/>
        </w:numPr>
      </w:pPr>
      <w:r>
        <w:t xml:space="preserve">drains;</w:t>
      </w:r>
    </w:p>
    <w:p>
      <w:pPr>
        <w:pStyle w:val="Compact"/>
        <w:numPr>
          <w:ilvl w:val="0"/>
          <w:numId w:val="1007"/>
        </w:numPr>
      </w:pPr>
      <w:r>
        <w:t xml:space="preserve">équipements d’irrigation;</w:t>
      </w:r>
    </w:p>
    <w:p>
      <w:pPr>
        <w:pStyle w:val="Compact"/>
        <w:numPr>
          <w:ilvl w:val="0"/>
          <w:numId w:val="1007"/>
        </w:numPr>
      </w:pPr>
      <w:r>
        <w:t xml:space="preserve">zones de retournement;</w:t>
      </w:r>
    </w:p>
    <w:p>
      <w:pPr>
        <w:pStyle w:val="Compact"/>
        <w:numPr>
          <w:ilvl w:val="0"/>
          <w:numId w:val="1007"/>
        </w:numPr>
      </w:pPr>
      <w:r>
        <w:t xml:space="preserve">espaces de travail;</w:t>
      </w:r>
    </w:p>
    <w:p>
      <w:pPr>
        <w:pStyle w:val="Compact"/>
        <w:numPr>
          <w:ilvl w:val="0"/>
          <w:numId w:val="1007"/>
        </w:numPr>
      </w:pPr>
      <w:r>
        <w:t xml:space="preserve">passages du personnel.</w:t>
      </w:r>
    </w:p>
    <w:p>
      <w:pPr>
        <w:pStyle w:val="FirstParagraph"/>
      </w:pPr>
      <w:r>
        <w:t xml:space="preserve">En réservant environ 15 % de la surface à ces aménagements :</w:t>
      </w:r>
    </w:p>
    <w:p>
      <w:pPr>
        <w:pStyle w:val="BodyText"/>
      </w:pPr>
      <w:r>
        <w:rPr>
          <w:b/>
          <w:bCs/>
        </w:rPr>
        <w:t xml:space="preserve">Surface réellement plantée :</w:t>
      </w:r>
    </w:p>
    <w:p>
      <w:pPr>
        <w:pStyle w:val="BodyText"/>
      </w:pPr>
      <w:r>
        <w:t xml:space="preserve">5 000 m² × 85 % =</w:t>
      </w:r>
      <w:r>
        <w:t xml:space="preserve"> </w:t>
      </w:r>
      <w:r>
        <w:rPr>
          <w:b/>
          <w:bCs/>
        </w:rPr>
        <w:t xml:space="preserve">4 250 m²</w:t>
      </w:r>
    </w:p>
    <w:p>
      <w:pPr>
        <w:pStyle w:val="BodyText"/>
      </w:pPr>
      <w:r>
        <w:t xml:space="preserve">À un espacement de 0,75 m × 1 m :</w:t>
      </w:r>
    </w:p>
    <w:p>
      <w:pPr>
        <w:pStyle w:val="BodyText"/>
      </w:pPr>
      <w:r>
        <w:rPr>
          <w:b/>
          <w:bCs/>
        </w:rPr>
        <w:t xml:space="preserve">Surface occupée par plant :</w:t>
      </w:r>
    </w:p>
    <w:p>
      <w:pPr>
        <w:pStyle w:val="BodyText"/>
      </w:pPr>
      <w:r>
        <w:t xml:space="preserve">0,75 m × 1 m =</w:t>
      </w:r>
      <w:r>
        <w:t xml:space="preserve"> </w:t>
      </w:r>
      <w:r>
        <w:rPr>
          <w:b/>
          <w:bCs/>
        </w:rPr>
        <w:t xml:space="preserve">0,75 m²</w:t>
      </w:r>
    </w:p>
    <w:p>
      <w:pPr>
        <w:pStyle w:val="BodyText"/>
      </w:pPr>
      <w:r>
        <w:rPr>
          <w:b/>
          <w:bCs/>
        </w:rPr>
        <w:t xml:space="preserve">Nombre théorique de plants :</w:t>
      </w:r>
    </w:p>
    <w:p>
      <w:pPr>
        <w:pStyle w:val="BodyText"/>
      </w:pPr>
      <w:r>
        <w:t xml:space="preserve">4 250 m² ÷ 0,75 m² =</w:t>
      </w:r>
      <w:r>
        <w:t xml:space="preserve"> </w:t>
      </w:r>
      <w:r>
        <w:rPr>
          <w:b/>
          <w:bCs/>
        </w:rPr>
        <w:t xml:space="preserve">5 667 plants</w:t>
      </w:r>
    </w:p>
    <w:p>
      <w:pPr>
        <w:pStyle w:val="BodyText"/>
      </w:pPr>
      <w:r>
        <w:t xml:space="preserve">NigerVerdé pourra donc installer environ :</w:t>
      </w:r>
    </w:p>
    <w:p>
      <w:pPr>
        <w:pStyle w:val="BlockText"/>
      </w:pPr>
      <w:r>
        <w:rPr>
          <w:b/>
          <w:bCs/>
        </w:rPr>
        <w:t xml:space="preserve">5 500 à 5 700 plants de moringa sur 0,5 hectare.</w:t>
      </w:r>
    </w:p>
    <w:bookmarkEnd w:id="24"/>
    <w:bookmarkStart w:id="25" w:name="quantité-indicative-de-semences"/>
    <w:p>
      <w:pPr>
        <w:pStyle w:val="Heading3"/>
      </w:pPr>
      <w:r>
        <w:t xml:space="preserve">Quantité indicative de semences</w:t>
      </w:r>
    </w:p>
    <w:p>
      <w:pPr>
        <w:pStyle w:val="FirstParagraph"/>
      </w:pPr>
      <w:r>
        <w:t xml:space="preserve">Une réserve d’environ 15 % est nécessaire pour remplacer :</w:t>
      </w:r>
    </w:p>
    <w:p>
      <w:pPr>
        <w:pStyle w:val="Compact"/>
        <w:numPr>
          <w:ilvl w:val="0"/>
          <w:numId w:val="1008"/>
        </w:numPr>
      </w:pPr>
      <w:r>
        <w:t xml:space="preserve">les graines qui ne germent pas;</w:t>
      </w:r>
    </w:p>
    <w:p>
      <w:pPr>
        <w:pStyle w:val="Compact"/>
        <w:numPr>
          <w:ilvl w:val="0"/>
          <w:numId w:val="1008"/>
        </w:numPr>
      </w:pPr>
      <w:r>
        <w:t xml:space="preserve">les plants faibles;</w:t>
      </w:r>
    </w:p>
    <w:p>
      <w:pPr>
        <w:pStyle w:val="Compact"/>
        <w:numPr>
          <w:ilvl w:val="0"/>
          <w:numId w:val="1008"/>
        </w:numPr>
      </w:pPr>
      <w:r>
        <w:t xml:space="preserve">les plants endommagés après la transplantation;</w:t>
      </w:r>
    </w:p>
    <w:p>
      <w:pPr>
        <w:pStyle w:val="Compact"/>
        <w:numPr>
          <w:ilvl w:val="0"/>
          <w:numId w:val="1008"/>
        </w:numPr>
      </w:pPr>
      <w:r>
        <w:t xml:space="preserve">les pertes survenues pendant les premières semaines.</w:t>
      </w:r>
    </w:p>
    <w:p>
      <w:pPr>
        <w:pStyle w:val="FirstParagraph"/>
      </w:pPr>
      <w:r>
        <w:t xml:space="preserve">Nombre de graines à prévoir :</w:t>
      </w:r>
    </w:p>
    <w:p>
      <w:pPr>
        <w:pStyle w:val="BodyText"/>
      </w:pPr>
      <w:r>
        <w:t xml:space="preserve">5 667 × 1,15 = environ</w:t>
      </w:r>
      <w:r>
        <w:t xml:space="preserve"> </w:t>
      </w:r>
      <w:r>
        <w:rPr>
          <w:b/>
          <w:bCs/>
        </w:rPr>
        <w:t xml:space="preserve">6 517 graines</w:t>
      </w:r>
    </w:p>
    <w:p>
      <w:pPr>
        <w:pStyle w:val="BodyText"/>
      </w:pPr>
      <w:r>
        <w:t xml:space="preserve">La quantité opérationnelle peut être arrondie à :</w:t>
      </w:r>
    </w:p>
    <w:p>
      <w:pPr>
        <w:pStyle w:val="BlockText"/>
      </w:pPr>
      <w:r>
        <w:rPr>
          <w:b/>
          <w:bCs/>
        </w:rPr>
        <w:t xml:space="preserve">Environ 6 500 graines.</w:t>
      </w:r>
    </w:p>
    <w:p>
      <w:pPr>
        <w:pStyle w:val="FirstParagraph"/>
      </w:pPr>
      <w:r>
        <w:t xml:space="preserve">Avec une référence indicative d’environ 4 000 graines par kilogramme :</w:t>
      </w:r>
    </w:p>
    <w:p>
      <w:pPr>
        <w:pStyle w:val="BodyText"/>
      </w:pPr>
      <w:r>
        <w:t xml:space="preserve">6 500 ÷ 4 000 =</w:t>
      </w:r>
      <w:r>
        <w:t xml:space="preserve"> </w:t>
      </w:r>
      <w:r>
        <w:rPr>
          <w:b/>
          <w:bCs/>
        </w:rPr>
        <w:t xml:space="preserve">1,625 kg</w:t>
      </w:r>
    </w:p>
    <w:p>
      <w:pPr>
        <w:pStyle w:val="BodyText"/>
      </w:pPr>
      <w:r>
        <w:t xml:space="preserve">Pour intégrer les variations de taille, de qualité et de germination des graines, NigerVerdé devrait prévoir :</w:t>
      </w:r>
    </w:p>
    <w:p>
      <w:pPr>
        <w:pStyle w:val="BlockText"/>
      </w:pPr>
      <w:r>
        <w:rPr>
          <w:b/>
          <w:bCs/>
        </w:rPr>
        <w:t xml:space="preserve">Environ 2 kg de semences propres, homogènes et testées.</w:t>
      </w:r>
    </w:p>
    <w:p>
      <w:r>
        <w:pict>
          <v:rect style="width:0;height:1.5pt" o:hralign="center" o:hrstd="t" o:hr="t"/>
        </w:pict>
      </w:r>
    </w:p>
    <w:bookmarkEnd w:id="25"/>
    <w:bookmarkEnd w:id="26"/>
    <w:bookmarkStart w:id="28" w:name="organisation-de-la-parcelle-en-blocs"/>
    <w:p>
      <w:pPr>
        <w:pStyle w:val="Heading2"/>
      </w:pPr>
      <w:r>
        <w:t xml:space="preserve">4. Organisation de la parcelle en blocs</w:t>
      </w:r>
    </w:p>
    <w:p>
      <w:pPr>
        <w:pStyle w:val="FirstParagraph"/>
      </w:pPr>
      <w:r>
        <w:t xml:space="preserve">La parcelle de moringa ne devra pas être récoltée en une seule fois.</w:t>
      </w:r>
    </w:p>
    <w:p>
      <w:pPr>
        <w:pStyle w:val="BodyText"/>
      </w:pPr>
      <w:r>
        <w:t xml:space="preserve">NigerVerdé organisera les 0,5 hectare en</w:t>
      </w:r>
      <w:r>
        <w:t xml:space="preserve"> </w:t>
      </w:r>
      <w:r>
        <w:rPr>
          <w:b/>
          <w:bCs/>
        </w:rPr>
        <w:t xml:space="preserve">quatre blocs principaux de production</w:t>
      </w:r>
      <w:r>
        <w:t xml:space="preserve">, disposant chacun d’une alimentation goutte-à-goutte contrôlable séparément.</w:t>
      </w:r>
    </w:p>
    <w:p>
      <w:pPr>
        <w:pStyle w:val="BodyText"/>
      </w:pPr>
      <w:r>
        <w:t xml:space="preserve">Ce découpage permettra de :</w:t>
      </w:r>
    </w:p>
    <w:p>
      <w:pPr>
        <w:pStyle w:val="Compact"/>
        <w:numPr>
          <w:ilvl w:val="0"/>
          <w:numId w:val="1009"/>
        </w:numPr>
      </w:pPr>
      <w:r>
        <w:t xml:space="preserve">semer ou transplanter à des dates différentes;</w:t>
      </w:r>
    </w:p>
    <w:p>
      <w:pPr>
        <w:pStyle w:val="Compact"/>
        <w:numPr>
          <w:ilvl w:val="0"/>
          <w:numId w:val="1009"/>
        </w:numPr>
      </w:pPr>
      <w:r>
        <w:t xml:space="preserve">tailler les blocs selon un calendrier décalé;</w:t>
      </w:r>
    </w:p>
    <w:p>
      <w:pPr>
        <w:pStyle w:val="Compact"/>
        <w:numPr>
          <w:ilvl w:val="0"/>
          <w:numId w:val="1009"/>
        </w:numPr>
      </w:pPr>
      <w:r>
        <w:t xml:space="preserve">récolter des feuilles chaque semaine;</w:t>
      </w:r>
    </w:p>
    <w:p>
      <w:pPr>
        <w:pStyle w:val="Compact"/>
        <w:numPr>
          <w:ilvl w:val="0"/>
          <w:numId w:val="1009"/>
        </w:numPr>
      </w:pPr>
      <w:r>
        <w:t xml:space="preserve">éviter une récolte massive difficile à vendre ou à transformer;</w:t>
      </w:r>
    </w:p>
    <w:p>
      <w:pPr>
        <w:pStyle w:val="Compact"/>
        <w:numPr>
          <w:ilvl w:val="0"/>
          <w:numId w:val="1009"/>
        </w:numPr>
      </w:pPr>
      <w:r>
        <w:t xml:space="preserve">comparer les rendements;</w:t>
      </w:r>
    </w:p>
    <w:p>
      <w:pPr>
        <w:pStyle w:val="Compact"/>
        <w:numPr>
          <w:ilvl w:val="0"/>
          <w:numId w:val="1009"/>
        </w:numPr>
      </w:pPr>
      <w:r>
        <w:t xml:space="preserve">mesurer la consommation d’eau de chaque bloc;</w:t>
      </w:r>
    </w:p>
    <w:p>
      <w:pPr>
        <w:pStyle w:val="Compact"/>
        <w:numPr>
          <w:ilvl w:val="0"/>
          <w:numId w:val="1009"/>
        </w:numPr>
      </w:pPr>
      <w:r>
        <w:t xml:space="preserve">tester différentes stratégies de fertilisation;</w:t>
      </w:r>
    </w:p>
    <w:p>
      <w:pPr>
        <w:pStyle w:val="Compact"/>
        <w:numPr>
          <w:ilvl w:val="0"/>
          <w:numId w:val="1009"/>
        </w:numPr>
      </w:pPr>
      <w:r>
        <w:t xml:space="preserve">isoler plus facilement un problème d’irrigation;</w:t>
      </w:r>
    </w:p>
    <w:p>
      <w:pPr>
        <w:pStyle w:val="Compact"/>
        <w:numPr>
          <w:ilvl w:val="0"/>
          <w:numId w:val="1009"/>
        </w:numPr>
      </w:pPr>
      <w:r>
        <w:t xml:space="preserve">intervenir sur une maladie sans traiter automatiquement toute la parcelle.</w:t>
      </w:r>
    </w:p>
    <w:p>
      <w:pPr>
        <w:pStyle w:val="FirstParagraph"/>
      </w:pPr>
      <w:r>
        <w:t xml:space="preserve">Chaque bloc devra être clairement identifié et enregistré dans le système de suivi de NigerVerdé.</w:t>
      </w:r>
    </w:p>
    <w:bookmarkStart w:id="27" w:name="bloc-expérimental"/>
    <w:p>
      <w:pPr>
        <w:pStyle w:val="Heading3"/>
      </w:pPr>
      <w:r>
        <w:t xml:space="preserve">Bloc expérimental</w:t>
      </w:r>
    </w:p>
    <w:p>
      <w:pPr>
        <w:pStyle w:val="FirstParagraph"/>
      </w:pPr>
      <w:r>
        <w:t xml:space="preserve">Un petit bloc expérimental de</w:t>
      </w:r>
      <w:r>
        <w:t xml:space="preserve"> </w:t>
      </w:r>
      <w:r>
        <w:rPr>
          <w:b/>
          <w:bCs/>
        </w:rPr>
        <w:t xml:space="preserve">200 à 300 m²</w:t>
      </w:r>
      <w:r>
        <w:t xml:space="preserve"> </w:t>
      </w:r>
      <w:r>
        <w:t xml:space="preserve">pourra être réservé à une plantation plus dense, par exemple :</w:t>
      </w:r>
    </w:p>
    <w:p>
      <w:pPr>
        <w:pStyle w:val="BlockText"/>
      </w:pPr>
      <w:r>
        <w:rPr>
          <w:b/>
          <w:bCs/>
        </w:rPr>
        <w:t xml:space="preserve">0,30 m × 0,30 m</w:t>
      </w:r>
    </w:p>
    <w:p>
      <w:pPr>
        <w:pStyle w:val="FirstParagraph"/>
      </w:pPr>
      <w:r>
        <w:t xml:space="preserve">L’objectif sera de comparer cette densité avec le système principal de 0,75 × 1 m.</w:t>
      </w:r>
    </w:p>
    <w:p>
      <w:pPr>
        <w:pStyle w:val="BodyText"/>
      </w:pPr>
      <w:r>
        <w:t xml:space="preserve">Les paramètres à comparer comprendront :</w:t>
      </w:r>
    </w:p>
    <w:p>
      <w:pPr>
        <w:pStyle w:val="Compact"/>
        <w:numPr>
          <w:ilvl w:val="0"/>
          <w:numId w:val="1010"/>
        </w:numPr>
      </w:pPr>
      <w:r>
        <w:t xml:space="preserve">le rendement en feuilles;</w:t>
      </w:r>
    </w:p>
    <w:p>
      <w:pPr>
        <w:pStyle w:val="Compact"/>
        <w:numPr>
          <w:ilvl w:val="0"/>
          <w:numId w:val="1010"/>
        </w:numPr>
      </w:pPr>
      <w:r>
        <w:t xml:space="preserve">la qualité des feuilles;</w:t>
      </w:r>
    </w:p>
    <w:p>
      <w:pPr>
        <w:pStyle w:val="Compact"/>
        <w:numPr>
          <w:ilvl w:val="0"/>
          <w:numId w:val="1010"/>
        </w:numPr>
      </w:pPr>
      <w:r>
        <w:t xml:space="preserve">la consommation d’eau;</w:t>
      </w:r>
    </w:p>
    <w:p>
      <w:pPr>
        <w:pStyle w:val="Compact"/>
        <w:numPr>
          <w:ilvl w:val="0"/>
          <w:numId w:val="1010"/>
        </w:numPr>
      </w:pPr>
      <w:r>
        <w:t xml:space="preserve">les besoins en fertilisants;</w:t>
      </w:r>
    </w:p>
    <w:p>
      <w:pPr>
        <w:pStyle w:val="Compact"/>
        <w:numPr>
          <w:ilvl w:val="0"/>
          <w:numId w:val="1010"/>
        </w:numPr>
      </w:pPr>
      <w:r>
        <w:t xml:space="preserve">les coûts de main-d’œuvre;</w:t>
      </w:r>
    </w:p>
    <w:p>
      <w:pPr>
        <w:pStyle w:val="Compact"/>
        <w:numPr>
          <w:ilvl w:val="0"/>
          <w:numId w:val="1010"/>
        </w:numPr>
      </w:pPr>
      <w:r>
        <w:t xml:space="preserve">la fréquence des maladies;</w:t>
      </w:r>
    </w:p>
    <w:p>
      <w:pPr>
        <w:pStyle w:val="Compact"/>
        <w:numPr>
          <w:ilvl w:val="0"/>
          <w:numId w:val="1010"/>
        </w:numPr>
      </w:pPr>
      <w:r>
        <w:t xml:space="preserve">les besoins de désherbage;</w:t>
      </w:r>
    </w:p>
    <w:p>
      <w:pPr>
        <w:pStyle w:val="Compact"/>
        <w:numPr>
          <w:ilvl w:val="0"/>
          <w:numId w:val="1010"/>
        </w:numPr>
      </w:pPr>
      <w:r>
        <w:t xml:space="preserve">la facilité de récolte;</w:t>
      </w:r>
    </w:p>
    <w:p>
      <w:pPr>
        <w:pStyle w:val="Compact"/>
        <w:numPr>
          <w:ilvl w:val="0"/>
          <w:numId w:val="1010"/>
        </w:numPr>
      </w:pPr>
      <w:r>
        <w:t xml:space="preserve">la durée entre deux coupes.</w:t>
      </w:r>
    </w:p>
    <w:p>
      <w:pPr>
        <w:pStyle w:val="FirstParagraph"/>
      </w:pPr>
      <w:r>
        <w:t xml:space="preserve">Une étude publiée en 2024 aurait obtenu des rendements comparables entre les espacements de 0,20 × 0,20 m et de 0,30 × 0,30 m, avec un avantage économique et phytosanitaire potentiel pour l’espacement de 0,30 × 0,30 m.</w:t>
      </w:r>
    </w:p>
    <w:p>
      <w:pPr>
        <w:pStyle w:val="BodyText"/>
      </w:pPr>
      <w:r>
        <w:t xml:space="preserve">Toutefois, cette étude ayant été réalisée dans un environnement tropical humide, ses résultats ne devront pas être appliqués automatiquement à Diakindi. Ils devront être validés par un essai local avant toute extension à grande échelle.</w:t>
      </w:r>
    </w:p>
    <w:p>
      <w:r>
        <w:pict>
          <v:rect style="width:0;height:1.5pt" o:hralign="center" o:hrstd="t" o:hr="t"/>
        </w:pict>
      </w:r>
    </w:p>
    <w:bookmarkEnd w:id="27"/>
    <w:bookmarkEnd w:id="28"/>
    <w:bookmarkStart w:id="31" w:name="gestion-précise-de-lirrigation"/>
    <w:p>
      <w:pPr>
        <w:pStyle w:val="Heading2"/>
      </w:pPr>
      <w:r>
        <w:t xml:space="preserve">5. Gestion précise de l’irrigation</w:t>
      </w:r>
    </w:p>
    <w:p>
      <w:pPr>
        <w:pStyle w:val="FirstParagraph"/>
      </w:pPr>
      <w:r>
        <w:t xml:space="preserve">L’objectif de NigerVerdé ne doit pas être d’irriguer davantage, mais d’apporter la quantité d’eau nécessaire au bon moment.</w:t>
      </w:r>
    </w:p>
    <w:p>
      <w:pPr>
        <w:pStyle w:val="BodyText"/>
      </w:pPr>
      <w:r>
        <w:t xml:space="preserve">Une production régulière de feuilles nécessite généralement une irrigation pendant une grande partie de l’année, particulièrement pendant la saison sèche.</w:t>
      </w:r>
    </w:p>
    <w:p>
      <w:pPr>
        <w:pStyle w:val="BodyText"/>
      </w:pPr>
      <w:r>
        <w:t xml:space="preserve">À titre indicatif, une irrigation quotidienne peut être nécessaire en saison sèche, tandis que deux ou trois irrigations hebdomadaires peuvent parfois suffire pendant les périodes humides.</w:t>
      </w:r>
    </w:p>
    <w:p>
      <w:pPr>
        <w:pStyle w:val="BodyText"/>
      </w:pPr>
      <w:r>
        <w:t xml:space="preserve">Cette fréquence ne devra pas être appliquée automatiquement. Elle devra être ajustée selon :</w:t>
      </w:r>
    </w:p>
    <w:p>
      <w:pPr>
        <w:pStyle w:val="Compact"/>
        <w:numPr>
          <w:ilvl w:val="0"/>
          <w:numId w:val="1011"/>
        </w:numPr>
      </w:pPr>
      <w:r>
        <w:t xml:space="preserve">les précipitations;</w:t>
      </w:r>
    </w:p>
    <w:p>
      <w:pPr>
        <w:pStyle w:val="Compact"/>
        <w:numPr>
          <w:ilvl w:val="0"/>
          <w:numId w:val="1011"/>
        </w:numPr>
      </w:pPr>
      <w:r>
        <w:t xml:space="preserve">la température;</w:t>
      </w:r>
    </w:p>
    <w:p>
      <w:pPr>
        <w:pStyle w:val="Compact"/>
        <w:numPr>
          <w:ilvl w:val="0"/>
          <w:numId w:val="1011"/>
        </w:numPr>
      </w:pPr>
      <w:r>
        <w:t xml:space="preserve">le vent;</w:t>
      </w:r>
    </w:p>
    <w:p>
      <w:pPr>
        <w:pStyle w:val="Compact"/>
        <w:numPr>
          <w:ilvl w:val="0"/>
          <w:numId w:val="1011"/>
        </w:numPr>
      </w:pPr>
      <w:r>
        <w:t xml:space="preserve">la texture du sol;</w:t>
      </w:r>
    </w:p>
    <w:p>
      <w:pPr>
        <w:pStyle w:val="Compact"/>
        <w:numPr>
          <w:ilvl w:val="0"/>
          <w:numId w:val="1011"/>
        </w:numPr>
      </w:pPr>
      <w:r>
        <w:t xml:space="preserve">l’humidité autour des racines;</w:t>
      </w:r>
    </w:p>
    <w:p>
      <w:pPr>
        <w:pStyle w:val="Compact"/>
        <w:numPr>
          <w:ilvl w:val="0"/>
          <w:numId w:val="1011"/>
        </w:numPr>
      </w:pPr>
      <w:r>
        <w:t xml:space="preserve">le développement des plants;</w:t>
      </w:r>
    </w:p>
    <w:p>
      <w:pPr>
        <w:pStyle w:val="Compact"/>
        <w:numPr>
          <w:ilvl w:val="0"/>
          <w:numId w:val="1011"/>
        </w:numPr>
      </w:pPr>
      <w:r>
        <w:t xml:space="preserve">le paillage;</w:t>
      </w:r>
    </w:p>
    <w:p>
      <w:pPr>
        <w:pStyle w:val="Compact"/>
        <w:numPr>
          <w:ilvl w:val="0"/>
          <w:numId w:val="1011"/>
        </w:numPr>
      </w:pPr>
      <w:r>
        <w:t xml:space="preserve">le débit réel des goutteurs.</w:t>
      </w:r>
    </w:p>
    <w:bookmarkStart w:id="29" w:name="équipements-recommandés"/>
    <w:p>
      <w:pPr>
        <w:pStyle w:val="Heading3"/>
      </w:pPr>
      <w:r>
        <w:t xml:space="preserve">Équipements recommandés</w:t>
      </w:r>
    </w:p>
    <w:p>
      <w:pPr>
        <w:pStyle w:val="FirstParagraph"/>
      </w:pPr>
      <w:r>
        <w:t xml:space="preserve">NigerVerdé devrait installer :</w:t>
      </w:r>
    </w:p>
    <w:p>
      <w:pPr>
        <w:pStyle w:val="Compact"/>
        <w:numPr>
          <w:ilvl w:val="0"/>
          <w:numId w:val="1012"/>
        </w:numPr>
      </w:pPr>
      <w:r>
        <w:t xml:space="preserve">un compteur d’eau principal;</w:t>
      </w:r>
    </w:p>
    <w:p>
      <w:pPr>
        <w:pStyle w:val="Compact"/>
        <w:numPr>
          <w:ilvl w:val="0"/>
          <w:numId w:val="1012"/>
        </w:numPr>
      </w:pPr>
      <w:r>
        <w:t xml:space="preserve">un compteur ou débitmètre par bloc;</w:t>
      </w:r>
    </w:p>
    <w:p>
      <w:pPr>
        <w:pStyle w:val="Compact"/>
        <w:numPr>
          <w:ilvl w:val="0"/>
          <w:numId w:val="1012"/>
        </w:numPr>
      </w:pPr>
      <w:r>
        <w:t xml:space="preserve">des vannes de contrôle indépendantes;</w:t>
      </w:r>
    </w:p>
    <w:p>
      <w:pPr>
        <w:pStyle w:val="Compact"/>
        <w:numPr>
          <w:ilvl w:val="0"/>
          <w:numId w:val="1012"/>
        </w:numPr>
      </w:pPr>
      <w:r>
        <w:t xml:space="preserve">des capteurs d’humidité du sol;</w:t>
      </w:r>
    </w:p>
    <w:p>
      <w:pPr>
        <w:pStyle w:val="Compact"/>
        <w:numPr>
          <w:ilvl w:val="0"/>
          <w:numId w:val="1012"/>
        </w:numPr>
      </w:pPr>
      <w:r>
        <w:t xml:space="preserve">des capteurs positionnés à au moins deux profondeurs;</w:t>
      </w:r>
    </w:p>
    <w:p>
      <w:pPr>
        <w:pStyle w:val="Compact"/>
        <w:numPr>
          <w:ilvl w:val="0"/>
          <w:numId w:val="1012"/>
        </w:numPr>
      </w:pPr>
      <w:r>
        <w:t xml:space="preserve">un pluviomètre sur le site;</w:t>
      </w:r>
    </w:p>
    <w:p>
      <w:pPr>
        <w:pStyle w:val="Compact"/>
        <w:numPr>
          <w:ilvl w:val="0"/>
          <w:numId w:val="1012"/>
        </w:numPr>
      </w:pPr>
      <w:r>
        <w:t xml:space="preserve">des filtres adaptés au goutte-à-goutte;</w:t>
      </w:r>
    </w:p>
    <w:p>
      <w:pPr>
        <w:pStyle w:val="Compact"/>
        <w:numPr>
          <w:ilvl w:val="0"/>
          <w:numId w:val="1012"/>
        </w:numPr>
      </w:pPr>
      <w:r>
        <w:t xml:space="preserve">des dispositifs de purge;</w:t>
      </w:r>
    </w:p>
    <w:p>
      <w:pPr>
        <w:pStyle w:val="Compact"/>
        <w:numPr>
          <w:ilvl w:val="0"/>
          <w:numId w:val="1012"/>
        </w:numPr>
      </w:pPr>
      <w:r>
        <w:t xml:space="preserve">un registre de consommation d’eau.</w:t>
      </w:r>
    </w:p>
    <w:p>
      <w:pPr>
        <w:pStyle w:val="FirstParagraph"/>
      </w:pPr>
      <w:r>
        <w:t xml:space="preserve">L’irrigation devra être réduite ou interrompue lorsque le sol reste suffisamment humide après une pluie.</w:t>
      </w:r>
    </w:p>
    <w:p>
      <w:pPr>
        <w:pStyle w:val="BodyText"/>
      </w:pPr>
      <w:r>
        <w:t xml:space="preserve">Les irrigations seront réalisées de préférence :</w:t>
      </w:r>
    </w:p>
    <w:p>
      <w:pPr>
        <w:pStyle w:val="Compact"/>
        <w:numPr>
          <w:ilvl w:val="0"/>
          <w:numId w:val="1013"/>
        </w:numPr>
      </w:pPr>
      <w:r>
        <w:t xml:space="preserve">tôt le matin;</w:t>
      </w:r>
    </w:p>
    <w:p>
      <w:pPr>
        <w:pStyle w:val="Compact"/>
        <w:numPr>
          <w:ilvl w:val="0"/>
          <w:numId w:val="1013"/>
        </w:numPr>
      </w:pPr>
      <w:r>
        <w:t xml:space="preserve">ou en fin d’après-midi et en soirée, lorsque les conditions sont appropriées.</w:t>
      </w:r>
    </w:p>
    <w:bookmarkEnd w:id="29"/>
    <w:bookmarkStart w:id="30" w:name="paillage-et-drainage"/>
    <w:p>
      <w:pPr>
        <w:pStyle w:val="Heading3"/>
      </w:pPr>
      <w:r>
        <w:t xml:space="preserve">Paillage et drainage</w:t>
      </w:r>
    </w:p>
    <w:p>
      <w:pPr>
        <w:pStyle w:val="FirstParagraph"/>
      </w:pPr>
      <w:r>
        <w:t xml:space="preserve">Le paillage permettra de :</w:t>
      </w:r>
    </w:p>
    <w:p>
      <w:pPr>
        <w:pStyle w:val="Compact"/>
        <w:numPr>
          <w:ilvl w:val="0"/>
          <w:numId w:val="1014"/>
        </w:numPr>
      </w:pPr>
      <w:r>
        <w:t xml:space="preserve">réduire l’évaporation;</w:t>
      </w:r>
    </w:p>
    <w:p>
      <w:pPr>
        <w:pStyle w:val="Compact"/>
        <w:numPr>
          <w:ilvl w:val="0"/>
          <w:numId w:val="1014"/>
        </w:numPr>
      </w:pPr>
      <w:r>
        <w:t xml:space="preserve">limiter les mauvaises herbes;</w:t>
      </w:r>
    </w:p>
    <w:p>
      <w:pPr>
        <w:pStyle w:val="Compact"/>
        <w:numPr>
          <w:ilvl w:val="0"/>
          <w:numId w:val="1014"/>
        </w:numPr>
      </w:pPr>
      <w:r>
        <w:t xml:space="preserve">conserver l’humidité du sol;</w:t>
      </w:r>
    </w:p>
    <w:p>
      <w:pPr>
        <w:pStyle w:val="Compact"/>
        <w:numPr>
          <w:ilvl w:val="0"/>
          <w:numId w:val="1014"/>
        </w:numPr>
      </w:pPr>
      <w:r>
        <w:t xml:space="preserve">réduire les variations de température autour des racines;</w:t>
      </w:r>
    </w:p>
    <w:p>
      <w:pPr>
        <w:pStyle w:val="Compact"/>
        <w:numPr>
          <w:ilvl w:val="0"/>
          <w:numId w:val="1014"/>
        </w:numPr>
      </w:pPr>
      <w:r>
        <w:t xml:space="preserve">diminuer les besoins de désherbage.</w:t>
      </w:r>
    </w:p>
    <w:p>
      <w:pPr>
        <w:pStyle w:val="FirstParagraph"/>
      </w:pPr>
      <w:r>
        <w:t xml:space="preserve">Le moringa préfère les sols sablonneux ou sablo-limoneux bien drainés.</w:t>
      </w:r>
    </w:p>
    <w:p>
      <w:pPr>
        <w:pStyle w:val="BodyText"/>
      </w:pPr>
      <w:r>
        <w:t xml:space="preserve">Des drains devront donc être aménagés dans les points bas, car l’accumulation prolongée d’eau peut favoriser :</w:t>
      </w:r>
    </w:p>
    <w:p>
      <w:pPr>
        <w:pStyle w:val="Compact"/>
        <w:numPr>
          <w:ilvl w:val="0"/>
          <w:numId w:val="1015"/>
        </w:numPr>
      </w:pPr>
      <w:r>
        <w:t xml:space="preserve">l’asphyxie racinaire;</w:t>
      </w:r>
    </w:p>
    <w:p>
      <w:pPr>
        <w:pStyle w:val="Compact"/>
        <w:numPr>
          <w:ilvl w:val="0"/>
          <w:numId w:val="1015"/>
        </w:numPr>
      </w:pPr>
      <w:r>
        <w:t xml:space="preserve">la pourriture des racines;</w:t>
      </w:r>
    </w:p>
    <w:p>
      <w:pPr>
        <w:pStyle w:val="Compact"/>
        <w:numPr>
          <w:ilvl w:val="0"/>
          <w:numId w:val="1015"/>
        </w:numPr>
      </w:pPr>
      <w:r>
        <w:t xml:space="preserve">les maladies fongiques;</w:t>
      </w:r>
    </w:p>
    <w:p>
      <w:pPr>
        <w:pStyle w:val="Compact"/>
        <w:numPr>
          <w:ilvl w:val="0"/>
          <w:numId w:val="1015"/>
        </w:numPr>
      </w:pPr>
      <w:r>
        <w:t xml:space="preserve">la mortalité des plants.</w:t>
      </w:r>
    </w:p>
    <w:p>
      <w:r>
        <w:pict>
          <v:rect style="width:0;height:1.5pt" o:hralign="center" o:hrstd="t" o:hr="t"/>
        </w:pict>
      </w:r>
    </w:p>
    <w:bookmarkEnd w:id="30"/>
    <w:bookmarkEnd w:id="31"/>
    <w:bookmarkStart w:id="32" w:name="analyse-de-leau-du-forage"/>
    <w:p>
      <w:pPr>
        <w:pStyle w:val="Heading2"/>
      </w:pPr>
      <w:r>
        <w:t xml:space="preserve">6. Analyse de l’eau du forage</w:t>
      </w:r>
    </w:p>
    <w:p>
      <w:pPr>
        <w:pStyle w:val="FirstParagraph"/>
      </w:pPr>
      <w:r>
        <w:t xml:space="preserve">Avant de finaliser le programme de fertigation, NigerVerdé devra faire analyser l’eau du forage.</w:t>
      </w:r>
    </w:p>
    <w:p>
      <w:pPr>
        <w:pStyle w:val="BodyText"/>
      </w:pPr>
      <w:r>
        <w:t xml:space="preserve">L’analyse devra notamment couvrir :</w:t>
      </w:r>
    </w:p>
    <w:p>
      <w:pPr>
        <w:pStyle w:val="Compact"/>
        <w:numPr>
          <w:ilvl w:val="0"/>
          <w:numId w:val="1016"/>
        </w:numPr>
      </w:pPr>
      <w:r>
        <w:t xml:space="preserve">la conductivité électrique;</w:t>
      </w:r>
    </w:p>
    <w:p>
      <w:pPr>
        <w:pStyle w:val="Compact"/>
        <w:numPr>
          <w:ilvl w:val="0"/>
          <w:numId w:val="1016"/>
        </w:numPr>
      </w:pPr>
      <w:r>
        <w:t xml:space="preserve">le pH;</w:t>
      </w:r>
    </w:p>
    <w:p>
      <w:pPr>
        <w:pStyle w:val="Compact"/>
        <w:numPr>
          <w:ilvl w:val="0"/>
          <w:numId w:val="1016"/>
        </w:numPr>
      </w:pPr>
      <w:r>
        <w:t xml:space="preserve">le sodium;</w:t>
      </w:r>
    </w:p>
    <w:p>
      <w:pPr>
        <w:pStyle w:val="Compact"/>
        <w:numPr>
          <w:ilvl w:val="0"/>
          <w:numId w:val="1016"/>
        </w:numPr>
      </w:pPr>
      <w:r>
        <w:t xml:space="preserve">les chlorures;</w:t>
      </w:r>
    </w:p>
    <w:p>
      <w:pPr>
        <w:pStyle w:val="Compact"/>
        <w:numPr>
          <w:ilvl w:val="0"/>
          <w:numId w:val="1016"/>
        </w:numPr>
      </w:pPr>
      <w:r>
        <w:t xml:space="preserve">les bicarbonates;</w:t>
      </w:r>
    </w:p>
    <w:p>
      <w:pPr>
        <w:pStyle w:val="Compact"/>
        <w:numPr>
          <w:ilvl w:val="0"/>
          <w:numId w:val="1016"/>
        </w:numPr>
      </w:pPr>
      <w:r>
        <w:t xml:space="preserve">le calcium;</w:t>
      </w:r>
    </w:p>
    <w:p>
      <w:pPr>
        <w:pStyle w:val="Compact"/>
        <w:numPr>
          <w:ilvl w:val="0"/>
          <w:numId w:val="1016"/>
        </w:numPr>
      </w:pPr>
      <w:r>
        <w:t xml:space="preserve">le magnésium;</w:t>
      </w:r>
    </w:p>
    <w:p>
      <w:pPr>
        <w:pStyle w:val="Compact"/>
        <w:numPr>
          <w:ilvl w:val="0"/>
          <w:numId w:val="1016"/>
        </w:numPr>
      </w:pPr>
      <w:r>
        <w:t xml:space="preserve">la salinité totale;</w:t>
      </w:r>
    </w:p>
    <w:p>
      <w:pPr>
        <w:pStyle w:val="Compact"/>
        <w:numPr>
          <w:ilvl w:val="0"/>
          <w:numId w:val="1016"/>
        </w:numPr>
      </w:pPr>
      <w:r>
        <w:t xml:space="preserve">les matières en suspension;</w:t>
      </w:r>
    </w:p>
    <w:p>
      <w:pPr>
        <w:pStyle w:val="Compact"/>
        <w:numPr>
          <w:ilvl w:val="0"/>
          <w:numId w:val="1016"/>
        </w:numPr>
      </w:pPr>
      <w:r>
        <w:t xml:space="preserve">les éléments pouvant provoquer le colmatage;</w:t>
      </w:r>
    </w:p>
    <w:p>
      <w:pPr>
        <w:pStyle w:val="Compact"/>
        <w:numPr>
          <w:ilvl w:val="0"/>
          <w:numId w:val="1016"/>
        </w:numPr>
      </w:pPr>
      <w:r>
        <w:t xml:space="preserve">la qualité microbiologique, lorsque cela est nécessaire.</w:t>
      </w:r>
    </w:p>
    <w:p>
      <w:pPr>
        <w:pStyle w:val="FirstParagraph"/>
      </w:pPr>
      <w:r>
        <w:t xml:space="preserve">Ces résultats permettront de déterminer :</w:t>
      </w:r>
    </w:p>
    <w:p>
      <w:pPr>
        <w:pStyle w:val="Compact"/>
        <w:numPr>
          <w:ilvl w:val="0"/>
          <w:numId w:val="1017"/>
        </w:numPr>
      </w:pPr>
      <w:r>
        <w:t xml:space="preserve">si l’eau est adaptée au moringa;</w:t>
      </w:r>
    </w:p>
    <w:p>
      <w:pPr>
        <w:pStyle w:val="Compact"/>
        <w:numPr>
          <w:ilvl w:val="0"/>
          <w:numId w:val="1017"/>
        </w:numPr>
      </w:pPr>
      <w:r>
        <w:t xml:space="preserve">si elle présente un risque de salinisation;</w:t>
      </w:r>
    </w:p>
    <w:p>
      <w:pPr>
        <w:pStyle w:val="Compact"/>
        <w:numPr>
          <w:ilvl w:val="0"/>
          <w:numId w:val="1017"/>
        </w:numPr>
      </w:pPr>
      <w:r>
        <w:t xml:space="preserve">si un traitement est nécessaire;</w:t>
      </w:r>
    </w:p>
    <w:p>
      <w:pPr>
        <w:pStyle w:val="Compact"/>
        <w:numPr>
          <w:ilvl w:val="0"/>
          <w:numId w:val="1017"/>
        </w:numPr>
      </w:pPr>
      <w:r>
        <w:t xml:space="preserve">si une correction du pH est requise;</w:t>
      </w:r>
    </w:p>
    <w:p>
      <w:pPr>
        <w:pStyle w:val="Compact"/>
        <w:numPr>
          <w:ilvl w:val="0"/>
          <w:numId w:val="1017"/>
        </w:numPr>
      </w:pPr>
      <w:r>
        <w:t xml:space="preserve">le type de filtration à installer;</w:t>
      </w:r>
    </w:p>
    <w:p>
      <w:pPr>
        <w:pStyle w:val="Compact"/>
        <w:numPr>
          <w:ilvl w:val="0"/>
          <w:numId w:val="1017"/>
        </w:numPr>
      </w:pPr>
      <w:r>
        <w:t xml:space="preserve">les précautions nécessaires pour protéger les goutteurs.</w:t>
      </w:r>
    </w:p>
    <w:p>
      <w:pPr>
        <w:pStyle w:val="FirstParagraph"/>
      </w:pPr>
      <w:r>
        <w:t xml:space="preserve">La salinité, le sodium, les bicarbonates et les éléments responsables du colmatage figurent parmi les paramètres essentiels pour évaluer une eau destinée à l’irrigation goutte-à-goutte.</w:t>
      </w:r>
    </w:p>
    <w:p>
      <w:r>
        <w:pict>
          <v:rect style="width:0;height:1.5pt" o:hralign="center" o:hrstd="t" o:hr="t"/>
        </w:pict>
      </w:r>
    </w:p>
    <w:bookmarkEnd w:id="32"/>
    <w:bookmarkStart w:id="35" w:name="fertilisation-fondée-sur-les-analyses"/>
    <w:p>
      <w:pPr>
        <w:pStyle w:val="Heading2"/>
      </w:pPr>
      <w:r>
        <w:t xml:space="preserve">7. Fertilisation fondée sur les analyses</w:t>
      </w:r>
    </w:p>
    <w:p>
      <w:pPr>
        <w:pStyle w:val="FirstParagraph"/>
      </w:pPr>
      <w:r>
        <w:t xml:space="preserve">Il ne serait pas prudent de fixer une dose définitive de NPK 15-15-15 avant de connaître les caractéristiques réelles du sol de Diakindi.</w:t>
      </w:r>
    </w:p>
    <w:p>
      <w:pPr>
        <w:pStyle w:val="BodyText"/>
      </w:pPr>
      <w:r>
        <w:t xml:space="preserve">Avant la plantation, NigerVerdé devra analyser :</w:t>
      </w:r>
    </w:p>
    <w:p>
      <w:pPr>
        <w:pStyle w:val="Compact"/>
        <w:numPr>
          <w:ilvl w:val="0"/>
          <w:numId w:val="1018"/>
        </w:numPr>
      </w:pPr>
      <w:r>
        <w:t xml:space="preserve">le pH du sol;</w:t>
      </w:r>
    </w:p>
    <w:p>
      <w:pPr>
        <w:pStyle w:val="Compact"/>
        <w:numPr>
          <w:ilvl w:val="0"/>
          <w:numId w:val="1018"/>
        </w:numPr>
      </w:pPr>
      <w:r>
        <w:t xml:space="preserve">la conductivité électrique;</w:t>
      </w:r>
    </w:p>
    <w:p>
      <w:pPr>
        <w:pStyle w:val="Compact"/>
        <w:numPr>
          <w:ilvl w:val="0"/>
          <w:numId w:val="1018"/>
        </w:numPr>
      </w:pPr>
      <w:r>
        <w:t xml:space="preserve">la matière organique;</w:t>
      </w:r>
    </w:p>
    <w:p>
      <w:pPr>
        <w:pStyle w:val="Compact"/>
        <w:numPr>
          <w:ilvl w:val="0"/>
          <w:numId w:val="1018"/>
        </w:numPr>
      </w:pPr>
      <w:r>
        <w:t xml:space="preserve">l’azote disponible;</w:t>
      </w:r>
    </w:p>
    <w:p>
      <w:pPr>
        <w:pStyle w:val="Compact"/>
        <w:numPr>
          <w:ilvl w:val="0"/>
          <w:numId w:val="1018"/>
        </w:numPr>
      </w:pPr>
      <w:r>
        <w:t xml:space="preserve">le phosphore;</w:t>
      </w:r>
    </w:p>
    <w:p>
      <w:pPr>
        <w:pStyle w:val="Compact"/>
        <w:numPr>
          <w:ilvl w:val="0"/>
          <w:numId w:val="1018"/>
        </w:numPr>
      </w:pPr>
      <w:r>
        <w:t xml:space="preserve">le potassium;</w:t>
      </w:r>
    </w:p>
    <w:p>
      <w:pPr>
        <w:pStyle w:val="Compact"/>
        <w:numPr>
          <w:ilvl w:val="0"/>
          <w:numId w:val="1018"/>
        </w:numPr>
      </w:pPr>
      <w:r>
        <w:t xml:space="preserve">le calcium;</w:t>
      </w:r>
    </w:p>
    <w:p>
      <w:pPr>
        <w:pStyle w:val="Compact"/>
        <w:numPr>
          <w:ilvl w:val="0"/>
          <w:numId w:val="1018"/>
        </w:numPr>
      </w:pPr>
      <w:r>
        <w:t xml:space="preserve">le magnésium;</w:t>
      </w:r>
    </w:p>
    <w:p>
      <w:pPr>
        <w:pStyle w:val="Compact"/>
        <w:numPr>
          <w:ilvl w:val="0"/>
          <w:numId w:val="1018"/>
        </w:numPr>
      </w:pPr>
      <w:r>
        <w:t xml:space="preserve">la texture du sol;</w:t>
      </w:r>
    </w:p>
    <w:p>
      <w:pPr>
        <w:pStyle w:val="Compact"/>
        <w:numPr>
          <w:ilvl w:val="0"/>
          <w:numId w:val="1018"/>
        </w:numPr>
      </w:pPr>
      <w:r>
        <w:t xml:space="preserve">sa capacité de rétention d’eau.</w:t>
      </w:r>
    </w:p>
    <w:p>
      <w:pPr>
        <w:pStyle w:val="FirstParagraph"/>
      </w:pPr>
      <w:r>
        <w:t xml:space="preserve">Ces analyses permettront d’éviter :</w:t>
      </w:r>
    </w:p>
    <w:p>
      <w:pPr>
        <w:pStyle w:val="Compact"/>
        <w:numPr>
          <w:ilvl w:val="0"/>
          <w:numId w:val="1019"/>
        </w:numPr>
      </w:pPr>
      <w:r>
        <w:t xml:space="preserve">les apports inutiles;</w:t>
      </w:r>
    </w:p>
    <w:p>
      <w:pPr>
        <w:pStyle w:val="Compact"/>
        <w:numPr>
          <w:ilvl w:val="0"/>
          <w:numId w:val="1019"/>
        </w:numPr>
      </w:pPr>
      <w:r>
        <w:t xml:space="preserve">les dépenses excessives;</w:t>
      </w:r>
    </w:p>
    <w:p>
      <w:pPr>
        <w:pStyle w:val="Compact"/>
        <w:numPr>
          <w:ilvl w:val="0"/>
          <w:numId w:val="1019"/>
        </w:numPr>
      </w:pPr>
      <w:r>
        <w:t xml:space="preserve">les carences;</w:t>
      </w:r>
    </w:p>
    <w:p>
      <w:pPr>
        <w:pStyle w:val="Compact"/>
        <w:numPr>
          <w:ilvl w:val="0"/>
          <w:numId w:val="1019"/>
        </w:numPr>
      </w:pPr>
      <w:r>
        <w:t xml:space="preserve">les déséquilibres nutritifs;</w:t>
      </w:r>
    </w:p>
    <w:p>
      <w:pPr>
        <w:pStyle w:val="Compact"/>
        <w:numPr>
          <w:ilvl w:val="0"/>
          <w:numId w:val="1019"/>
        </w:numPr>
      </w:pPr>
      <w:r>
        <w:t xml:space="preserve">l’accumulation de sels;</w:t>
      </w:r>
    </w:p>
    <w:p>
      <w:pPr>
        <w:pStyle w:val="Compact"/>
        <w:numPr>
          <w:ilvl w:val="0"/>
          <w:numId w:val="1019"/>
        </w:numPr>
      </w:pPr>
      <w:r>
        <w:t xml:space="preserve">les pertes d’engrais par lessivage.</w:t>
      </w:r>
    </w:p>
    <w:bookmarkStart w:id="33" w:name="programme-de-fertilisation-proposé"/>
    <w:p>
      <w:pPr>
        <w:pStyle w:val="Heading3"/>
      </w:pPr>
      <w:r>
        <w:t xml:space="preserve">Programme de fertilisation proposé</w:t>
      </w:r>
    </w:p>
    <w:p>
      <w:pPr>
        <w:pStyle w:val="FirstParagraph"/>
      </w:pPr>
      <w:r>
        <w:t xml:space="preserve">Le plan de fertilisation combinera :</w:t>
      </w:r>
    </w:p>
    <w:p>
      <w:pPr>
        <w:pStyle w:val="Compact"/>
        <w:numPr>
          <w:ilvl w:val="0"/>
          <w:numId w:val="1020"/>
        </w:numPr>
      </w:pPr>
      <w:r>
        <w:t xml:space="preserve">un apport organique avant plantation;</w:t>
      </w:r>
    </w:p>
    <w:p>
      <w:pPr>
        <w:pStyle w:val="Compact"/>
        <w:numPr>
          <w:ilvl w:val="0"/>
          <w:numId w:val="1020"/>
        </w:numPr>
      </w:pPr>
      <w:r>
        <w:t xml:space="preserve">une fertigation minérale fractionnée;</w:t>
      </w:r>
    </w:p>
    <w:p>
      <w:pPr>
        <w:pStyle w:val="Compact"/>
        <w:numPr>
          <w:ilvl w:val="0"/>
          <w:numId w:val="1020"/>
        </w:numPr>
      </w:pPr>
      <w:r>
        <w:t xml:space="preserve">des apports après les récoltes;</w:t>
      </w:r>
    </w:p>
    <w:p>
      <w:pPr>
        <w:pStyle w:val="Compact"/>
        <w:numPr>
          <w:ilvl w:val="0"/>
          <w:numId w:val="1020"/>
        </w:numPr>
      </w:pPr>
      <w:r>
        <w:t xml:space="preserve">des analyses périodiques du sol;</w:t>
      </w:r>
    </w:p>
    <w:p>
      <w:pPr>
        <w:pStyle w:val="Compact"/>
        <w:numPr>
          <w:ilvl w:val="0"/>
          <w:numId w:val="1020"/>
        </w:numPr>
      </w:pPr>
      <w:r>
        <w:t xml:space="preserve">des analyses foliaires lorsque cela est possible.</w:t>
      </w:r>
    </w:p>
    <w:p>
      <w:pPr>
        <w:pStyle w:val="FirstParagraph"/>
      </w:pPr>
      <w:r>
        <w:t xml:space="preserve">Le programme pourra comprendre :</w:t>
      </w:r>
    </w:p>
    <w:p>
      <w:pPr>
        <w:pStyle w:val="Compact"/>
        <w:numPr>
          <w:ilvl w:val="0"/>
          <w:numId w:val="1021"/>
        </w:numPr>
      </w:pPr>
      <w:r>
        <w:t xml:space="preserve">du fumier entièrement composté;</w:t>
      </w:r>
    </w:p>
    <w:p>
      <w:pPr>
        <w:pStyle w:val="Compact"/>
        <w:numPr>
          <w:ilvl w:val="0"/>
          <w:numId w:val="1021"/>
        </w:numPr>
      </w:pPr>
      <w:r>
        <w:t xml:space="preserve">du compost végétal;</w:t>
      </w:r>
    </w:p>
    <w:p>
      <w:pPr>
        <w:pStyle w:val="Compact"/>
        <w:numPr>
          <w:ilvl w:val="0"/>
          <w:numId w:val="1021"/>
        </w:numPr>
      </w:pPr>
      <w:r>
        <w:t xml:space="preserve">des engrais solubles;</w:t>
      </w:r>
    </w:p>
    <w:p>
      <w:pPr>
        <w:pStyle w:val="Compact"/>
        <w:numPr>
          <w:ilvl w:val="0"/>
          <w:numId w:val="1021"/>
        </w:numPr>
      </w:pPr>
      <w:r>
        <w:t xml:space="preserve">du NPK adapté aux résultats d’analyse;</w:t>
      </w:r>
    </w:p>
    <w:p>
      <w:pPr>
        <w:pStyle w:val="Compact"/>
        <w:numPr>
          <w:ilvl w:val="0"/>
          <w:numId w:val="1021"/>
        </w:numPr>
      </w:pPr>
      <w:r>
        <w:t xml:space="preserve">du nitrate de calcium;</w:t>
      </w:r>
    </w:p>
    <w:p>
      <w:pPr>
        <w:pStyle w:val="Compact"/>
        <w:numPr>
          <w:ilvl w:val="0"/>
          <w:numId w:val="1021"/>
        </w:numPr>
      </w:pPr>
      <w:r>
        <w:t xml:space="preserve">du sulfate de magnésium;</w:t>
      </w:r>
    </w:p>
    <w:p>
      <w:pPr>
        <w:pStyle w:val="Compact"/>
        <w:numPr>
          <w:ilvl w:val="0"/>
          <w:numId w:val="1021"/>
        </w:numPr>
      </w:pPr>
      <w:r>
        <w:t xml:space="preserve">des oligo-éléments;</w:t>
      </w:r>
    </w:p>
    <w:p>
      <w:pPr>
        <w:pStyle w:val="Compact"/>
        <w:numPr>
          <w:ilvl w:val="0"/>
          <w:numId w:val="1021"/>
        </w:numPr>
      </w:pPr>
      <w:r>
        <w:t xml:space="preserve">des corrections foliaires ciblées.</w:t>
      </w:r>
    </w:p>
    <w:p>
      <w:pPr>
        <w:pStyle w:val="FirstParagraph"/>
      </w:pPr>
      <w:r>
        <w:t xml:space="preserve">Les fertilisants seront apportés à petites doses fractionnées afin de mieux accompagner la croissance et la repousse.</w:t>
      </w:r>
    </w:p>
    <w:p>
      <w:pPr>
        <w:pStyle w:val="BodyText"/>
      </w:pPr>
      <w:r>
        <w:t xml:space="preserve">Comme une part importante de l’azote et des minéraux est exportée lors de chaque récolte de feuilles, des apports devront être réalisés après les coupes afin de soutenir la repousse.</w:t>
      </w:r>
    </w:p>
    <w:p>
      <w:pPr>
        <w:pStyle w:val="BodyText"/>
      </w:pPr>
      <w:r>
        <w:t xml:space="preserve">Un nouvel apport organique pourra également être programmé au moins une fois par an, notamment avant la période de croissance intense.</w:t>
      </w:r>
    </w:p>
    <w:bookmarkEnd w:id="33"/>
    <w:bookmarkStart w:id="34" w:name="essai-avec-fumier-de-volaille"/>
    <w:p>
      <w:pPr>
        <w:pStyle w:val="Heading3"/>
      </w:pPr>
      <w:r>
        <w:t xml:space="preserve">Essai avec fumier de volaille</w:t>
      </w:r>
    </w:p>
    <w:p>
      <w:pPr>
        <w:pStyle w:val="FirstParagraph"/>
      </w:pPr>
      <w:r>
        <w:t xml:space="preserve">Une étude récente a utilisé un apport de base de</w:t>
      </w:r>
      <w:r>
        <w:t xml:space="preserve"> </w:t>
      </w:r>
      <w:r>
        <w:rPr>
          <w:b/>
          <w:bCs/>
        </w:rPr>
        <w:t xml:space="preserve">5 tonnes de fumier de volaille par hectare</w:t>
      </w:r>
      <w:r>
        <w:t xml:space="preserve">.</w:t>
      </w:r>
    </w:p>
    <w:p>
      <w:pPr>
        <w:pStyle w:val="BodyText"/>
      </w:pPr>
      <w:r>
        <w:t xml:space="preserve">L’équivalent pour 0,5 hectare serait :</w:t>
      </w:r>
    </w:p>
    <w:p>
      <w:pPr>
        <w:pStyle w:val="BodyText"/>
      </w:pPr>
      <w:r>
        <w:t xml:space="preserve">5 tonnes × 0,5 =</w:t>
      </w:r>
      <w:r>
        <w:t xml:space="preserve"> </w:t>
      </w:r>
      <w:r>
        <w:rPr>
          <w:b/>
          <w:bCs/>
        </w:rPr>
        <w:t xml:space="preserve">2,5 tonnes</w:t>
      </w:r>
    </w:p>
    <w:p>
      <w:pPr>
        <w:pStyle w:val="BodyText"/>
      </w:pPr>
      <w:r>
        <w:t xml:space="preserve">Cette quantité pourra servir de</w:t>
      </w:r>
      <w:r>
        <w:t xml:space="preserve"> </w:t>
      </w:r>
      <w:r>
        <w:rPr>
          <w:b/>
          <w:bCs/>
        </w:rPr>
        <w:t xml:space="preserve">traitement expérimental de référence</w:t>
      </w:r>
      <w:r>
        <w:t xml:space="preserve">, mais elle ne devra pas être considérée immédiatement comme la dose définitive pour Diakindi.</w:t>
      </w:r>
    </w:p>
    <w:p>
      <w:pPr>
        <w:pStyle w:val="BodyText"/>
      </w:pPr>
      <w:r>
        <w:t xml:space="preserve">La dose finale dépendra :</w:t>
      </w:r>
    </w:p>
    <w:p>
      <w:pPr>
        <w:pStyle w:val="Compact"/>
        <w:numPr>
          <w:ilvl w:val="0"/>
          <w:numId w:val="1022"/>
        </w:numPr>
      </w:pPr>
      <w:r>
        <w:t xml:space="preserve">de la composition du fumier;</w:t>
      </w:r>
    </w:p>
    <w:p>
      <w:pPr>
        <w:pStyle w:val="Compact"/>
        <w:numPr>
          <w:ilvl w:val="0"/>
          <w:numId w:val="1022"/>
        </w:numPr>
      </w:pPr>
      <w:r>
        <w:t xml:space="preserve">de son niveau de compostage;</w:t>
      </w:r>
    </w:p>
    <w:p>
      <w:pPr>
        <w:pStyle w:val="Compact"/>
        <w:numPr>
          <w:ilvl w:val="0"/>
          <w:numId w:val="1022"/>
        </w:numPr>
      </w:pPr>
      <w:r>
        <w:t xml:space="preserve">de sa teneur en azote;</w:t>
      </w:r>
    </w:p>
    <w:p>
      <w:pPr>
        <w:pStyle w:val="Compact"/>
        <w:numPr>
          <w:ilvl w:val="0"/>
          <w:numId w:val="1022"/>
        </w:numPr>
      </w:pPr>
      <w:r>
        <w:t xml:space="preserve">de sa salinité;</w:t>
      </w:r>
    </w:p>
    <w:p>
      <w:pPr>
        <w:pStyle w:val="Compact"/>
        <w:numPr>
          <w:ilvl w:val="0"/>
          <w:numId w:val="1022"/>
        </w:numPr>
      </w:pPr>
      <w:r>
        <w:t xml:space="preserve">de la fertilité initiale du sol;</w:t>
      </w:r>
    </w:p>
    <w:p>
      <w:pPr>
        <w:pStyle w:val="Compact"/>
        <w:numPr>
          <w:ilvl w:val="0"/>
          <w:numId w:val="1022"/>
        </w:numPr>
      </w:pPr>
      <w:r>
        <w:t xml:space="preserve">des résultats obtenus sur les blocs d’essai.</w:t>
      </w:r>
    </w:p>
    <w:p>
      <w:r>
        <w:pict>
          <v:rect style="width:0;height:1.5pt" o:hralign="center" o:hrstd="t" o:hr="t"/>
        </w:pict>
      </w:r>
    </w:p>
    <w:bookmarkEnd w:id="34"/>
    <w:bookmarkEnd w:id="35"/>
    <w:bookmarkStart w:id="38" w:name="taille-et-conduite-des-plants"/>
    <w:p>
      <w:pPr>
        <w:pStyle w:val="Heading2"/>
      </w:pPr>
      <w:r>
        <w:t xml:space="preserve">8. Taille et conduite des plants</w:t>
      </w:r>
    </w:p>
    <w:p>
      <w:pPr>
        <w:pStyle w:val="FirstParagraph"/>
      </w:pPr>
      <w:r>
        <w:t xml:space="preserve">Le moringa destiné aux feuilles doit être maintenu bas et buissonnant.</w:t>
      </w:r>
    </w:p>
    <w:p>
      <w:pPr>
        <w:pStyle w:val="BodyText"/>
      </w:pPr>
      <w:r>
        <w:t xml:space="preserve">Sans taille, la plante produit de longues branches verticales et les feuilles se concentrent aux extrémités. La récolte devient alors :</w:t>
      </w:r>
    </w:p>
    <w:p>
      <w:pPr>
        <w:pStyle w:val="Compact"/>
        <w:numPr>
          <w:ilvl w:val="0"/>
          <w:numId w:val="1023"/>
        </w:numPr>
      </w:pPr>
      <w:r>
        <w:t xml:space="preserve">plus difficile;</w:t>
      </w:r>
    </w:p>
    <w:p>
      <w:pPr>
        <w:pStyle w:val="Compact"/>
        <w:numPr>
          <w:ilvl w:val="0"/>
          <w:numId w:val="1023"/>
        </w:numPr>
      </w:pPr>
      <w:r>
        <w:t xml:space="preserve">plus lente;</w:t>
      </w:r>
    </w:p>
    <w:p>
      <w:pPr>
        <w:pStyle w:val="Compact"/>
        <w:numPr>
          <w:ilvl w:val="0"/>
          <w:numId w:val="1023"/>
        </w:numPr>
      </w:pPr>
      <w:r>
        <w:t xml:space="preserve">moins régulière;</w:t>
      </w:r>
    </w:p>
    <w:p>
      <w:pPr>
        <w:pStyle w:val="Compact"/>
        <w:numPr>
          <w:ilvl w:val="0"/>
          <w:numId w:val="1023"/>
        </w:numPr>
      </w:pPr>
      <w:r>
        <w:t xml:space="preserve">plus coûteuse;</w:t>
      </w:r>
    </w:p>
    <w:p>
      <w:pPr>
        <w:pStyle w:val="Compact"/>
        <w:numPr>
          <w:ilvl w:val="0"/>
          <w:numId w:val="1023"/>
        </w:numPr>
      </w:pPr>
      <w:r>
        <w:t xml:space="preserve">moins adaptée à une production maraîchère intensive.</w:t>
      </w:r>
    </w:p>
    <w:bookmarkStart w:id="36" w:name="protocole-de-taille"/>
    <w:p>
      <w:pPr>
        <w:pStyle w:val="Heading3"/>
      </w:pPr>
      <w:r>
        <w:t xml:space="preserve">Protocole de taille</w:t>
      </w:r>
    </w:p>
    <w:p>
      <w:pPr>
        <w:pStyle w:val="FirstParagraph"/>
      </w:pPr>
      <w:r>
        <w:t xml:space="preserve">Le protocole recommandé pour NigerVerdé est le suivant :</w:t>
      </w:r>
    </w:p>
    <w:p>
      <w:pPr>
        <w:pStyle w:val="Compact"/>
        <w:numPr>
          <w:ilvl w:val="0"/>
          <w:numId w:val="1024"/>
        </w:numPr>
      </w:pPr>
      <w:r>
        <w:t xml:space="preserve">pincer la tige principale lorsque le plant atteint environ 50 cm à 1 m;</w:t>
      </w:r>
    </w:p>
    <w:p>
      <w:pPr>
        <w:pStyle w:val="Compact"/>
        <w:numPr>
          <w:ilvl w:val="0"/>
          <w:numId w:val="1024"/>
        </w:numPr>
      </w:pPr>
      <w:r>
        <w:t xml:space="preserve">favoriser le développement des branches latérales;</w:t>
      </w:r>
    </w:p>
    <w:p>
      <w:pPr>
        <w:pStyle w:val="Compact"/>
        <w:numPr>
          <w:ilvl w:val="0"/>
          <w:numId w:val="1024"/>
        </w:numPr>
      </w:pPr>
      <w:r>
        <w:t xml:space="preserve">pincer ensuite les branches secondaires;</w:t>
      </w:r>
    </w:p>
    <w:p>
      <w:pPr>
        <w:pStyle w:val="Compact"/>
        <w:numPr>
          <w:ilvl w:val="0"/>
          <w:numId w:val="1024"/>
        </w:numPr>
      </w:pPr>
      <w:r>
        <w:t xml:space="preserve">effectuer les coupes juste au-dessus d’un nœud;</w:t>
      </w:r>
    </w:p>
    <w:p>
      <w:pPr>
        <w:pStyle w:val="Compact"/>
        <w:numPr>
          <w:ilvl w:val="0"/>
          <w:numId w:val="1024"/>
        </w:numPr>
      </w:pPr>
      <w:r>
        <w:t xml:space="preserve">maintenir les plantes basses;</w:t>
      </w:r>
    </w:p>
    <w:p>
      <w:pPr>
        <w:pStyle w:val="Compact"/>
        <w:numPr>
          <w:ilvl w:val="0"/>
          <w:numId w:val="1024"/>
        </w:numPr>
      </w:pPr>
      <w:r>
        <w:t xml:space="preserve">conserver une forme buissonnante;</w:t>
      </w:r>
    </w:p>
    <w:p>
      <w:pPr>
        <w:pStyle w:val="Compact"/>
        <w:numPr>
          <w:ilvl w:val="0"/>
          <w:numId w:val="1024"/>
        </w:numPr>
      </w:pPr>
      <w:r>
        <w:t xml:space="preserve">couper les jeunes pousses plutôt que d’arracher uniquement les feuilles.</w:t>
      </w:r>
    </w:p>
    <w:p>
      <w:pPr>
        <w:pStyle w:val="FirstParagraph"/>
      </w:pPr>
      <w:r>
        <w:t xml:space="preserve">La récolte par coupe joue également le rôle d’une taille d’entretien. Elle stimule l’émission de nouvelles pousses et contribue à maintenir une production régulière.</w:t>
      </w:r>
    </w:p>
    <w:p>
      <w:pPr>
        <w:pStyle w:val="BodyText"/>
      </w:pPr>
      <w:r>
        <w:t xml:space="preserve">La hauteur de coupe pourra être comprise entre environ</w:t>
      </w:r>
      <w:r>
        <w:t xml:space="preserve"> </w:t>
      </w:r>
      <w:r>
        <w:rPr>
          <w:b/>
          <w:bCs/>
        </w:rPr>
        <w:t xml:space="preserve">30 cm et 1 mètre au-dessus du sol</w:t>
      </w:r>
      <w:r>
        <w:t xml:space="preserve">, selon :</w:t>
      </w:r>
    </w:p>
    <w:p>
      <w:pPr>
        <w:pStyle w:val="Compact"/>
        <w:numPr>
          <w:ilvl w:val="0"/>
          <w:numId w:val="1025"/>
        </w:numPr>
      </w:pPr>
      <w:r>
        <w:t xml:space="preserve">l’âge de la plante;</w:t>
      </w:r>
    </w:p>
    <w:p>
      <w:pPr>
        <w:pStyle w:val="Compact"/>
        <w:numPr>
          <w:ilvl w:val="0"/>
          <w:numId w:val="1025"/>
        </w:numPr>
      </w:pPr>
      <w:r>
        <w:t xml:space="preserve">la vigueur;</w:t>
      </w:r>
    </w:p>
    <w:p>
      <w:pPr>
        <w:pStyle w:val="Compact"/>
        <w:numPr>
          <w:ilvl w:val="0"/>
          <w:numId w:val="1025"/>
        </w:numPr>
      </w:pPr>
      <w:r>
        <w:t xml:space="preserve">la saison;</w:t>
      </w:r>
    </w:p>
    <w:p>
      <w:pPr>
        <w:pStyle w:val="Compact"/>
        <w:numPr>
          <w:ilvl w:val="0"/>
          <w:numId w:val="1025"/>
        </w:numPr>
      </w:pPr>
      <w:r>
        <w:t xml:space="preserve">le système de récolte;</w:t>
      </w:r>
    </w:p>
    <w:p>
      <w:pPr>
        <w:pStyle w:val="Compact"/>
        <w:numPr>
          <w:ilvl w:val="0"/>
          <w:numId w:val="1025"/>
        </w:numPr>
      </w:pPr>
      <w:r>
        <w:t xml:space="preserve">la densité;</w:t>
      </w:r>
    </w:p>
    <w:p>
      <w:pPr>
        <w:pStyle w:val="Compact"/>
        <w:numPr>
          <w:ilvl w:val="0"/>
          <w:numId w:val="1025"/>
        </w:numPr>
      </w:pPr>
      <w:r>
        <w:t xml:space="preserve">les résultats observés.</w:t>
      </w:r>
    </w:p>
    <w:bookmarkEnd w:id="36"/>
    <w:bookmarkStart w:id="37" w:name="fiche-de-suivi-par-bloc"/>
    <w:p>
      <w:pPr>
        <w:pStyle w:val="Heading3"/>
      </w:pPr>
      <w:r>
        <w:t xml:space="preserve">Fiche de suivi par bloc</w:t>
      </w:r>
    </w:p>
    <w:p>
      <w:pPr>
        <w:pStyle w:val="FirstParagraph"/>
      </w:pPr>
      <w:r>
        <w:t xml:space="preserve">Chaque bloc devra disposer d’une fiche contenant au minimum :</w:t>
      </w:r>
    </w:p>
    <w:p>
      <w:pPr>
        <w:pStyle w:val="Compact"/>
        <w:numPr>
          <w:ilvl w:val="0"/>
          <w:numId w:val="1026"/>
        </w:numPr>
      </w:pPr>
      <w:r>
        <w:t xml:space="preserve">la date de semis ou de transplantation;</w:t>
      </w:r>
    </w:p>
    <w:p>
      <w:pPr>
        <w:pStyle w:val="Compact"/>
        <w:numPr>
          <w:ilvl w:val="0"/>
          <w:numId w:val="1026"/>
        </w:numPr>
      </w:pPr>
      <w:r>
        <w:t xml:space="preserve">la date de chaque taille;</w:t>
      </w:r>
    </w:p>
    <w:p>
      <w:pPr>
        <w:pStyle w:val="Compact"/>
        <w:numPr>
          <w:ilvl w:val="0"/>
          <w:numId w:val="1026"/>
        </w:numPr>
      </w:pPr>
      <w:r>
        <w:t xml:space="preserve">la hauteur de coupe;</w:t>
      </w:r>
    </w:p>
    <w:p>
      <w:pPr>
        <w:pStyle w:val="Compact"/>
        <w:numPr>
          <w:ilvl w:val="0"/>
          <w:numId w:val="1026"/>
        </w:numPr>
      </w:pPr>
      <w:r>
        <w:t xml:space="preserve">le poids total récolté;</w:t>
      </w:r>
    </w:p>
    <w:p>
      <w:pPr>
        <w:pStyle w:val="Compact"/>
        <w:numPr>
          <w:ilvl w:val="0"/>
          <w:numId w:val="1026"/>
        </w:numPr>
      </w:pPr>
      <w:r>
        <w:t xml:space="preserve">le poids commercialisable;</w:t>
      </w:r>
    </w:p>
    <w:p>
      <w:pPr>
        <w:pStyle w:val="Compact"/>
        <w:numPr>
          <w:ilvl w:val="0"/>
          <w:numId w:val="1026"/>
        </w:numPr>
      </w:pPr>
      <w:r>
        <w:t xml:space="preserve">les pertes;</w:t>
      </w:r>
    </w:p>
    <w:p>
      <w:pPr>
        <w:pStyle w:val="Compact"/>
        <w:numPr>
          <w:ilvl w:val="0"/>
          <w:numId w:val="1026"/>
        </w:numPr>
      </w:pPr>
      <w:r>
        <w:t xml:space="preserve">le nombre de jours avant la récolte suivante;</w:t>
      </w:r>
    </w:p>
    <w:p>
      <w:pPr>
        <w:pStyle w:val="Compact"/>
        <w:numPr>
          <w:ilvl w:val="0"/>
          <w:numId w:val="1026"/>
        </w:numPr>
      </w:pPr>
      <w:r>
        <w:t xml:space="preserve">la quantité d’eau utilisée;</w:t>
      </w:r>
    </w:p>
    <w:p>
      <w:pPr>
        <w:pStyle w:val="Compact"/>
        <w:numPr>
          <w:ilvl w:val="0"/>
          <w:numId w:val="1026"/>
        </w:numPr>
      </w:pPr>
      <w:r>
        <w:t xml:space="preserve">la quantité d’engrais apportée;</w:t>
      </w:r>
    </w:p>
    <w:p>
      <w:pPr>
        <w:pStyle w:val="Compact"/>
        <w:numPr>
          <w:ilvl w:val="0"/>
          <w:numId w:val="1026"/>
        </w:numPr>
      </w:pPr>
      <w:r>
        <w:t xml:space="preserve">les observations sanitaires;</w:t>
      </w:r>
    </w:p>
    <w:p>
      <w:pPr>
        <w:pStyle w:val="Compact"/>
        <w:numPr>
          <w:ilvl w:val="0"/>
          <w:numId w:val="1026"/>
        </w:numPr>
      </w:pPr>
      <w:r>
        <w:t xml:space="preserve">le temps de travail consacré à la récolte.</w:t>
      </w:r>
    </w:p>
    <w:p>
      <w:r>
        <w:pict>
          <v:rect style="width:0;height:1.5pt" o:hralign="center" o:hrstd="t" o:hr="t"/>
        </w:pict>
      </w:r>
    </w:p>
    <w:bookmarkEnd w:id="37"/>
    <w:bookmarkEnd w:id="38"/>
    <w:bookmarkStart w:id="40" w:name="protection-phytosanitaire-intégrée"/>
    <w:p>
      <w:pPr>
        <w:pStyle w:val="Heading2"/>
      </w:pPr>
      <w:r>
        <w:t xml:space="preserve">9. Protection phytosanitaire intégrée</w:t>
      </w:r>
    </w:p>
    <w:p>
      <w:pPr>
        <w:pStyle w:val="FirstParagraph"/>
      </w:pPr>
      <w:r>
        <w:t xml:space="preserve">Les drones ne remplaceront pas les inspections réalisées directement dans la parcelle.</w:t>
      </w:r>
    </w:p>
    <w:p>
      <w:pPr>
        <w:pStyle w:val="BodyText"/>
      </w:pPr>
      <w:r>
        <w:t xml:space="preserve">Une inspection manuelle devra être organisée au moins une fois par semaine, et plus fréquemment lorsque des anomalies sont détectées.</w:t>
      </w:r>
    </w:p>
    <w:p>
      <w:pPr>
        <w:pStyle w:val="BodyText"/>
      </w:pPr>
      <w:r>
        <w:t xml:space="preserve">Les problèmes potentiels comprennent notamment :</w:t>
      </w:r>
    </w:p>
    <w:p>
      <w:pPr>
        <w:pStyle w:val="Compact"/>
        <w:numPr>
          <w:ilvl w:val="0"/>
          <w:numId w:val="1027"/>
        </w:numPr>
      </w:pPr>
      <w:r>
        <w:t xml:space="preserve">les chenilles;</w:t>
      </w:r>
    </w:p>
    <w:p>
      <w:pPr>
        <w:pStyle w:val="Compact"/>
        <w:numPr>
          <w:ilvl w:val="0"/>
          <w:numId w:val="1027"/>
        </w:numPr>
      </w:pPr>
      <w:r>
        <w:t xml:space="preserve">les criquets;</w:t>
      </w:r>
    </w:p>
    <w:p>
      <w:pPr>
        <w:pStyle w:val="Compact"/>
        <w:numPr>
          <w:ilvl w:val="0"/>
          <w:numId w:val="1027"/>
        </w:numPr>
      </w:pPr>
      <w:r>
        <w:t xml:space="preserve">les grillons;</w:t>
      </w:r>
    </w:p>
    <w:p>
      <w:pPr>
        <w:pStyle w:val="Compact"/>
        <w:numPr>
          <w:ilvl w:val="0"/>
          <w:numId w:val="1027"/>
        </w:numPr>
      </w:pPr>
      <w:r>
        <w:t xml:space="preserve">les termites;</w:t>
      </w:r>
    </w:p>
    <w:p>
      <w:pPr>
        <w:pStyle w:val="Compact"/>
        <w:numPr>
          <w:ilvl w:val="0"/>
          <w:numId w:val="1027"/>
        </w:numPr>
      </w:pPr>
      <w:r>
        <w:t xml:space="preserve">certaines maladies fongiques;</w:t>
      </w:r>
    </w:p>
    <w:p>
      <w:pPr>
        <w:pStyle w:val="Compact"/>
        <w:numPr>
          <w:ilvl w:val="0"/>
          <w:numId w:val="1027"/>
        </w:numPr>
      </w:pPr>
      <w:r>
        <w:t xml:space="preserve">les pourritures racinaires;</w:t>
      </w:r>
    </w:p>
    <w:p>
      <w:pPr>
        <w:pStyle w:val="Compact"/>
        <w:numPr>
          <w:ilvl w:val="0"/>
          <w:numId w:val="1027"/>
        </w:numPr>
      </w:pPr>
      <w:r>
        <w:t xml:space="preserve">les dégâts associés à une irrigation excessive.</w:t>
      </w:r>
    </w:p>
    <w:p>
      <w:pPr>
        <w:pStyle w:val="FirstParagraph"/>
      </w:pPr>
      <w:r>
        <w:t xml:space="preserve">Une attention particulière sera accordée aux nouvelles pousses, car certaines chenilles peuvent se développer au centre de la végétation avant que les dégâts ne deviennent visibles à distance.</w:t>
      </w:r>
    </w:p>
    <w:bookmarkStart w:id="39" w:name="approche-intégrée-proposée"/>
    <w:p>
      <w:pPr>
        <w:pStyle w:val="Heading3"/>
      </w:pPr>
      <w:r>
        <w:t xml:space="preserve">Approche intégrée proposée</w:t>
      </w:r>
    </w:p>
    <w:p>
      <w:pPr>
        <w:pStyle w:val="FirstParagraph"/>
      </w:pPr>
      <w:r>
        <w:t xml:space="preserve">NigerVerdé utilisera une combinaison de méthodes :</w:t>
      </w:r>
    </w:p>
    <w:p>
      <w:pPr>
        <w:pStyle w:val="Compact"/>
        <w:numPr>
          <w:ilvl w:val="0"/>
          <w:numId w:val="1028"/>
        </w:numPr>
      </w:pPr>
      <w:r>
        <w:t xml:space="preserve">observation par drone;</w:t>
      </w:r>
    </w:p>
    <w:p>
      <w:pPr>
        <w:pStyle w:val="Compact"/>
        <w:numPr>
          <w:ilvl w:val="0"/>
          <w:numId w:val="1028"/>
        </w:numPr>
      </w:pPr>
      <w:r>
        <w:t xml:space="preserve">vérification manuelle au sol;</w:t>
      </w:r>
    </w:p>
    <w:p>
      <w:pPr>
        <w:pStyle w:val="Compact"/>
        <w:numPr>
          <w:ilvl w:val="0"/>
          <w:numId w:val="1028"/>
        </w:numPr>
      </w:pPr>
      <w:r>
        <w:t xml:space="preserve">retrait des parties fortement atteintes;</w:t>
      </w:r>
    </w:p>
    <w:p>
      <w:pPr>
        <w:pStyle w:val="Compact"/>
        <w:numPr>
          <w:ilvl w:val="0"/>
          <w:numId w:val="1028"/>
        </w:numPr>
      </w:pPr>
      <w:r>
        <w:t xml:space="preserve">destruction contrôlée des résidus contaminés;</w:t>
      </w:r>
    </w:p>
    <w:p>
      <w:pPr>
        <w:pStyle w:val="Compact"/>
        <w:numPr>
          <w:ilvl w:val="0"/>
          <w:numId w:val="1028"/>
        </w:numPr>
      </w:pPr>
      <w:r>
        <w:t xml:space="preserve">amélioration du drainage;</w:t>
      </w:r>
    </w:p>
    <w:p>
      <w:pPr>
        <w:pStyle w:val="Compact"/>
        <w:numPr>
          <w:ilvl w:val="0"/>
          <w:numId w:val="1028"/>
        </w:numPr>
      </w:pPr>
      <w:r>
        <w:t xml:space="preserve">réduction de l’humidité excessive;</w:t>
      </w:r>
    </w:p>
    <w:p>
      <w:pPr>
        <w:pStyle w:val="Compact"/>
        <w:numPr>
          <w:ilvl w:val="0"/>
          <w:numId w:val="1028"/>
        </w:numPr>
      </w:pPr>
      <w:r>
        <w:t xml:space="preserve">utilisation raisonnée du neem;</w:t>
      </w:r>
    </w:p>
    <w:p>
      <w:pPr>
        <w:pStyle w:val="Compact"/>
        <w:numPr>
          <w:ilvl w:val="0"/>
          <w:numId w:val="1028"/>
        </w:numPr>
      </w:pPr>
      <w:r>
        <w:t xml:space="preserve">recours à des produits biologiques homologués;</w:t>
      </w:r>
    </w:p>
    <w:p>
      <w:pPr>
        <w:pStyle w:val="Compact"/>
        <w:numPr>
          <w:ilvl w:val="0"/>
          <w:numId w:val="1028"/>
        </w:numPr>
      </w:pPr>
      <w:r>
        <w:t xml:space="preserve">traitement ciblé des zones affectées;</w:t>
      </w:r>
    </w:p>
    <w:p>
      <w:pPr>
        <w:pStyle w:val="Compact"/>
        <w:numPr>
          <w:ilvl w:val="0"/>
          <w:numId w:val="1028"/>
        </w:numPr>
      </w:pPr>
      <w:r>
        <w:t xml:space="preserve">suivi après intervention.</w:t>
      </w:r>
    </w:p>
    <w:p>
      <w:pPr>
        <w:pStyle w:val="FirstParagraph"/>
      </w:pPr>
      <w:r>
        <w:t xml:space="preserve">Le drone ne devra pas servir uniquement à pulvériser.</w:t>
      </w:r>
    </w:p>
    <w:p>
      <w:pPr>
        <w:pStyle w:val="BodyText"/>
      </w:pPr>
      <w:r>
        <w:t xml:space="preserve">Son rôle principal sera également de produire régulièrement des cartes montrant les variations de :</w:t>
      </w:r>
    </w:p>
    <w:p>
      <w:pPr>
        <w:pStyle w:val="Compact"/>
        <w:numPr>
          <w:ilvl w:val="0"/>
          <w:numId w:val="1029"/>
        </w:numPr>
      </w:pPr>
      <w:r>
        <w:t xml:space="preserve">vigueur;</w:t>
      </w:r>
    </w:p>
    <w:p>
      <w:pPr>
        <w:pStyle w:val="Compact"/>
        <w:numPr>
          <w:ilvl w:val="0"/>
          <w:numId w:val="1029"/>
        </w:numPr>
      </w:pPr>
      <w:r>
        <w:t xml:space="preserve">croissance;</w:t>
      </w:r>
    </w:p>
    <w:p>
      <w:pPr>
        <w:pStyle w:val="Compact"/>
        <w:numPr>
          <w:ilvl w:val="0"/>
          <w:numId w:val="1029"/>
        </w:numPr>
      </w:pPr>
      <w:r>
        <w:t xml:space="preserve">couverture végétale;</w:t>
      </w:r>
    </w:p>
    <w:p>
      <w:pPr>
        <w:pStyle w:val="Compact"/>
        <w:numPr>
          <w:ilvl w:val="0"/>
          <w:numId w:val="1029"/>
        </w:numPr>
      </w:pPr>
      <w:r>
        <w:t xml:space="preserve">humidité;</w:t>
      </w:r>
    </w:p>
    <w:p>
      <w:pPr>
        <w:pStyle w:val="Compact"/>
        <w:numPr>
          <w:ilvl w:val="0"/>
          <w:numId w:val="1029"/>
        </w:numPr>
      </w:pPr>
      <w:r>
        <w:t xml:space="preserve">stress;</w:t>
      </w:r>
    </w:p>
    <w:p>
      <w:pPr>
        <w:pStyle w:val="Compact"/>
        <w:numPr>
          <w:ilvl w:val="0"/>
          <w:numId w:val="1029"/>
        </w:numPr>
      </w:pPr>
      <w:r>
        <w:t xml:space="preserve">développement irrégulier.</w:t>
      </w:r>
    </w:p>
    <w:p>
      <w:pPr>
        <w:pStyle w:val="FirstParagraph"/>
      </w:pPr>
      <w:r>
        <w:t xml:space="preserve">Chaque anomalie détectée devra être vérifiée au sol avant de déclencher un traitement.</w:t>
      </w:r>
    </w:p>
    <w:p>
      <w:r>
        <w:pict>
          <v:rect style="width:0;height:1.5pt" o:hralign="center" o:hrstd="t" o:hr="t"/>
        </w:pict>
      </w:r>
    </w:p>
    <w:bookmarkEnd w:id="39"/>
    <w:bookmarkEnd w:id="40"/>
    <w:bookmarkStart w:id="41" w:name="récolte-et-manutention"/>
    <w:p>
      <w:pPr>
        <w:pStyle w:val="Heading2"/>
      </w:pPr>
      <w:r>
        <w:t xml:space="preserve">10. Récolte et manutention</w:t>
      </w:r>
    </w:p>
    <w:p>
      <w:pPr>
        <w:pStyle w:val="FirstParagraph"/>
      </w:pPr>
      <w:r>
        <w:t xml:space="preserve">Les feuilles seront récoltées pendant les heures les plus fraîches de la journée, mais seulement après la disparition de la rosée.</w:t>
      </w:r>
    </w:p>
    <w:p>
      <w:pPr>
        <w:pStyle w:val="BodyText"/>
      </w:pPr>
      <w:r>
        <w:t xml:space="preserve">Cette organisation permettra de limiter :</w:t>
      </w:r>
    </w:p>
    <w:p>
      <w:pPr>
        <w:pStyle w:val="Compact"/>
        <w:numPr>
          <w:ilvl w:val="0"/>
          <w:numId w:val="1030"/>
        </w:numPr>
      </w:pPr>
      <w:r>
        <w:t xml:space="preserve">l’échauffement;</w:t>
      </w:r>
    </w:p>
    <w:p>
      <w:pPr>
        <w:pStyle w:val="Compact"/>
        <w:numPr>
          <w:ilvl w:val="0"/>
          <w:numId w:val="1030"/>
        </w:numPr>
      </w:pPr>
      <w:r>
        <w:t xml:space="preserve">la perte d’humidité;</w:t>
      </w:r>
    </w:p>
    <w:p>
      <w:pPr>
        <w:pStyle w:val="Compact"/>
        <w:numPr>
          <w:ilvl w:val="0"/>
          <w:numId w:val="1030"/>
        </w:numPr>
      </w:pPr>
      <w:r>
        <w:t xml:space="preserve">la détérioration;</w:t>
      </w:r>
    </w:p>
    <w:p>
      <w:pPr>
        <w:pStyle w:val="Compact"/>
        <w:numPr>
          <w:ilvl w:val="0"/>
          <w:numId w:val="1030"/>
        </w:numPr>
      </w:pPr>
      <w:r>
        <w:t xml:space="preserve">le développement de moisissures;</w:t>
      </w:r>
    </w:p>
    <w:p>
      <w:pPr>
        <w:pStyle w:val="Compact"/>
        <w:numPr>
          <w:ilvl w:val="0"/>
          <w:numId w:val="1030"/>
        </w:numPr>
      </w:pPr>
      <w:r>
        <w:t xml:space="preserve">la baisse de qualité.</w:t>
      </w:r>
    </w:p>
    <w:p>
      <w:pPr>
        <w:pStyle w:val="FirstParagraph"/>
      </w:pPr>
      <w:r>
        <w:t xml:space="preserve">Les feuilles devront être :</w:t>
      </w:r>
    </w:p>
    <w:p>
      <w:pPr>
        <w:pStyle w:val="Compact"/>
        <w:numPr>
          <w:ilvl w:val="0"/>
          <w:numId w:val="1031"/>
        </w:numPr>
      </w:pPr>
      <w:r>
        <w:t xml:space="preserve">manipulées avec précaution;</w:t>
      </w:r>
    </w:p>
    <w:p>
      <w:pPr>
        <w:pStyle w:val="Compact"/>
        <w:numPr>
          <w:ilvl w:val="0"/>
          <w:numId w:val="1031"/>
        </w:numPr>
      </w:pPr>
      <w:r>
        <w:t xml:space="preserve">placées dans des caisses perforées;</w:t>
      </w:r>
    </w:p>
    <w:p>
      <w:pPr>
        <w:pStyle w:val="Compact"/>
        <w:numPr>
          <w:ilvl w:val="0"/>
          <w:numId w:val="1031"/>
        </w:numPr>
      </w:pPr>
      <w:r>
        <w:t xml:space="preserve">protégées du soleil;</w:t>
      </w:r>
    </w:p>
    <w:p>
      <w:pPr>
        <w:pStyle w:val="Compact"/>
        <w:numPr>
          <w:ilvl w:val="0"/>
          <w:numId w:val="1031"/>
        </w:numPr>
      </w:pPr>
      <w:r>
        <w:t xml:space="preserve">transportées rapidement;</w:t>
      </w:r>
    </w:p>
    <w:p>
      <w:pPr>
        <w:pStyle w:val="Compact"/>
        <w:numPr>
          <w:ilvl w:val="0"/>
          <w:numId w:val="1031"/>
        </w:numPr>
      </w:pPr>
      <w:r>
        <w:t xml:space="preserve">non comprimées;</w:t>
      </w:r>
    </w:p>
    <w:p>
      <w:pPr>
        <w:pStyle w:val="Compact"/>
        <w:numPr>
          <w:ilvl w:val="0"/>
          <w:numId w:val="1031"/>
        </w:numPr>
      </w:pPr>
      <w:r>
        <w:t xml:space="preserve">triées dès leur arrivée dans l’espace de traitement.</w:t>
      </w:r>
    </w:p>
    <w:p>
      <w:pPr>
        <w:pStyle w:val="FirstParagraph"/>
      </w:pPr>
      <w:r>
        <w:t xml:space="preserve">Les feuilles fraîches destinées à la vente devront être conditionnées et livrées rapidement.</w:t>
      </w:r>
    </w:p>
    <w:p>
      <w:r>
        <w:pict>
          <v:rect style="width:0;height:1.5pt" o:hralign="center" o:hrstd="t" o:hr="t"/>
        </w:pict>
      </w:r>
    </w:p>
    <w:bookmarkEnd w:id="41"/>
    <w:bookmarkStart w:id="43" w:name="transformation-du-surplus-en-poudre"/>
    <w:p>
      <w:pPr>
        <w:pStyle w:val="Heading2"/>
      </w:pPr>
      <w:r>
        <w:t xml:space="preserve">11. Transformation du surplus en poudre</w:t>
      </w:r>
    </w:p>
    <w:p>
      <w:pPr>
        <w:pStyle w:val="FirstParagraph"/>
      </w:pPr>
      <w:r>
        <w:t xml:space="preserve">Le surplus de feuilles sera transformé afin de réduire les pertes et d’augmenter la valeur ajoutée.</w:t>
      </w:r>
    </w:p>
    <w:p>
      <w:pPr>
        <w:pStyle w:val="BodyText"/>
      </w:pPr>
      <w:r>
        <w:t xml:space="preserve">La transformation devra commencer rapidement après la récolte.</w:t>
      </w:r>
    </w:p>
    <w:p>
      <w:pPr>
        <w:pStyle w:val="BodyText"/>
      </w:pPr>
      <w:r>
        <w:t xml:space="preserve">Les principales étapes seront :</w:t>
      </w:r>
    </w:p>
    <w:p>
      <w:pPr>
        <w:pStyle w:val="Compact"/>
        <w:numPr>
          <w:ilvl w:val="0"/>
          <w:numId w:val="1032"/>
        </w:numPr>
      </w:pPr>
      <w:r>
        <w:t xml:space="preserve">tri des feuilles;</w:t>
      </w:r>
    </w:p>
    <w:p>
      <w:pPr>
        <w:pStyle w:val="Compact"/>
        <w:numPr>
          <w:ilvl w:val="0"/>
          <w:numId w:val="1032"/>
        </w:numPr>
      </w:pPr>
      <w:r>
        <w:t xml:space="preserve">élimination des feuilles malades ou endommagées;</w:t>
      </w:r>
    </w:p>
    <w:p>
      <w:pPr>
        <w:pStyle w:val="Compact"/>
        <w:numPr>
          <w:ilvl w:val="0"/>
          <w:numId w:val="1032"/>
        </w:numPr>
      </w:pPr>
      <w:r>
        <w:t xml:space="preserve">lavage dans des conditions hygiéniques;</w:t>
      </w:r>
    </w:p>
    <w:p>
      <w:pPr>
        <w:pStyle w:val="Compact"/>
        <w:numPr>
          <w:ilvl w:val="0"/>
          <w:numId w:val="1032"/>
        </w:numPr>
      </w:pPr>
      <w:r>
        <w:t xml:space="preserve">égouttage;</w:t>
      </w:r>
    </w:p>
    <w:p>
      <w:pPr>
        <w:pStyle w:val="Compact"/>
        <w:numPr>
          <w:ilvl w:val="0"/>
          <w:numId w:val="1032"/>
        </w:numPr>
      </w:pPr>
      <w:r>
        <w:t xml:space="preserve">séchage;</w:t>
      </w:r>
    </w:p>
    <w:p>
      <w:pPr>
        <w:pStyle w:val="Compact"/>
        <w:numPr>
          <w:ilvl w:val="0"/>
          <w:numId w:val="1032"/>
        </w:numPr>
      </w:pPr>
      <w:r>
        <w:t xml:space="preserve">broyage;</w:t>
      </w:r>
    </w:p>
    <w:p>
      <w:pPr>
        <w:pStyle w:val="Compact"/>
        <w:numPr>
          <w:ilvl w:val="0"/>
          <w:numId w:val="1032"/>
        </w:numPr>
      </w:pPr>
      <w:r>
        <w:t xml:space="preserve">tamisage;</w:t>
      </w:r>
    </w:p>
    <w:p>
      <w:pPr>
        <w:pStyle w:val="Compact"/>
        <w:numPr>
          <w:ilvl w:val="0"/>
          <w:numId w:val="1032"/>
        </w:numPr>
      </w:pPr>
      <w:r>
        <w:t xml:space="preserve">conditionnement;</w:t>
      </w:r>
    </w:p>
    <w:p>
      <w:pPr>
        <w:pStyle w:val="Compact"/>
        <w:numPr>
          <w:ilvl w:val="0"/>
          <w:numId w:val="1032"/>
        </w:numPr>
      </w:pPr>
      <w:r>
        <w:t xml:space="preserve">étiquetage;</w:t>
      </w:r>
    </w:p>
    <w:p>
      <w:pPr>
        <w:pStyle w:val="Compact"/>
        <w:numPr>
          <w:ilvl w:val="0"/>
          <w:numId w:val="1032"/>
        </w:numPr>
      </w:pPr>
      <w:r>
        <w:t xml:space="preserve">stockage.</w:t>
      </w:r>
    </w:p>
    <w:bookmarkStart w:id="42" w:name="séchage"/>
    <w:p>
      <w:pPr>
        <w:pStyle w:val="Heading3"/>
      </w:pPr>
      <w:r>
        <w:t xml:space="preserve">Séchage</w:t>
      </w:r>
    </w:p>
    <w:p>
      <w:pPr>
        <w:pStyle w:val="FirstParagraph"/>
      </w:pPr>
      <w:r>
        <w:t xml:space="preserve">NigerVerdé devra utiliser un séchoir solaire protégé contre :</w:t>
      </w:r>
    </w:p>
    <w:p>
      <w:pPr>
        <w:pStyle w:val="Compact"/>
        <w:numPr>
          <w:ilvl w:val="0"/>
          <w:numId w:val="1033"/>
        </w:numPr>
      </w:pPr>
      <w:r>
        <w:t xml:space="preserve">la poussière;</w:t>
      </w:r>
    </w:p>
    <w:p>
      <w:pPr>
        <w:pStyle w:val="Compact"/>
        <w:numPr>
          <w:ilvl w:val="0"/>
          <w:numId w:val="1033"/>
        </w:numPr>
      </w:pPr>
      <w:r>
        <w:t xml:space="preserve">les insectes;</w:t>
      </w:r>
    </w:p>
    <w:p>
      <w:pPr>
        <w:pStyle w:val="Compact"/>
        <w:numPr>
          <w:ilvl w:val="0"/>
          <w:numId w:val="1033"/>
        </w:numPr>
      </w:pPr>
      <w:r>
        <w:t xml:space="preserve">les oiseaux;</w:t>
      </w:r>
    </w:p>
    <w:p>
      <w:pPr>
        <w:pStyle w:val="Compact"/>
        <w:numPr>
          <w:ilvl w:val="0"/>
          <w:numId w:val="1033"/>
        </w:numPr>
      </w:pPr>
      <w:r>
        <w:t xml:space="preserve">la pluie;</w:t>
      </w:r>
    </w:p>
    <w:p>
      <w:pPr>
        <w:pStyle w:val="Compact"/>
        <w:numPr>
          <w:ilvl w:val="0"/>
          <w:numId w:val="1033"/>
        </w:numPr>
      </w:pPr>
      <w:r>
        <w:t xml:space="preserve">les contacts avec le sol;</w:t>
      </w:r>
    </w:p>
    <w:p>
      <w:pPr>
        <w:pStyle w:val="Compact"/>
        <w:numPr>
          <w:ilvl w:val="0"/>
          <w:numId w:val="1033"/>
        </w:numPr>
      </w:pPr>
      <w:r>
        <w:t xml:space="preserve">les contaminations extérieures.</w:t>
      </w:r>
    </w:p>
    <w:p>
      <w:pPr>
        <w:pStyle w:val="FirstParagraph"/>
      </w:pPr>
      <w:r>
        <w:t xml:space="preserve">La température de séchage devra être maintenue approximativement entre :</w:t>
      </w:r>
    </w:p>
    <w:p>
      <w:pPr>
        <w:pStyle w:val="BlockText"/>
      </w:pPr>
      <w:r>
        <w:rPr>
          <w:b/>
          <w:bCs/>
        </w:rPr>
        <w:t xml:space="preserve">35 et 55 °C</w:t>
      </w:r>
    </w:p>
    <w:p>
      <w:pPr>
        <w:pStyle w:val="FirstParagraph"/>
      </w:pPr>
      <w:r>
        <w:t xml:space="preserve">Elle ne devra pas dépasser 55 °C afin de limiter la dégradation de la qualité nutritionnelle et visuelle.</w:t>
      </w:r>
    </w:p>
    <w:p>
      <w:pPr>
        <w:pStyle w:val="BodyText"/>
      </w:pPr>
      <w:r>
        <w:t xml:space="preserve">L’objectif sera d’obtenir une humidité finale inférieure à :</w:t>
      </w:r>
    </w:p>
    <w:p>
      <w:pPr>
        <w:pStyle w:val="BlockText"/>
      </w:pPr>
      <w:r>
        <w:rPr>
          <w:b/>
          <w:bCs/>
        </w:rPr>
        <w:t xml:space="preserve">10 %</w:t>
      </w:r>
    </w:p>
    <w:p>
      <w:pPr>
        <w:pStyle w:val="FirstParagraph"/>
      </w:pPr>
      <w:r>
        <w:t xml:space="preserve">La poudre devra être emballée dans des contenants :</w:t>
      </w:r>
    </w:p>
    <w:p>
      <w:pPr>
        <w:pStyle w:val="Compact"/>
        <w:numPr>
          <w:ilvl w:val="0"/>
          <w:numId w:val="1034"/>
        </w:numPr>
      </w:pPr>
      <w:r>
        <w:t xml:space="preserve">propres;</w:t>
      </w:r>
    </w:p>
    <w:p>
      <w:pPr>
        <w:pStyle w:val="Compact"/>
        <w:numPr>
          <w:ilvl w:val="0"/>
          <w:numId w:val="1034"/>
        </w:numPr>
      </w:pPr>
      <w:r>
        <w:t xml:space="preserve">opaques;</w:t>
      </w:r>
    </w:p>
    <w:p>
      <w:pPr>
        <w:pStyle w:val="Compact"/>
        <w:numPr>
          <w:ilvl w:val="0"/>
          <w:numId w:val="1034"/>
        </w:numPr>
      </w:pPr>
      <w:r>
        <w:t xml:space="preserve">hermétiques;</w:t>
      </w:r>
    </w:p>
    <w:p>
      <w:pPr>
        <w:pStyle w:val="Compact"/>
        <w:numPr>
          <w:ilvl w:val="0"/>
          <w:numId w:val="1034"/>
        </w:numPr>
      </w:pPr>
      <w:r>
        <w:t xml:space="preserve">adaptés au contact alimentaire;</w:t>
      </w:r>
    </w:p>
    <w:p>
      <w:pPr>
        <w:pStyle w:val="Compact"/>
        <w:numPr>
          <w:ilvl w:val="0"/>
          <w:numId w:val="1034"/>
        </w:numPr>
      </w:pPr>
      <w:r>
        <w:t xml:space="preserve">protégés de la chaleur et de l’humidité.</w:t>
      </w:r>
    </w:p>
    <w:p>
      <w:pPr>
        <w:pStyle w:val="FirstParagraph"/>
      </w:pPr>
      <w:r>
        <w:t xml:space="preserve">L’installation d’un séchoir solaire hygiénique est particulièrement importante pendant l’hivernage, lorsque le séchage naturel à l’air libre devient plus lent et moins fiable.</w:t>
      </w:r>
    </w:p>
    <w:p>
      <w:r>
        <w:pict>
          <v:rect style="width:0;height:1.5pt" o:hralign="center" o:hrstd="t" o:hr="t"/>
        </w:pict>
      </w:r>
    </w:p>
    <w:bookmarkEnd w:id="42"/>
    <w:bookmarkEnd w:id="43"/>
    <w:bookmarkStart w:id="49" w:name="mise-en-œuvre-prioritaire"/>
    <w:p>
      <w:pPr>
        <w:pStyle w:val="Heading2"/>
      </w:pPr>
      <w:r>
        <w:t xml:space="preserve">12. Mise en œuvre prioritaire</w:t>
      </w:r>
    </w:p>
    <w:p>
      <w:pPr>
        <w:pStyle w:val="FirstParagraph"/>
      </w:pPr>
      <w:r>
        <w:t xml:space="preserve">Les cinq premières actions recommandées pour NigerVerdé sont :</w:t>
      </w:r>
    </w:p>
    <w:bookmarkStart w:id="44" w:name="action-1-analyser-le-sol-et-leau"/>
    <w:p>
      <w:pPr>
        <w:pStyle w:val="Heading3"/>
      </w:pPr>
      <w:r>
        <w:t xml:space="preserve">Action 1 — Analyser le sol et l’eau</w:t>
      </w:r>
    </w:p>
    <w:p>
      <w:pPr>
        <w:pStyle w:val="FirstParagraph"/>
      </w:pPr>
      <w:r>
        <w:t xml:space="preserve">Effectuer les analyses avant de fixer :</w:t>
      </w:r>
    </w:p>
    <w:p>
      <w:pPr>
        <w:pStyle w:val="Compact"/>
        <w:numPr>
          <w:ilvl w:val="0"/>
          <w:numId w:val="1035"/>
        </w:numPr>
      </w:pPr>
      <w:r>
        <w:t xml:space="preserve">les doses d’engrais;</w:t>
      </w:r>
    </w:p>
    <w:p>
      <w:pPr>
        <w:pStyle w:val="Compact"/>
        <w:numPr>
          <w:ilvl w:val="0"/>
          <w:numId w:val="1035"/>
        </w:numPr>
      </w:pPr>
      <w:r>
        <w:t xml:space="preserve">le programme de fertigation;</w:t>
      </w:r>
    </w:p>
    <w:p>
      <w:pPr>
        <w:pStyle w:val="Compact"/>
        <w:numPr>
          <w:ilvl w:val="0"/>
          <w:numId w:val="1035"/>
        </w:numPr>
      </w:pPr>
      <w:r>
        <w:t xml:space="preserve">le système de filtration;</w:t>
      </w:r>
    </w:p>
    <w:p>
      <w:pPr>
        <w:pStyle w:val="Compact"/>
        <w:numPr>
          <w:ilvl w:val="0"/>
          <w:numId w:val="1035"/>
        </w:numPr>
      </w:pPr>
      <w:r>
        <w:t xml:space="preserve">les besoins de correction du pH;</w:t>
      </w:r>
    </w:p>
    <w:p>
      <w:pPr>
        <w:pStyle w:val="Compact"/>
        <w:numPr>
          <w:ilvl w:val="0"/>
          <w:numId w:val="1035"/>
        </w:numPr>
      </w:pPr>
      <w:r>
        <w:t xml:space="preserve">le calendrier d’irrigation.</w:t>
      </w:r>
    </w:p>
    <w:bookmarkEnd w:id="44"/>
    <w:bookmarkStart w:id="45" w:name="action-2-aménager-la-parcelle"/>
    <w:p>
      <w:pPr>
        <w:pStyle w:val="Heading3"/>
      </w:pPr>
      <w:r>
        <w:t xml:space="preserve">Action 2 — Aménager la parcelle</w:t>
      </w:r>
    </w:p>
    <w:p>
      <w:pPr>
        <w:pStyle w:val="FirstParagraph"/>
      </w:pPr>
      <w:r>
        <w:t xml:space="preserve">Mettre en place avant le semis :</w:t>
      </w:r>
    </w:p>
    <w:p>
      <w:pPr>
        <w:pStyle w:val="Compact"/>
        <w:numPr>
          <w:ilvl w:val="0"/>
          <w:numId w:val="1036"/>
        </w:numPr>
      </w:pPr>
      <w:r>
        <w:t xml:space="preserve">les quatre blocs;</w:t>
      </w:r>
    </w:p>
    <w:p>
      <w:pPr>
        <w:pStyle w:val="Compact"/>
        <w:numPr>
          <w:ilvl w:val="0"/>
          <w:numId w:val="1036"/>
        </w:numPr>
      </w:pPr>
      <w:r>
        <w:t xml:space="preserve">les allées;</w:t>
      </w:r>
    </w:p>
    <w:p>
      <w:pPr>
        <w:pStyle w:val="Compact"/>
        <w:numPr>
          <w:ilvl w:val="0"/>
          <w:numId w:val="1036"/>
        </w:numPr>
      </w:pPr>
      <w:r>
        <w:t xml:space="preserve">les drains;</w:t>
      </w:r>
    </w:p>
    <w:p>
      <w:pPr>
        <w:pStyle w:val="Compact"/>
        <w:numPr>
          <w:ilvl w:val="0"/>
          <w:numId w:val="1036"/>
        </w:numPr>
      </w:pPr>
      <w:r>
        <w:t xml:space="preserve">les zones de travail;</w:t>
      </w:r>
    </w:p>
    <w:p>
      <w:pPr>
        <w:pStyle w:val="Compact"/>
        <w:numPr>
          <w:ilvl w:val="0"/>
          <w:numId w:val="1036"/>
        </w:numPr>
      </w:pPr>
      <w:r>
        <w:t xml:space="preserve">les vannes;</w:t>
      </w:r>
    </w:p>
    <w:p>
      <w:pPr>
        <w:pStyle w:val="Compact"/>
        <w:numPr>
          <w:ilvl w:val="0"/>
          <w:numId w:val="1036"/>
        </w:numPr>
      </w:pPr>
      <w:r>
        <w:t xml:space="preserve">les conduites;</w:t>
      </w:r>
    </w:p>
    <w:p>
      <w:pPr>
        <w:pStyle w:val="Compact"/>
        <w:numPr>
          <w:ilvl w:val="0"/>
          <w:numId w:val="1036"/>
        </w:numPr>
      </w:pPr>
      <w:r>
        <w:t xml:space="preserve">les points de mesure.</w:t>
      </w:r>
    </w:p>
    <w:bookmarkEnd w:id="45"/>
    <w:bookmarkStart w:id="46" w:name="Xb7ed00a1ce8eb8be98b6202f3fe7b9cbf0aa634"/>
    <w:p>
      <w:pPr>
        <w:pStyle w:val="Heading3"/>
      </w:pPr>
      <w:r>
        <w:t xml:space="preserve">Action 3 — Installer la plantation principale</w:t>
      </w:r>
    </w:p>
    <w:p>
      <w:pPr>
        <w:pStyle w:val="FirstParagraph"/>
      </w:pPr>
      <w:r>
        <w:t xml:space="preserve">Planter environ :</w:t>
      </w:r>
    </w:p>
    <w:p>
      <w:pPr>
        <w:pStyle w:val="BlockText"/>
      </w:pPr>
      <w:r>
        <w:rPr>
          <w:b/>
          <w:bCs/>
        </w:rPr>
        <w:t xml:space="preserve">5 500 à 5 700 plants à un espacement de 0,75 × 1 m.</w:t>
      </w:r>
    </w:p>
    <w:p>
      <w:pPr>
        <w:pStyle w:val="FirstParagraph"/>
      </w:pPr>
      <w:r>
        <w:t xml:space="preserve">Prévoir environ :</w:t>
      </w:r>
    </w:p>
    <w:p>
      <w:pPr>
        <w:pStyle w:val="BlockText"/>
      </w:pPr>
      <w:r>
        <w:rPr>
          <w:b/>
          <w:bCs/>
        </w:rPr>
        <w:t xml:space="preserve">2 kg de semences propres et testées.</w:t>
      </w:r>
    </w:p>
    <w:bookmarkEnd w:id="46"/>
    <w:bookmarkStart w:id="47" w:name="action-4-mesurer-lirrigation"/>
    <w:p>
      <w:pPr>
        <w:pStyle w:val="Heading3"/>
      </w:pPr>
      <w:r>
        <w:t xml:space="preserve">Action 4 — Mesurer l’irrigation</w:t>
      </w:r>
    </w:p>
    <w:p>
      <w:pPr>
        <w:pStyle w:val="FirstParagraph"/>
      </w:pPr>
      <w:r>
        <w:t xml:space="preserve">Installer :</w:t>
      </w:r>
    </w:p>
    <w:p>
      <w:pPr>
        <w:pStyle w:val="Compact"/>
        <w:numPr>
          <w:ilvl w:val="0"/>
          <w:numId w:val="1037"/>
        </w:numPr>
      </w:pPr>
      <w:r>
        <w:t xml:space="preserve">un compteur principal;</w:t>
      </w:r>
    </w:p>
    <w:p>
      <w:pPr>
        <w:pStyle w:val="Compact"/>
        <w:numPr>
          <w:ilvl w:val="0"/>
          <w:numId w:val="1037"/>
        </w:numPr>
      </w:pPr>
      <w:r>
        <w:t xml:space="preserve">un débitmètre par bloc;</w:t>
      </w:r>
    </w:p>
    <w:p>
      <w:pPr>
        <w:pStyle w:val="Compact"/>
        <w:numPr>
          <w:ilvl w:val="0"/>
          <w:numId w:val="1037"/>
        </w:numPr>
      </w:pPr>
      <w:r>
        <w:t xml:space="preserve">des capteurs d’humidité;</w:t>
      </w:r>
    </w:p>
    <w:p>
      <w:pPr>
        <w:pStyle w:val="Compact"/>
        <w:numPr>
          <w:ilvl w:val="0"/>
          <w:numId w:val="1037"/>
        </w:numPr>
      </w:pPr>
      <w:r>
        <w:t xml:space="preserve">un pluviomètre;</w:t>
      </w:r>
    </w:p>
    <w:p>
      <w:pPr>
        <w:pStyle w:val="Compact"/>
        <w:numPr>
          <w:ilvl w:val="0"/>
          <w:numId w:val="1037"/>
        </w:numPr>
      </w:pPr>
      <w:r>
        <w:t xml:space="preserve">un registre des volumes utilisés.</w:t>
      </w:r>
    </w:p>
    <w:bookmarkEnd w:id="47"/>
    <w:bookmarkStart w:id="48" w:name="action-5-construire-le-séchoir"/>
    <w:p>
      <w:pPr>
        <w:pStyle w:val="Heading3"/>
      </w:pPr>
      <w:r>
        <w:t xml:space="preserve">Action 5 — Construire le séchoir</w:t>
      </w:r>
    </w:p>
    <w:p>
      <w:pPr>
        <w:pStyle w:val="FirstParagraph"/>
      </w:pPr>
      <w:r>
        <w:t xml:space="preserve">Mettre en place un petit séchoir solaire hygiénique avant les premières récoltes importantes afin de pouvoir transformer rapidement les feuilles non vendues fraîches.</w:t>
      </w:r>
    </w:p>
    <w:p>
      <w:r>
        <w:pict>
          <v:rect style="width:0;height:1.5pt" o:hralign="center" o:hrstd="t" o:hr="t"/>
        </w:pict>
      </w:r>
    </w:p>
    <w:bookmarkEnd w:id="48"/>
    <w:bookmarkEnd w:id="49"/>
    <w:bookmarkStart w:id="50" w:name="indicateurs-de-performance"/>
    <w:p>
      <w:pPr>
        <w:pStyle w:val="Heading2"/>
      </w:pPr>
      <w:r>
        <w:t xml:space="preserve">13. Indicateurs de performance</w:t>
      </w:r>
    </w:p>
    <w:p>
      <w:pPr>
        <w:pStyle w:val="FirstParagraph"/>
      </w:pPr>
      <w:r>
        <w:t xml:space="preserve">Le succès de la culture ne sera pas évalué uniquement en tonnes par hectare.</w:t>
      </w:r>
    </w:p>
    <w:p>
      <w:pPr>
        <w:pStyle w:val="BodyText"/>
      </w:pPr>
      <w:r>
        <w:t xml:space="preserve">NigerVerdé suivra un ensemble d’indicateurs comprenant :</w:t>
      </w:r>
    </w:p>
    <w:p>
      <w:pPr>
        <w:pStyle w:val="Compact"/>
        <w:numPr>
          <w:ilvl w:val="0"/>
          <w:numId w:val="1038"/>
        </w:numPr>
      </w:pPr>
      <w:r>
        <w:t xml:space="preserve">le nombre de plants productifs;</w:t>
      </w:r>
    </w:p>
    <w:p>
      <w:pPr>
        <w:pStyle w:val="Compact"/>
        <w:numPr>
          <w:ilvl w:val="0"/>
          <w:numId w:val="1038"/>
        </w:numPr>
      </w:pPr>
      <w:r>
        <w:t xml:space="preserve">les kilogrammes de feuilles récoltées;</w:t>
      </w:r>
    </w:p>
    <w:p>
      <w:pPr>
        <w:pStyle w:val="Compact"/>
        <w:numPr>
          <w:ilvl w:val="0"/>
          <w:numId w:val="1038"/>
        </w:numPr>
      </w:pPr>
      <w:r>
        <w:t xml:space="preserve">les kilogrammes de feuilles commercialisables;</w:t>
      </w:r>
    </w:p>
    <w:p>
      <w:pPr>
        <w:pStyle w:val="Compact"/>
        <w:numPr>
          <w:ilvl w:val="0"/>
          <w:numId w:val="1038"/>
        </w:numPr>
      </w:pPr>
      <w:r>
        <w:t xml:space="preserve">la fréquence des récoltes;</w:t>
      </w:r>
    </w:p>
    <w:p>
      <w:pPr>
        <w:pStyle w:val="Compact"/>
        <w:numPr>
          <w:ilvl w:val="0"/>
          <w:numId w:val="1038"/>
        </w:numPr>
      </w:pPr>
      <w:r>
        <w:t xml:space="preserve">la régularité des livraisons;</w:t>
      </w:r>
    </w:p>
    <w:p>
      <w:pPr>
        <w:pStyle w:val="Compact"/>
        <w:numPr>
          <w:ilvl w:val="0"/>
          <w:numId w:val="1038"/>
        </w:numPr>
      </w:pPr>
      <w:r>
        <w:t xml:space="preserve">la quantité d’eau utilisée;</w:t>
      </w:r>
    </w:p>
    <w:p>
      <w:pPr>
        <w:pStyle w:val="Compact"/>
        <w:numPr>
          <w:ilvl w:val="0"/>
          <w:numId w:val="1038"/>
        </w:numPr>
      </w:pPr>
      <w:r>
        <w:t xml:space="preserve">les kilogrammes produits par mètre cube d’eau;</w:t>
      </w:r>
    </w:p>
    <w:p>
      <w:pPr>
        <w:pStyle w:val="Compact"/>
        <w:numPr>
          <w:ilvl w:val="0"/>
          <w:numId w:val="1038"/>
        </w:numPr>
      </w:pPr>
      <w:r>
        <w:t xml:space="preserve">le coût des fertilisants;</w:t>
      </w:r>
    </w:p>
    <w:p>
      <w:pPr>
        <w:pStyle w:val="Compact"/>
        <w:numPr>
          <w:ilvl w:val="0"/>
          <w:numId w:val="1038"/>
        </w:numPr>
      </w:pPr>
      <w:r>
        <w:t xml:space="preserve">le coût de la main-d’œuvre;</w:t>
      </w:r>
    </w:p>
    <w:p>
      <w:pPr>
        <w:pStyle w:val="Compact"/>
        <w:numPr>
          <w:ilvl w:val="0"/>
          <w:numId w:val="1038"/>
        </w:numPr>
      </w:pPr>
      <w:r>
        <w:t xml:space="preserve">le taux de pertes après récolte;</w:t>
      </w:r>
    </w:p>
    <w:p>
      <w:pPr>
        <w:pStyle w:val="Compact"/>
        <w:numPr>
          <w:ilvl w:val="0"/>
          <w:numId w:val="1038"/>
        </w:numPr>
      </w:pPr>
      <w:r>
        <w:t xml:space="preserve">la quantité transformée en poudre;</w:t>
      </w:r>
    </w:p>
    <w:p>
      <w:pPr>
        <w:pStyle w:val="Compact"/>
        <w:numPr>
          <w:ilvl w:val="0"/>
          <w:numId w:val="1038"/>
        </w:numPr>
      </w:pPr>
      <w:r>
        <w:t xml:space="preserve">le revenu par bloc;</w:t>
      </w:r>
    </w:p>
    <w:p>
      <w:pPr>
        <w:pStyle w:val="Compact"/>
        <w:numPr>
          <w:ilvl w:val="0"/>
          <w:numId w:val="1038"/>
        </w:numPr>
      </w:pPr>
      <w:r>
        <w:t xml:space="preserve">le coût de production par kilogramme;</w:t>
      </w:r>
    </w:p>
    <w:p>
      <w:pPr>
        <w:pStyle w:val="Compact"/>
        <w:numPr>
          <w:ilvl w:val="0"/>
          <w:numId w:val="1038"/>
        </w:numPr>
      </w:pPr>
      <w:r>
        <w:t xml:space="preserve">le délai de repousse après la coupe.</w:t>
      </w:r>
    </w:p>
    <w:p>
      <w:pPr>
        <w:pStyle w:val="FirstParagraph"/>
      </w:pPr>
      <w:r>
        <w:t xml:space="preserve">L’indicateur central sera la combinaison suivante :</w:t>
      </w:r>
    </w:p>
    <w:p>
      <w:pPr>
        <w:pStyle w:val="BlockText"/>
      </w:pPr>
      <w:r>
        <w:rPr>
          <w:b/>
          <w:bCs/>
        </w:rPr>
        <w:t xml:space="preserve">Kilogrammes de feuilles commercialisables + régularité des livraisons + consommation d’eau + coût de main-d’œuvre + pertes après récolte.</w:t>
      </w:r>
    </w:p>
    <w:p>
      <w:r>
        <w:pict>
          <v:rect style="width:0;height:1.5pt" o:hralign="center" o:hrstd="t" o:hr="t"/>
        </w:pict>
      </w:r>
    </w:p>
    <w:bookmarkEnd w:id="50"/>
    <w:bookmarkStart w:id="51" w:name="résultat-recherché"/>
    <w:p>
      <w:pPr>
        <w:pStyle w:val="Heading2"/>
      </w:pPr>
      <w:r>
        <w:t xml:space="preserve">14. Résultat recherché</w:t>
      </w:r>
    </w:p>
    <w:p>
      <w:pPr>
        <w:pStyle w:val="FirstParagraph"/>
      </w:pPr>
      <w:r>
        <w:t xml:space="preserve">Cette stratégie permettra à NigerVerdé de gérer le moringa comme une véritable culture commerciale intensive, organisée et mesurable.</w:t>
      </w:r>
    </w:p>
    <w:p>
      <w:pPr>
        <w:pStyle w:val="BodyText"/>
      </w:pPr>
      <w:r>
        <w:t xml:space="preserve">L’objectif n’est pas seulement de planter des arbres, mais de construire une chaîne de production complète intégrant :</w:t>
      </w:r>
    </w:p>
    <w:p>
      <w:pPr>
        <w:pStyle w:val="Compact"/>
        <w:numPr>
          <w:ilvl w:val="0"/>
          <w:numId w:val="1039"/>
        </w:numPr>
      </w:pPr>
      <w:r>
        <w:t xml:space="preserve">la plantation;</w:t>
      </w:r>
    </w:p>
    <w:p>
      <w:pPr>
        <w:pStyle w:val="Compact"/>
        <w:numPr>
          <w:ilvl w:val="0"/>
          <w:numId w:val="1039"/>
        </w:numPr>
      </w:pPr>
      <w:r>
        <w:t xml:space="preserve">l’irrigation;</w:t>
      </w:r>
    </w:p>
    <w:p>
      <w:pPr>
        <w:pStyle w:val="Compact"/>
        <w:numPr>
          <w:ilvl w:val="0"/>
          <w:numId w:val="1039"/>
        </w:numPr>
      </w:pPr>
      <w:r>
        <w:t xml:space="preserve">la fertigation;</w:t>
      </w:r>
    </w:p>
    <w:p>
      <w:pPr>
        <w:pStyle w:val="Compact"/>
        <w:numPr>
          <w:ilvl w:val="0"/>
          <w:numId w:val="1039"/>
        </w:numPr>
      </w:pPr>
      <w:r>
        <w:t xml:space="preserve">la taille;</w:t>
      </w:r>
    </w:p>
    <w:p>
      <w:pPr>
        <w:pStyle w:val="Compact"/>
        <w:numPr>
          <w:ilvl w:val="0"/>
          <w:numId w:val="1039"/>
        </w:numPr>
      </w:pPr>
      <w:r>
        <w:t xml:space="preserve">la récolte;</w:t>
      </w:r>
    </w:p>
    <w:p>
      <w:pPr>
        <w:pStyle w:val="Compact"/>
        <w:numPr>
          <w:ilvl w:val="0"/>
          <w:numId w:val="1039"/>
        </w:numPr>
      </w:pPr>
      <w:r>
        <w:t xml:space="preserve">la surveillance par drone;</w:t>
      </w:r>
    </w:p>
    <w:p>
      <w:pPr>
        <w:pStyle w:val="Compact"/>
        <w:numPr>
          <w:ilvl w:val="0"/>
          <w:numId w:val="1039"/>
        </w:numPr>
      </w:pPr>
      <w:r>
        <w:t xml:space="preserve">la protection phytosanitaire;</w:t>
      </w:r>
    </w:p>
    <w:p>
      <w:pPr>
        <w:pStyle w:val="Compact"/>
        <w:numPr>
          <w:ilvl w:val="0"/>
          <w:numId w:val="1039"/>
        </w:numPr>
      </w:pPr>
      <w:r>
        <w:t xml:space="preserve">le séchage;</w:t>
      </w:r>
    </w:p>
    <w:p>
      <w:pPr>
        <w:pStyle w:val="Compact"/>
        <w:numPr>
          <w:ilvl w:val="0"/>
          <w:numId w:val="1039"/>
        </w:numPr>
      </w:pPr>
      <w:r>
        <w:t xml:space="preserve">la transformation;</w:t>
      </w:r>
    </w:p>
    <w:p>
      <w:pPr>
        <w:pStyle w:val="Compact"/>
        <w:numPr>
          <w:ilvl w:val="0"/>
          <w:numId w:val="1039"/>
        </w:numPr>
      </w:pPr>
      <w:r>
        <w:t xml:space="preserve">le conditionnement;</w:t>
      </w:r>
    </w:p>
    <w:p>
      <w:pPr>
        <w:pStyle w:val="Compact"/>
        <w:numPr>
          <w:ilvl w:val="0"/>
          <w:numId w:val="1039"/>
        </w:numPr>
      </w:pPr>
      <w:r>
        <w:t xml:space="preserve">la commercialisation.</w:t>
      </w:r>
    </w:p>
    <w:p>
      <w:pPr>
        <w:pStyle w:val="FirstParagraph"/>
      </w:pPr>
      <w:r>
        <w:t xml:space="preserve">Cette approche doit permettre à NigerVerdé d’obtenir à Diakindi une production de moringa :</w:t>
      </w:r>
    </w:p>
    <w:p>
      <w:pPr>
        <w:pStyle w:val="Compact"/>
        <w:numPr>
          <w:ilvl w:val="0"/>
          <w:numId w:val="1040"/>
        </w:numPr>
      </w:pPr>
      <w:r>
        <w:t xml:space="preserve">régulière;</w:t>
      </w:r>
    </w:p>
    <w:p>
      <w:pPr>
        <w:pStyle w:val="Compact"/>
        <w:numPr>
          <w:ilvl w:val="0"/>
          <w:numId w:val="1040"/>
        </w:numPr>
      </w:pPr>
      <w:r>
        <w:t xml:space="preserve">rentable;</w:t>
      </w:r>
    </w:p>
    <w:p>
      <w:pPr>
        <w:pStyle w:val="Compact"/>
        <w:numPr>
          <w:ilvl w:val="0"/>
          <w:numId w:val="1040"/>
        </w:numPr>
      </w:pPr>
      <w:r>
        <w:t xml:space="preserve">économe en eau;</w:t>
      </w:r>
    </w:p>
    <w:p>
      <w:pPr>
        <w:pStyle w:val="Compact"/>
        <w:numPr>
          <w:ilvl w:val="0"/>
          <w:numId w:val="1040"/>
        </w:numPr>
      </w:pPr>
      <w:r>
        <w:t xml:space="preserve">adaptée au climat;</w:t>
      </w:r>
    </w:p>
    <w:p>
      <w:pPr>
        <w:pStyle w:val="Compact"/>
        <w:numPr>
          <w:ilvl w:val="0"/>
          <w:numId w:val="1040"/>
        </w:numPr>
      </w:pPr>
      <w:r>
        <w:t xml:space="preserve">traçable;</w:t>
      </w:r>
    </w:p>
    <w:p>
      <w:pPr>
        <w:pStyle w:val="Compact"/>
        <w:numPr>
          <w:ilvl w:val="0"/>
          <w:numId w:val="1040"/>
        </w:numPr>
      </w:pPr>
      <w:r>
        <w:t xml:space="preserve">commercialisable sous forme fraîche et transformée.</w:t>
      </w:r>
    </w:p>
    <w:bookmarkEnd w:id="51"/>
    <w:bookmarkEnd w:id="52"/>
    <w:bookmarkStart w:id="53" w:name="X9093e319f2850e04eac25a992131a8f79cdec15"/>
    <w:p>
      <w:pPr>
        <w:pStyle w:val="Heading1"/>
      </w:pPr>
      <w:r>
        <w:t xml:space="preserve">Formulation à intégrer dans la présentation générale</w:t>
      </w:r>
    </w:p>
    <w:p>
      <w:pPr>
        <w:pStyle w:val="BlockText"/>
      </w:pPr>
      <w:r>
        <w:rPr>
          <w:b/>
          <w:bCs/>
        </w:rPr>
        <w:t xml:space="preserve">En plein champ, NigerVerdé consacre une parcelle initiale de 0,5 hectare à la production intensive de feuilles de moringa. Environ 5 500 à 5 700 plants seront organisés en quatre blocs irrigués séparément, avec un espacement principal de 0,75 × 1 m. Les plants seront maintenus bas par des tailles régulières afin de produire des feuilles fraîches tout au long de l’année. Le surplus sera transformé en poudre dans un séchoir solaire hygiénique. La gestion reposera sur l’analyse du sol et de l’eau, l’irrigation mesurée, la fertigation fractionnée, la surveillance par drone et des contrôles manuels hebdomadaires.</w:t>
      </w:r>
    </w:p>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2026-06-08T06:48:30Z</dcterms:created>
  <dcterms:modified xsi:type="dcterms:W3CDTF">2026-06-08T06:48:30Z</dcterms:modified>
</cp:coreProperties>
</file>

<file path=docProps/custom.xml><?xml version="1.0" encoding="utf-8"?>
<Properties xmlns="http://schemas.openxmlformats.org/officeDocument/2006/custom-properties" xmlns:vt="http://schemas.openxmlformats.org/officeDocument/2006/docPropsVTypes"/>
</file>