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Ethics and Responsibility</w:t>
      </w:r>
    </w:p>
    <w:p>
      <w:pPr>
        <w:spacing w:after="120"/>
      </w:pPr>
      <w:r>
        <w:rPr>
          <w:rFonts w:ascii="Arial" w:cs="Arial" w:eastAsia="Arial" w:hAnsi="Arial"/>
          <w:color w:val="666666"/>
          <w:sz w:val="22"/>
          <w:szCs w:val="22"/>
        </w:rPr>
        <w:t xml:space="preserve">Betsy Autonomous Procurement Agent</w:t>
      </w:r>
    </w:p>
    <w:p>
      <w:pPr>
        <w:spacing w:after="120"/>
      </w:pPr>
      <w:r>
        <w:rPr>
          <w:rFonts w:ascii="Arial" w:cs="Arial" w:eastAsia="Arial" w:hAnsi="Arial"/>
          <w:sz w:val="22"/>
          <w:szCs w:val="22"/>
        </w:rPr>
        <w:t xml:space="preserve">This document is the standalone ethics analysis required by the assignment brief: "Your decision log must include a section on ethical safeguards — what could go wrong with your agent, and how you've mitigated those risks." It is referenced by DL2 and supports LO2 (Advising) and LO6 (Professional Standard).</w:t>
      </w:r>
    </w:p>
    <w:p>
      <w:pPr>
        <w:pBdr>
          <w:bottom w:val="single" w:color="DDDDDD" w:sz="4" w:space="1"/>
        </w:pBdr>
        <w:spacing w:after="160"/>
      </w:pPr>
      <w:r>
        <w:t xml:space="preserve"/>
      </w:r>
    </w:p>
    <w:p>
      <w:pPr>
        <w:pStyle w:val="Heading2"/>
      </w:pPr>
      <w:r>
        <w:t xml:space="preserve">The Ethical Shift: From Responding to Initiating</w:t>
      </w:r>
    </w:p>
    <w:p>
      <w:pPr>
        <w:spacing w:after="120"/>
      </w:pPr>
      <w:r>
        <w:rPr>
          <w:rFonts w:ascii="Arial" w:cs="Arial" w:eastAsia="Arial" w:hAnsi="Arial"/>
          <w:sz w:val="22"/>
          <w:szCs w:val="22"/>
        </w:rPr>
        <w:t xml:space="preserve">Traditional AI tools respond when asked. Betsy initiates — it places orders, holds payments, and flags suppliers without being prompted. This creates four fundamental responsibilities that do not exist with passive tools:</w:t>
      </w:r>
    </w:p>
    <w:p>
      <w:pPr>
        <w:spacing w:after="80"/>
      </w:pPr>
      <w:r>
        <w:t xml:space="preserve"/>
      </w:r>
    </w:p>
    <w:p>
      <w:pPr>
        <w:pStyle w:val="ListParagraph"/>
        <w:numPr>
          <w:ilvl w:val="0"/>
          <w:numId w:val="2"/>
        </w:numPr>
        <w:spacing w:after="80"/>
      </w:pPr>
      <w:r>
        <w:rPr>
          <w:rFonts w:ascii="Arial" w:cs="Arial" w:eastAsia="Arial" w:hAnsi="Arial"/>
          <w:b/>
          <w:bCs/>
          <w:sz w:val="22"/>
          <w:szCs w:val="22"/>
        </w:rPr>
        <w:t xml:space="preserve">Transparency</w:t>
      </w:r>
      <w:r>
        <w:rPr>
          <w:rFonts w:ascii="Arial" w:cs="Arial" w:eastAsia="Arial" w:hAnsi="Arial"/>
          <w:sz w:val="22"/>
          <w:szCs w:val="22"/>
        </w:rPr>
        <w:t xml:space="preserve"> — Can humans understand why Betsy made a specific decision?</w:t>
      </w:r>
    </w:p>
    <w:p>
      <w:pPr>
        <w:pStyle w:val="ListParagraph"/>
        <w:numPr>
          <w:ilvl w:val="0"/>
          <w:numId w:val="2"/>
        </w:numPr>
        <w:spacing w:after="80"/>
      </w:pPr>
      <w:r>
        <w:rPr>
          <w:rFonts w:ascii="Arial" w:cs="Arial" w:eastAsia="Arial" w:hAnsi="Arial"/>
          <w:b/>
          <w:bCs/>
          <w:sz w:val="22"/>
          <w:szCs w:val="22"/>
        </w:rPr>
        <w:t xml:space="preserve">Accountability</w:t>
      </w:r>
      <w:r>
        <w:rPr>
          <w:rFonts w:ascii="Arial" w:cs="Arial" w:eastAsia="Arial" w:hAnsi="Arial"/>
          <w:sz w:val="22"/>
          <w:szCs w:val="22"/>
        </w:rPr>
        <w:t xml:space="preserve"> — When something goes wrong, how do we trace what happened and who is responsible?</w:t>
      </w:r>
    </w:p>
    <w:p>
      <w:pPr>
        <w:pStyle w:val="ListParagraph"/>
        <w:numPr>
          <w:ilvl w:val="0"/>
          <w:numId w:val="2"/>
        </w:numPr>
        <w:spacing w:after="80"/>
      </w:pPr>
      <w:r>
        <w:rPr>
          <w:rFonts w:ascii="Arial" w:cs="Arial" w:eastAsia="Arial" w:hAnsi="Arial"/>
          <w:b/>
          <w:bCs/>
          <w:sz w:val="22"/>
          <w:szCs w:val="22"/>
        </w:rPr>
        <w:t xml:space="preserve">Fairness</w:t>
      </w:r>
      <w:r>
        <w:rPr>
          <w:rFonts w:ascii="Arial" w:cs="Arial" w:eastAsia="Arial" w:hAnsi="Arial"/>
          <w:sz w:val="22"/>
          <w:szCs w:val="22"/>
        </w:rPr>
        <w:t xml:space="preserve"> — Does Betsy treat all suppliers consistently, or does it systematically favour some over others in ways that are not visible?</w:t>
      </w:r>
    </w:p>
    <w:p>
      <w:pPr>
        <w:pStyle w:val="ListParagraph"/>
        <w:numPr>
          <w:ilvl w:val="0"/>
          <w:numId w:val="2"/>
        </w:numPr>
        <w:spacing w:after="80"/>
      </w:pPr>
      <w:r>
        <w:rPr>
          <w:rFonts w:ascii="Arial" w:cs="Arial" w:eastAsia="Arial" w:hAnsi="Arial"/>
          <w:b/>
          <w:bCs/>
          <w:sz w:val="22"/>
          <w:szCs w:val="22"/>
        </w:rPr>
        <w:t xml:space="preserve">Safety</w:t>
      </w:r>
      <w:r>
        <w:rPr>
          <w:rFonts w:ascii="Arial" w:cs="Arial" w:eastAsia="Arial" w:hAnsi="Arial"/>
          <w:sz w:val="22"/>
          <w:szCs w:val="22"/>
        </w:rPr>
        <w:t xml:space="preserve"> — What prevents Betsy from making a catastrophically bad decision when no one is watching?</w:t>
      </w:r>
    </w:p>
    <w:p>
      <w:pPr>
        <w:spacing w:after="80"/>
      </w:pPr>
      <w:r>
        <w:t xml:space="preserve"/>
      </w:r>
    </w:p>
    <w:p>
      <w:pPr>
        <w:pBdr>
          <w:bottom w:val="single" w:color="DDDDDD" w:sz="4" w:space="1"/>
        </w:pBdr>
        <w:spacing w:after="160"/>
      </w:pPr>
      <w:r>
        <w:t xml:space="preserve"/>
      </w:r>
    </w:p>
    <w:p>
      <w:pPr>
        <w:pStyle w:val="Heading2"/>
      </w:pPr>
      <w:r>
        <w:t xml:space="preserve">Risk Register</w:t>
      </w:r>
    </w:p>
    <w:p>
      <w:pPr>
        <w:pStyle w:val="Heading3"/>
      </w:pPr>
      <w:r>
        <w:t xml:space="preserve">Risk 1 — Betsy places an order the operations manager would not have approved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Dimension</w:t>
            </w:r>
          </w:p>
        </w:tc>
        <w:tc>
          <w:tcPr>
            <w:tcW w:type="dxa" w:w="4513"/>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Likelihood</w:t>
            </w:r>
          </w:p>
        </w:tc>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Medium (routine orders are low-risk; edge cases exist)</w:t>
            </w:r>
          </w:p>
        </w:tc>
      </w:tr>
      <w:tr>
        <w:tc>
          <w:tcPr>
            <w:tcW w:type="dxa" w:w="4513"/>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tcPr>
          <w:p>
            <w:r>
              <w:rPr>
                <w:rFonts w:ascii="Arial" w:cs="Arial" w:eastAsia="Arial" w:hAnsi="Arial"/>
                <w:sz w:val="19"/>
                <w:szCs w:val="19"/>
              </w:rPr>
              <w:t xml:space="preserve">Impact</w:t>
            </w:r>
          </w:p>
        </w:tc>
        <w:tc>
          <w:tcPr>
            <w:tcW w:type="dxa" w:w="4513"/>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tcPr>
          <w:p>
            <w:r>
              <w:rPr>
                <w:rFonts w:ascii="Arial" w:cs="Arial" w:eastAsia="Arial" w:hAnsi="Arial"/>
                <w:sz w:val="19"/>
                <w:szCs w:val="19"/>
              </w:rPr>
              <w:t xml:space="preserve">Financial — order cannot be cancelled after supplier confirms</w:t>
            </w:r>
          </w:p>
        </w:tc>
      </w:tr>
      <w:tr>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Mitigation</w:t>
            </w:r>
          </w:p>
        </w:tc>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G1 (spend gate): any order above €300 is paused. G3 (price spike): any price increase above 15% over the rolling average is paused. HOTL notification: even for autonomous orders, a notification is sent. The operations manager has 1 hour to override.</w:t>
            </w:r>
          </w:p>
        </w:tc>
      </w:tr>
      <w:tr>
        <w:tc>
          <w:tcPr>
            <w:tcW w:type="dxa" w:w="4513"/>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tcPr>
          <w:p>
            <w:r>
              <w:rPr>
                <w:rFonts w:ascii="Arial" w:cs="Arial" w:eastAsia="Arial" w:hAnsi="Arial"/>
                <w:sz w:val="19"/>
                <w:szCs w:val="19"/>
              </w:rPr>
              <w:t xml:space="preserve">Residual risk</w:t>
            </w:r>
          </w:p>
        </w:tc>
        <w:tc>
          <w:tcPr>
            <w:tcW w:type="dxa" w:w="4513"/>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tcPr>
          <w:p>
            <w:r>
              <w:rPr>
                <w:rFonts w:ascii="Arial" w:cs="Arial" w:eastAsia="Arial" w:hAnsi="Arial"/>
                <w:sz w:val="19"/>
                <w:szCs w:val="19"/>
              </w:rPr>
              <w:t xml:space="preserve">An order below €300 for a part that is already on order from a different run. Betsy does not yet check for in-flight duplicate orders. This is a known limitation for future improvement.</w:t>
            </w:r>
          </w:p>
        </w:tc>
      </w:tr>
    </w:tbl>
    <w:p>
      <w:pPr>
        <w:spacing w:after="80"/>
      </w:pPr>
      <w:r>
        <w:t xml:space="preserve"/>
      </w:r>
    </w:p>
    <w:p>
      <w:pPr>
        <w:pStyle w:val="Heading3"/>
      </w:pPr>
      <w:r>
        <w:t xml:space="preserve">Risk 2 — Betsy pays a fraudulent or incorrect invoice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Dimension</w:t>
            </w:r>
          </w:p>
        </w:tc>
        <w:tc>
          <w:tcPr>
            <w:tcW w:type="dxa" w:w="4513"/>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Likelihood</w:t>
            </w:r>
          </w:p>
        </w:tc>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Low-to-medium (duplicate invoices are a known common fraud vector)</w:t>
            </w:r>
          </w:p>
        </w:tc>
      </w:tr>
      <w:tr>
        <w:tc>
          <w:tcPr>
            <w:tcW w:type="dxa" w:w="4513"/>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tcPr>
          <w:p>
            <w:r>
              <w:rPr>
                <w:rFonts w:ascii="Arial" w:cs="Arial" w:eastAsia="Arial" w:hAnsi="Arial"/>
                <w:sz w:val="19"/>
                <w:szCs w:val="19"/>
              </w:rPr>
              <w:t xml:space="preserve">Impact</w:t>
            </w:r>
          </w:p>
        </w:tc>
        <w:tc>
          <w:tcPr>
            <w:tcW w:type="dxa" w:w="4513"/>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tcPr>
          <w:p>
            <w:r>
              <w:rPr>
                <w:rFonts w:ascii="Arial" w:cs="Arial" w:eastAsia="Arial" w:hAnsi="Arial"/>
                <w:sz w:val="19"/>
                <w:szCs w:val="19"/>
              </w:rPr>
              <w:t xml:space="preserve">Financial — payments that go through cannot always be recovered</w:t>
            </w:r>
          </w:p>
        </w:tc>
      </w:tr>
      <w:tr>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Mitigation</w:t>
            </w:r>
          </w:p>
        </w:tc>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G4 (invoice mismatch): any invoice where the amount does not match the PO total exactly is held. G5 (duplicate invoice): any invoice submitted with the same supplier, PO, and amount is blocked. In the manual process, 3 duplicate payments slipped through in 8 weeks. With Betsy, zero duplicate payments have been approved in testing.</w:t>
            </w:r>
          </w:p>
        </w:tc>
      </w:tr>
      <w:tr>
        <w:tc>
          <w:tcPr>
            <w:tcW w:type="dxa" w:w="4513"/>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tcPr>
          <w:p>
            <w:r>
              <w:rPr>
                <w:rFonts w:ascii="Arial" w:cs="Arial" w:eastAsia="Arial" w:hAnsi="Arial"/>
                <w:sz w:val="19"/>
                <w:szCs w:val="19"/>
              </w:rPr>
              <w:t xml:space="preserve">Residual risk</w:t>
            </w:r>
          </w:p>
        </w:tc>
        <w:tc>
          <w:tcPr>
            <w:tcW w:type="dxa" w:w="4513"/>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tcPr>
          <w:p>
            <w:r>
              <w:rPr>
                <w:rFonts w:ascii="Arial" w:cs="Arial" w:eastAsia="Arial" w:hAnsi="Arial"/>
                <w:sz w:val="19"/>
                <w:szCs w:val="19"/>
              </w:rPr>
              <w:t xml:space="preserve">A supplier who submits an invoice with a slightly different amount (adding a handling fee) will trigger G4 correctly. However, a supplier who alters the PO reference number would bypass the duplicate check.</w:t>
            </w:r>
          </w:p>
        </w:tc>
      </w:tr>
    </w:tbl>
    <w:p>
      <w:pPr>
        <w:spacing w:after="80"/>
      </w:pPr>
      <w:r>
        <w:t xml:space="preserve"/>
      </w:r>
    </w:p>
    <w:p>
      <w:pPr>
        <w:pStyle w:val="Heading3"/>
      </w:pPr>
      <w:r>
        <w:t xml:space="preserve">Risk 3 — Betsy makes decisions based on outdated inventory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Dimension</w:t>
            </w:r>
          </w:p>
        </w:tc>
        <w:tc>
          <w:tcPr>
            <w:tcW w:type="dxa" w:w="4513"/>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Likelihood</w:t>
            </w:r>
          </w:p>
        </w:tc>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Medium (the data feed depends on external updates)</w:t>
            </w:r>
          </w:p>
        </w:tc>
      </w:tr>
      <w:tr>
        <w:tc>
          <w:tcPr>
            <w:tcW w:type="dxa" w:w="4513"/>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tcPr>
          <w:p>
            <w:r>
              <w:rPr>
                <w:rFonts w:ascii="Arial" w:cs="Arial" w:eastAsia="Arial" w:hAnsi="Arial"/>
                <w:sz w:val="19"/>
                <w:szCs w:val="19"/>
              </w:rPr>
              <w:t xml:space="preserve">Impact</w:t>
            </w:r>
          </w:p>
        </w:tc>
        <w:tc>
          <w:tcPr>
            <w:tcW w:type="dxa" w:w="4513"/>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tcPr>
          <w:p>
            <w:r>
              <w:rPr>
                <w:rFonts w:ascii="Arial" w:cs="Arial" w:eastAsia="Arial" w:hAnsi="Arial"/>
                <w:sz w:val="19"/>
                <w:szCs w:val="19"/>
              </w:rPr>
              <w:t xml:space="preserve">Ordering parts that are already stocked, or missing genuine stockouts</w:t>
            </w:r>
          </w:p>
        </w:tc>
      </w:tr>
      <w:tr>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Mitigation</w:t>
            </w:r>
          </w:p>
        </w:tc>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G6 (stale data): if the inventory file has not been updated within 4 hours, Betsy halts the ordering cycle. No orders are placed on old data.</w:t>
            </w:r>
          </w:p>
        </w:tc>
      </w:tr>
      <w:tr>
        <w:tc>
          <w:tcPr>
            <w:tcW w:type="dxa" w:w="4513"/>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tcPr>
          <w:p>
            <w:r>
              <w:rPr>
                <w:rFonts w:ascii="Arial" w:cs="Arial" w:eastAsia="Arial" w:hAnsi="Arial"/>
                <w:sz w:val="19"/>
                <w:szCs w:val="19"/>
              </w:rPr>
              <w:t xml:space="preserve">Residual risk</w:t>
            </w:r>
          </w:p>
        </w:tc>
        <w:tc>
          <w:tcPr>
            <w:tcW w:type="dxa" w:w="4513"/>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tcPr>
          <w:p>
            <w:r>
              <w:rPr>
                <w:rFonts w:ascii="Arial" w:cs="Arial" w:eastAsia="Arial" w:hAnsi="Arial"/>
                <w:sz w:val="19"/>
                <w:szCs w:val="19"/>
              </w:rPr>
              <w:t xml:space="preserve">The current implementation reads from a CSV file, not a live ERP system. Data quality at the source is outside Betsy's control in the prototype.</w:t>
            </w:r>
          </w:p>
        </w:tc>
      </w:tr>
    </w:tbl>
    <w:p>
      <w:pPr>
        <w:spacing w:after="80"/>
      </w:pPr>
      <w:r>
        <w:t xml:space="preserve"/>
      </w:r>
    </w:p>
    <w:p>
      <w:pPr>
        <w:pStyle w:val="Heading3"/>
      </w:pPr>
      <w:r>
        <w:t xml:space="preserve">Risk 4 — Betsy selects suppliers unfairly or inconsistently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Dimension</w:t>
            </w:r>
          </w:p>
        </w:tc>
        <w:tc>
          <w:tcPr>
            <w:tcW w:type="dxa" w:w="4513"/>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Likelihood</w:t>
            </w:r>
          </w:p>
        </w:tc>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Low (formula is deterministic)</w:t>
            </w:r>
          </w:p>
        </w:tc>
      </w:tr>
      <w:tr>
        <w:tc>
          <w:tcPr>
            <w:tcW w:type="dxa" w:w="4513"/>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tcPr>
          <w:p>
            <w:r>
              <w:rPr>
                <w:rFonts w:ascii="Arial" w:cs="Arial" w:eastAsia="Arial" w:hAnsi="Arial"/>
                <w:sz w:val="19"/>
                <w:szCs w:val="19"/>
              </w:rPr>
              <w:t xml:space="preserve">Impact</w:t>
            </w:r>
          </w:p>
        </w:tc>
        <w:tc>
          <w:tcPr>
            <w:tcW w:type="dxa" w:w="4513"/>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tcPr>
          <w:p>
            <w:r>
              <w:rPr>
                <w:rFonts w:ascii="Arial" w:cs="Arial" w:eastAsia="Arial" w:hAnsi="Arial"/>
                <w:sz w:val="19"/>
                <w:szCs w:val="19"/>
              </w:rPr>
              <w:t xml:space="preserve">Suppliers disadvantaged without justification; procurement decisions cannot be explained or defended</w:t>
            </w:r>
          </w:p>
        </w:tc>
      </w:tr>
      <w:tr>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Mitigation</w:t>
            </w:r>
          </w:p>
        </w:tc>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The SAW scoring formula is transparent and documented: reliability × 0.40, price × 0.35, delivery × 0.25. The same formula applies to every supplier on every run. All weights are justified in DL3 with references to Dickson (1966). Every selection is logged in the audit trail with the full score breakdown visible.</w:t>
            </w:r>
          </w:p>
        </w:tc>
      </w:tr>
      <w:tr>
        <w:tc>
          <w:tcPr>
            <w:tcW w:type="dxa" w:w="4513"/>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tcPr>
          <w:p>
            <w:r>
              <w:rPr>
                <w:rFonts w:ascii="Arial" w:cs="Arial" w:eastAsia="Arial" w:hAnsi="Arial"/>
                <w:sz w:val="19"/>
                <w:szCs w:val="19"/>
              </w:rPr>
              <w:t xml:space="preserve">Residual risk</w:t>
            </w:r>
          </w:p>
        </w:tc>
        <w:tc>
          <w:tcPr>
            <w:tcW w:type="dxa" w:w="4513"/>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tcPr>
          <w:p>
            <w:r>
              <w:rPr>
                <w:rFonts w:ascii="Arial" w:cs="Arial" w:eastAsia="Arial" w:hAnsi="Arial"/>
                <w:sz w:val="19"/>
                <w:szCs w:val="19"/>
              </w:rPr>
              <w:t xml:space="preserve">If the initial seed data contains biased reliability scores, that bias persists until the dynamic scoring corrects it over time.</w:t>
            </w:r>
          </w:p>
        </w:tc>
      </w:tr>
    </w:tbl>
    <w:p>
      <w:pPr>
        <w:spacing w:after="80"/>
      </w:pPr>
      <w:r>
        <w:t xml:space="preserve"/>
      </w:r>
    </w:p>
    <w:p>
      <w:pPr>
        <w:pStyle w:val="Heading3"/>
      </w:pPr>
      <w:r>
        <w:t xml:space="preserve">Risk 5 — Betsy's reasoning cannot be understood or challenged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Dimension</w:t>
            </w:r>
          </w:p>
        </w:tc>
        <w:tc>
          <w:tcPr>
            <w:tcW w:type="dxa" w:w="4513"/>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Likelihood</w:t>
            </w:r>
          </w:p>
        </w:tc>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Low (designed explicitly to be transparent)</w:t>
            </w:r>
          </w:p>
        </w:tc>
      </w:tr>
      <w:tr>
        <w:tc>
          <w:tcPr>
            <w:tcW w:type="dxa" w:w="4513"/>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tcPr>
          <w:p>
            <w:r>
              <w:rPr>
                <w:rFonts w:ascii="Arial" w:cs="Arial" w:eastAsia="Arial" w:hAnsi="Arial"/>
                <w:sz w:val="19"/>
                <w:szCs w:val="19"/>
              </w:rPr>
              <w:t xml:space="preserve">Impact</w:t>
            </w:r>
          </w:p>
        </w:tc>
        <w:tc>
          <w:tcPr>
            <w:tcW w:type="dxa" w:w="4513"/>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tcPr>
          <w:p>
            <w:r>
              <w:rPr>
                <w:rFonts w:ascii="Arial" w:cs="Arial" w:eastAsia="Arial" w:hAnsi="Arial"/>
                <w:sz w:val="19"/>
                <w:szCs w:val="19"/>
              </w:rPr>
              <w:t xml:space="preserve">Trust collapse — if the operations manager cannot understand or verify a decision, she will stop trusting the system entirely</w:t>
            </w:r>
          </w:p>
        </w:tc>
      </w:tr>
      <w:tr>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Mitigation</w:t>
            </w:r>
          </w:p>
        </w:tc>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WHAT/WHY/NEXT format: every node writes a plain-language entry to the audit log. The audit log is visible on the dashboard at any time. The escalation payload sent at a gate includes Betsy's reasoning, the alternatives considered, and the exact condition that triggered the gate.</w:t>
            </w:r>
          </w:p>
        </w:tc>
      </w:tr>
      <w:tr>
        <w:tc>
          <w:tcPr>
            <w:tcW w:type="dxa" w:w="4513"/>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tcPr>
          <w:p>
            <w:r>
              <w:rPr>
                <w:rFonts w:ascii="Arial" w:cs="Arial" w:eastAsia="Arial" w:hAnsi="Arial"/>
                <w:sz w:val="19"/>
                <w:szCs w:val="19"/>
              </w:rPr>
              <w:t xml:space="preserve">Residual risk</w:t>
            </w:r>
          </w:p>
        </w:tc>
        <w:tc>
          <w:tcPr>
            <w:tcW w:type="dxa" w:w="4513"/>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tcPr>
          <w:p>
            <w:r>
              <w:rPr>
                <w:rFonts w:ascii="Arial" w:cs="Arial" w:eastAsia="Arial" w:hAnsi="Arial"/>
                <w:sz w:val="19"/>
                <w:szCs w:val="19"/>
              </w:rPr>
              <w:t xml:space="preserve">The reasoning text is generated by the LLM, which means it can be fluent but imprecise. The formula score is always shown alongside the text so the operations manager can verify the reasoning against the numbers.</w:t>
            </w:r>
          </w:p>
        </w:tc>
      </w:tr>
    </w:tbl>
    <w:p>
      <w:pPr>
        <w:spacing w:after="80"/>
      </w:pPr>
      <w:r>
        <w:t xml:space="preserve"/>
      </w:r>
    </w:p>
    <w:p>
      <w:pPr>
        <w:pStyle w:val="Heading3"/>
      </w:pPr>
      <w:r>
        <w:t xml:space="preserve">Risk 6 — System failure during a HITL pause leaves an order in unknown state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Dimension</w:t>
            </w:r>
          </w:p>
        </w:tc>
        <w:tc>
          <w:tcPr>
            <w:tcW w:type="dxa" w:w="4513"/>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Likelihood</w:t>
            </w:r>
          </w:p>
        </w:tc>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Low (but consequence is high)</w:t>
            </w:r>
          </w:p>
        </w:tc>
      </w:tr>
      <w:tr>
        <w:tc>
          <w:tcPr>
            <w:tcW w:type="dxa" w:w="4513"/>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tcPr>
          <w:p>
            <w:r>
              <w:rPr>
                <w:rFonts w:ascii="Arial" w:cs="Arial" w:eastAsia="Arial" w:hAnsi="Arial"/>
                <w:sz w:val="19"/>
                <w:szCs w:val="19"/>
              </w:rPr>
              <w:t xml:space="preserve">Impact</w:t>
            </w:r>
          </w:p>
        </w:tc>
        <w:tc>
          <w:tcPr>
            <w:tcW w:type="dxa" w:w="4513"/>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tcPr>
          <w:p>
            <w:r>
              <w:rPr>
                <w:rFonts w:ascii="Arial" w:cs="Arial" w:eastAsia="Arial" w:hAnsi="Arial"/>
                <w:sz w:val="19"/>
                <w:szCs w:val="19"/>
              </w:rPr>
              <w:t xml:space="preserve">An order that is neither confirmed nor cancelled — unknown financial commitment</w:t>
            </w:r>
          </w:p>
        </w:tc>
      </w:tr>
      <w:tr>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Mitigation</w:t>
            </w:r>
          </w:p>
        </w:tc>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9"/>
                <w:szCs w:val="19"/>
              </w:rPr>
              <w:t xml:space="preserve">LangGraph's SqliteSaver checkpointer writes the full graph state to disk at every node. If the process is killed while a gate is waiting for approval, the state is preserved and can be resumed. The betsy_notifications.log records all gate alerts as a permanent text record.</w:t>
            </w:r>
          </w:p>
        </w:tc>
      </w:tr>
      <w:tr>
        <w:tc>
          <w:tcPr>
            <w:tcW w:type="dxa" w:w="4513"/>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tcPr>
          <w:p>
            <w:r>
              <w:rPr>
                <w:rFonts w:ascii="Arial" w:cs="Arial" w:eastAsia="Arial" w:hAnsi="Arial"/>
                <w:sz w:val="19"/>
                <w:szCs w:val="19"/>
              </w:rPr>
              <w:t xml:space="preserve">Residual risk</w:t>
            </w:r>
          </w:p>
        </w:tc>
        <w:tc>
          <w:tcPr>
            <w:tcW w:type="dxa" w:w="4513"/>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tcPr>
          <w:p>
            <w:r>
              <w:rPr>
                <w:rFonts w:ascii="Arial" w:cs="Arial" w:eastAsia="Arial" w:hAnsi="Arial"/>
                <w:sz w:val="19"/>
                <w:szCs w:val="19"/>
              </w:rPr>
              <w:t xml:space="preserve">If the SQLite state database file is corrupted or deleted, the paused state is lost. For production deployment, a more robust checkpoint store (PostgreSQL, cloud storage) would be required.</w:t>
            </w:r>
          </w:p>
        </w:tc>
      </w:tr>
    </w:tbl>
    <w:p>
      <w:pPr>
        <w:spacing w:after="80"/>
      </w:pPr>
      <w:r>
        <w:t xml:space="preserve"/>
      </w:r>
    </w:p>
    <w:p>
      <w:pPr>
        <w:pBdr>
          <w:bottom w:val="single" w:color="DDDDDD" w:sz="4" w:space="1"/>
        </w:pBdr>
        <w:spacing w:after="160"/>
      </w:pPr>
      <w:r>
        <w:t xml:space="preserve"/>
      </w:r>
    </w:p>
    <w:p>
      <w:pPr>
        <w:pStyle w:val="Heading2"/>
      </w:pPr>
      <w:r>
        <w:t xml:space="preserve">Known Prototype Limitations</w:t>
      </w:r>
    </w:p>
    <w:p>
      <w:pPr>
        <w:spacing w:after="120"/>
      </w:pPr>
      <w:r>
        <w:rPr>
          <w:rFonts w:ascii="Arial" w:cs="Arial" w:eastAsia="Arial" w:hAnsi="Arial"/>
          <w:sz w:val="22"/>
          <w:szCs w:val="22"/>
        </w:rPr>
        <w:t xml:space="preserve">These are limitations of the current implementation that would need to be addressed before any real deployment:</w:t>
      </w:r>
    </w:p>
    <w:p>
      <w:pPr>
        <w:spacing w:after="80"/>
      </w:pPr>
      <w:r>
        <w:t xml:space="preserve"/>
      </w:r>
    </w:p>
    <w:p>
      <w:pPr>
        <w:pStyle w:val="ListParagraph"/>
        <w:numPr>
          <w:ilvl w:val="0"/>
          <w:numId w:val="2"/>
        </w:numPr>
        <w:spacing w:after="80"/>
      </w:pPr>
      <w:r>
        <w:rPr>
          <w:rFonts w:ascii="Arial" w:cs="Arial" w:eastAsia="Arial" w:hAnsi="Arial"/>
          <w:b/>
          <w:bCs/>
          <w:sz w:val="22"/>
          <w:szCs w:val="22"/>
        </w:rPr>
        <w:t xml:space="preserve">CSV-based data</w:t>
      </w:r>
      <w:r>
        <w:rPr>
          <w:rFonts w:ascii="Arial" w:cs="Arial" w:eastAsia="Arial" w:hAnsi="Arial"/>
          <w:sz w:val="22"/>
          <w:szCs w:val="22"/>
        </w:rPr>
        <w:t xml:space="preserve"> — inventory, suppliers, and invoices are read from files, not live systems. A real deployment requires integration with the ERP, supplier portals, and accounts payable system.</w:t>
      </w:r>
    </w:p>
    <w:p>
      <w:pPr>
        <w:pStyle w:val="ListParagraph"/>
        <w:numPr>
          <w:ilvl w:val="0"/>
          <w:numId w:val="2"/>
        </w:numPr>
        <w:spacing w:after="80"/>
      </w:pPr>
      <w:r>
        <w:rPr>
          <w:rFonts w:ascii="Arial" w:cs="Arial" w:eastAsia="Arial" w:hAnsi="Arial"/>
          <w:b/>
          <w:bCs/>
          <w:sz w:val="22"/>
          <w:szCs w:val="22"/>
        </w:rPr>
        <w:t xml:space="preserve">No duplicate order check</w:t>
      </w:r>
      <w:r>
        <w:rPr>
          <w:rFonts w:ascii="Arial" w:cs="Arial" w:eastAsia="Arial" w:hAnsi="Arial"/>
          <w:sz w:val="22"/>
          <w:szCs w:val="22"/>
        </w:rPr>
        <w:t xml:space="preserve"> — Betsy does not check whether a part already has an open purchase order before placing a new one. Two back-to-back runs could both order the same part.</w:t>
      </w:r>
    </w:p>
    <w:p>
      <w:pPr>
        <w:pStyle w:val="ListParagraph"/>
        <w:numPr>
          <w:ilvl w:val="0"/>
          <w:numId w:val="2"/>
        </w:numPr>
        <w:spacing w:after="80"/>
      </w:pPr>
      <w:r>
        <w:rPr>
          <w:rFonts w:ascii="Arial" w:cs="Arial" w:eastAsia="Arial" w:hAnsi="Arial"/>
          <w:b/>
          <w:bCs/>
          <w:sz w:val="22"/>
          <w:szCs w:val="22"/>
        </w:rPr>
        <w:t xml:space="preserve">Local LLM only</w:t>
      </w:r>
      <w:r>
        <w:rPr>
          <w:rFonts w:ascii="Arial" w:cs="Arial" w:eastAsia="Arial" w:hAnsi="Arial"/>
          <w:sz w:val="22"/>
          <w:szCs w:val="22"/>
        </w:rPr>
        <w:t xml:space="preserve"> — llama3.2:3b runs on the local machine. If Ollama is not running, the Decide node fails. A production system needs a fallback.</w:t>
      </w:r>
    </w:p>
    <w:p>
      <w:pPr>
        <w:pStyle w:val="ListParagraph"/>
        <w:numPr>
          <w:ilvl w:val="0"/>
          <w:numId w:val="2"/>
        </w:numPr>
        <w:spacing w:after="80"/>
      </w:pPr>
      <w:r>
        <w:rPr>
          <w:rFonts w:ascii="Arial" w:cs="Arial" w:eastAsia="Arial" w:hAnsi="Arial"/>
          <w:b/>
          <w:bCs/>
          <w:sz w:val="22"/>
          <w:szCs w:val="22"/>
        </w:rPr>
        <w:t xml:space="preserve">Single-tenant</w:t>
      </w:r>
      <w:r>
        <w:rPr>
          <w:rFonts w:ascii="Arial" w:cs="Arial" w:eastAsia="Arial" w:hAnsi="Arial"/>
          <w:sz w:val="22"/>
          <w:szCs w:val="22"/>
        </w:rPr>
        <w:t xml:space="preserve"> — the current implementation is designed for one company with one operations manager. Multi-tenant deployment would require per-company data isolation.</w:t>
      </w:r>
    </w:p>
    <w:p>
      <w:pPr>
        <w:pStyle w:val="ListParagraph"/>
        <w:numPr>
          <w:ilvl w:val="0"/>
          <w:numId w:val="2"/>
        </w:numPr>
        <w:spacing w:after="80"/>
      </w:pPr>
      <w:r>
        <w:rPr>
          <w:rFonts w:ascii="Arial" w:cs="Arial" w:eastAsia="Arial" w:hAnsi="Arial"/>
          <w:b/>
          <w:bCs/>
          <w:sz w:val="22"/>
          <w:szCs w:val="22"/>
        </w:rPr>
        <w:t xml:space="preserve">No audit log retention policy</w:t>
      </w:r>
      <w:r>
        <w:rPr>
          <w:rFonts w:ascii="Arial" w:cs="Arial" w:eastAsia="Arial" w:hAnsi="Arial"/>
          <w:sz w:val="22"/>
          <w:szCs w:val="22"/>
        </w:rPr>
        <w:t xml:space="preserve"> — the audit log grows indefinitely. A production system needs archival and retention management.</w:t>
      </w:r>
    </w:p>
    <w:p>
      <w:pPr>
        <w:spacing w:after="80"/>
      </w:pPr>
      <w:r>
        <w:t xml:space="preserve"/>
      </w:r>
    </w:p>
    <w:p>
      <w:pPr>
        <w:pBdr>
          <w:bottom w:val="single" w:color="DDDDDD" w:sz="4" w:space="1"/>
        </w:pBdr>
        <w:spacing w:after="160"/>
      </w:pPr>
      <w:r>
        <w:t xml:space="preserve"/>
      </w:r>
    </w:p>
    <w:p>
      <w:pPr>
        <w:pStyle w:val="Heading2"/>
      </w:pPr>
      <w:r>
        <w:t xml:space="preserve">Responsible Deployment Checklist</w:t>
      </w:r>
    </w:p>
    <w:p>
      <w:pPr>
        <w:spacing w:after="120"/>
      </w:pPr>
      <w:r>
        <w:rPr>
          <w:rFonts w:ascii="Arial" w:cs="Arial" w:eastAsia="Arial" w:hAnsi="Arial"/>
          <w:sz w:val="22"/>
          <w:szCs w:val="22"/>
        </w:rPr>
        <w:t xml:space="preserve">Before using Betsy in a real procurement environment:</w:t>
      </w:r>
    </w:p>
    <w:p>
      <w:pPr>
        <w:spacing w:after="80"/>
      </w:pPr>
      <w:r>
        <w:t xml:space="preserve"/>
      </w:r>
    </w:p>
    <w:p>
      <w:pPr>
        <w:pStyle w:val="ListParagraph"/>
        <w:numPr>
          <w:ilvl w:val="0"/>
          <w:numId w:val="2"/>
        </w:numPr>
        <w:spacing w:after="80"/>
      </w:pPr>
      <w:r>
        <w:rPr>
          <w:rFonts w:ascii="Arial" w:cs="Arial" w:eastAsia="Arial" w:hAnsi="Arial"/>
          <w:sz w:val="22"/>
          <w:szCs w:val="22"/>
        </w:rPr>
        <w:t xml:space="preserve">Replace CSV files with live system integration (ERP, supplier APIs)</w:t>
      </w:r>
    </w:p>
    <w:p>
      <w:pPr>
        <w:pStyle w:val="ListParagraph"/>
        <w:numPr>
          <w:ilvl w:val="0"/>
          <w:numId w:val="2"/>
        </w:numPr>
        <w:spacing w:after="80"/>
      </w:pPr>
      <w:r>
        <w:rPr>
          <w:rFonts w:ascii="Arial" w:cs="Arial" w:eastAsia="Arial" w:hAnsi="Arial"/>
          <w:sz w:val="22"/>
          <w:szCs w:val="22"/>
        </w:rPr>
        <w:t xml:space="preserve">Test all 6 gates against real transaction volumes</w:t>
      </w:r>
    </w:p>
    <w:p>
      <w:pPr>
        <w:pStyle w:val="ListParagraph"/>
        <w:numPr>
          <w:ilvl w:val="0"/>
          <w:numId w:val="2"/>
        </w:numPr>
        <w:spacing w:after="80"/>
      </w:pPr>
      <w:r>
        <w:rPr>
          <w:rFonts w:ascii="Arial" w:cs="Arial" w:eastAsia="Arial" w:hAnsi="Arial"/>
          <w:sz w:val="22"/>
          <w:szCs w:val="22"/>
        </w:rPr>
        <w:t xml:space="preserve">Review and agree the €300 spend threshold with the operations manager</w:t>
      </w:r>
    </w:p>
    <w:p>
      <w:pPr>
        <w:pStyle w:val="ListParagraph"/>
        <w:numPr>
          <w:ilvl w:val="0"/>
          <w:numId w:val="2"/>
        </w:numPr>
        <w:spacing w:after="80"/>
      </w:pPr>
      <w:r>
        <w:rPr>
          <w:rFonts w:ascii="Arial" w:cs="Arial" w:eastAsia="Arial" w:hAnsi="Arial"/>
          <w:sz w:val="22"/>
          <w:szCs w:val="22"/>
        </w:rPr>
        <w:t xml:space="preserve">Train the operations manager on the approve/reject flow and the 1-hour override window</w:t>
      </w:r>
    </w:p>
    <w:p>
      <w:pPr>
        <w:pStyle w:val="ListParagraph"/>
        <w:numPr>
          <w:ilvl w:val="0"/>
          <w:numId w:val="2"/>
        </w:numPr>
        <w:spacing w:after="80"/>
      </w:pPr>
      <w:r>
        <w:rPr>
          <w:rFonts w:ascii="Arial" w:cs="Arial" w:eastAsia="Arial" w:hAnsi="Arial"/>
          <w:sz w:val="22"/>
          <w:szCs w:val="22"/>
        </w:rPr>
        <w:t xml:space="preserve">Establish a review cadence (weekly or monthly) to check supplier reliability score trends</w:t>
      </w:r>
    </w:p>
    <w:p>
      <w:pPr>
        <w:pStyle w:val="ListParagraph"/>
        <w:numPr>
          <w:ilvl w:val="0"/>
          <w:numId w:val="2"/>
        </w:numPr>
        <w:spacing w:after="80"/>
      </w:pPr>
      <w:r>
        <w:rPr>
          <w:rFonts w:ascii="Arial" w:cs="Arial" w:eastAsia="Arial" w:hAnsi="Arial"/>
          <w:sz w:val="22"/>
          <w:szCs w:val="22"/>
        </w:rPr>
        <w:t xml:space="preserve">Add duplicate-order detection before deploying autonomous ordering</w:t>
      </w:r>
    </w:p>
    <w:p>
      <w:pPr>
        <w:pStyle w:val="ListParagraph"/>
        <w:numPr>
          <w:ilvl w:val="0"/>
          <w:numId w:val="2"/>
        </w:numPr>
        <w:spacing w:after="80"/>
      </w:pPr>
      <w:r>
        <w:rPr>
          <w:rFonts w:ascii="Arial" w:cs="Arial" w:eastAsia="Arial" w:hAnsi="Arial"/>
          <w:sz w:val="22"/>
          <w:szCs w:val="22"/>
        </w:rPr>
        <w:t xml:space="preserve">Document the escalation procedure for when Betsy is unavailable (e.g., Ollama not running)</w:t>
      </w:r>
    </w:p>
    <w:p>
      <w:pPr>
        <w:pStyle w:val="ListParagraph"/>
        <w:numPr>
          <w:ilvl w:val="0"/>
          <w:numId w:val="2"/>
        </w:numPr>
        <w:spacing w:after="80"/>
      </w:pPr>
      <w:r>
        <w:rPr>
          <w:rFonts w:ascii="Arial" w:cs="Arial" w:eastAsia="Arial" w:hAnsi="Arial"/>
          <w:sz w:val="22"/>
          <w:szCs w:val="22"/>
        </w:rPr>
        <w:t xml:space="preserve">Agree data retention policy for the audit log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right"/>
    </w:pPr>
    <w:r>
      <w:rPr>
        <w:rFonts w:ascii="Arial" w:cs="Arial" w:eastAsia="Arial" w:hAnsi="Arial"/>
        <w:color w:val="888888"/>
        <w:sz w:val="16"/>
        <w:szCs w:val="16"/>
      </w:rPr>
      <w:t xml:space="preserve">Betsy Autonomous Procurement Agent — GenAI Semester 2026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555555"/>
        <w:sz w:val="18"/>
        <w:szCs w:val="18"/>
      </w:rPr>
      <w:t xml:space="preserve">Ethics and Responsibility</w:t>
    </w:r>
    <w:r>
      <w:rPr>
        <w:rFonts w:ascii="Arial" w:cs="Arial" w:eastAsia="Arial" w:hAnsi="Arial"/>
        <w:color w:val="888888"/>
        <w:sz w:val="18"/>
        <w:szCs w:val="18"/>
      </w:rPr>
      <w:t xml:space="preserve">  |  LO2 Advising | LO6 Professional Standard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2E4057"/>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4057"/>
      <w:sz w:val="24"/>
      <w:szCs w:val="24"/>
    </w:rPr>
  </w:style>
  <w:style w:type="paragraph" w:styleId="Heading3">
    <w:name w:val="Heading 3"/>
    <w:basedOn w:val="Normal"/>
    <w:next w:val="Normal"/>
    <w:qFormat/>
    <w:pPr>
      <w:spacing w:after="6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2026-06-06T00:14:26.669Z</dcterms:created>
  <dcterms:modified xsi:type="dcterms:W3CDTF">2026-06-06T00:14:26.669Z</dcterms:modified>
</cp:coreProperties>
</file>

<file path=docProps/custom.xml><?xml version="1.0" encoding="utf-8"?>
<Properties xmlns="http://schemas.openxmlformats.org/officeDocument/2006/custom-properties" xmlns:vt="http://schemas.openxmlformats.org/officeDocument/2006/docPropsVTypes"/>
</file>