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p>
    <w:p>
      <w:pPr>
        <w:spacing w:after="60" w:before="60"/>
      </w:pPr>
    </w:p>
    <w:p>
      <w:pPr>
        <w:spacing w:after="60" w:before="60"/>
      </w:pPr>
    </w:p>
    <w:p>
      <w:pPr>
        <w:spacing w:after="60" w:before="60"/>
      </w:pPr>
    </w:p>
    <w:p>
      <w:pPr>
        <w:spacing w:after="60" w:before="60"/>
      </w:pPr>
    </w:p>
    <w:p>
      <w:pPr>
        <w:pBdr>
          <w:bottom w:val="single" w:color="2E75B6" w:sz="6" w:space="1"/>
        </w:pBdr>
      </w:pPr>
    </w:p>
    <w:p>
      <w:pPr>
        <w:spacing w:after="60" w:before="60"/>
      </w:pPr>
    </w:p>
    <w:p>
      <w:pPr>
        <w:spacing w:after="200" w:before="600"/>
        <w:jc w:val="center"/>
      </w:pPr>
      <w:r>
        <w:rPr>
          <w:rFonts w:ascii="Arial" w:cs="Arial" w:eastAsia="Arial" w:hAnsi="Arial"/>
          <w:b/>
          <w:bCs/>
          <w:color w:val="1B3A5C"/>
          <w:sz w:val="36"/>
          <w:szCs w:val="36"/>
        </w:rPr>
        <w:t xml:space="preserve">TIEN PHONG CDS</w:t>
      </w:r>
    </w:p>
    <w:p>
      <w:pPr>
        <w:spacing w:after="100"/>
        <w:jc w:val="center"/>
      </w:pPr>
      <w:r>
        <w:rPr>
          <w:rFonts w:ascii="Arial" w:cs="Arial" w:eastAsia="Arial" w:hAnsi="Arial"/>
          <w:i/>
          <w:iCs/>
          <w:color w:val="2E75B6"/>
          <w:sz w:val="22"/>
          <w:szCs w:val="22"/>
        </w:rPr>
        <w:t xml:space="preserve">Dẫn đầu Chuyển đổi số Kinh doanh</w:t>
      </w:r>
    </w:p>
    <w:p>
      <w:pPr>
        <w:spacing w:after="60" w:before="60"/>
      </w:pPr>
    </w:p>
    <w:p>
      <w:pPr>
        <w:spacing w:after="60" w:before="60"/>
      </w:pPr>
    </w:p>
    <w:p>
      <w:pPr>
        <w:spacing w:after="200" w:before="400"/>
        <w:jc w:val="center"/>
      </w:pPr>
      <w:r>
        <w:rPr>
          <w:rFonts w:ascii="Arial" w:cs="Arial" w:eastAsia="Arial" w:hAnsi="Arial"/>
          <w:b/>
          <w:bCs/>
          <w:color w:val="1B3A5C"/>
          <w:sz w:val="32"/>
          <w:szCs w:val="32"/>
        </w:rPr>
        <w:t xml:space="preserve">PHÂN TÍCH MỨC ĐỘ ƯU TIÊN ĐỌC TÀI LIỆU</w:t>
      </w:r>
    </w:p>
    <w:p>
      <w:pPr>
        <w:spacing w:after="100"/>
        <w:jc w:val="center"/>
      </w:pPr>
      <w:r>
        <w:rPr>
          <w:rFonts w:ascii="Arial" w:cs="Arial" w:eastAsia="Arial" w:hAnsi="Arial"/>
          <w:b/>
          <w:bCs/>
          <w:color w:val="2E75B6"/>
          <w:sz w:val="26"/>
          <w:szCs w:val="26"/>
        </w:rPr>
        <w:t xml:space="preserve">Dự án eMarketing DMP - Nova Group</w:t>
      </w:r>
    </w:p>
    <w:p>
      <w:pPr>
        <w:spacing w:after="60" w:before="60"/>
      </w:pPr>
    </w:p>
    <w:p>
      <w:pPr>
        <w:pBdr>
          <w:bottom w:val="single" w:color="2E75B6" w:sz="6" w:space="1"/>
        </w:pBdr>
      </w:pPr>
    </w:p>
    <w:p>
      <w:pPr>
        <w:spacing w:after="60" w:before="60"/>
      </w:pPr>
    </w:p>
    <w:p>
      <w:pPr>
        <w:spacing w:after="60" w:before="6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color w:val="666666"/>
                <w:sz w:val="20"/>
                <w:szCs w:val="20"/>
              </w:rPr>
              <w:t xml:space="preserve">Dự án:</w:t>
            </w:r>
          </w:p>
        </w:tc>
        <w:tc>
          <w:tcPr>
            <w:tcW w:type="dxa" w:w="3000"/>
            <w:tcBorders>
              <w:top w:val="none" w:sz="0"/>
              <w:left w:val="none" w:sz="0"/>
              <w:bottom w:val="none" w:sz="0"/>
              <w:right w:val="none" w:sz="0"/>
            </w:tcBorders>
            <w:tcMar>
              <w:top w:type="dxa" w:w="60"/>
              <w:left w:type="dxa" w:w="100"/>
              <w:bottom w:type="dxa" w:w="60"/>
              <w:right w:type="dxa" w:w="100"/>
            </w:tcMar>
          </w:tcPr>
          <w:p>
            <w:r>
              <w:rPr>
                <w:rFonts w:ascii="Arial" w:cs="Arial" w:eastAsia="Arial" w:hAnsi="Arial"/>
                <w:sz w:val="20"/>
                <w:szCs w:val="20"/>
              </w:rPr>
              <w:t xml:space="preserve">eMarketing DMP</w:t>
            </w:r>
          </w:p>
        </w:tc>
      </w:tr>
      <w:tr>
        <w:tc>
          <w:tcPr>
            <w:tcW w:type="dxa" w:w="20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color w:val="666666"/>
                <w:sz w:val="20"/>
                <w:szCs w:val="20"/>
              </w:rPr>
              <w:t xml:space="preserve">Khách hàng:</w:t>
            </w:r>
          </w:p>
        </w:tc>
        <w:tc>
          <w:tcPr>
            <w:tcW w:type="dxa" w:w="3000"/>
            <w:tcBorders>
              <w:top w:val="none" w:sz="0"/>
              <w:left w:val="none" w:sz="0"/>
              <w:bottom w:val="none" w:sz="0"/>
              <w:right w:val="none" w:sz="0"/>
            </w:tcBorders>
            <w:tcMar>
              <w:top w:type="dxa" w:w="60"/>
              <w:left w:type="dxa" w:w="100"/>
              <w:bottom w:type="dxa" w:w="60"/>
              <w:right w:type="dxa" w:w="100"/>
            </w:tcMar>
          </w:tcPr>
          <w:p>
            <w:r>
              <w:rPr>
                <w:rFonts w:ascii="Arial" w:cs="Arial" w:eastAsia="Arial" w:hAnsi="Arial"/>
                <w:sz w:val="20"/>
                <w:szCs w:val="20"/>
              </w:rPr>
              <w:t xml:space="preserve">Nova Group</w:t>
            </w:r>
          </w:p>
        </w:tc>
      </w:tr>
      <w:tr>
        <w:tc>
          <w:tcPr>
            <w:tcW w:type="dxa" w:w="20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color w:val="666666"/>
                <w:sz w:val="20"/>
                <w:szCs w:val="20"/>
              </w:rPr>
              <w:t xml:space="preserve">Mã tài liệu:</w:t>
            </w:r>
          </w:p>
        </w:tc>
        <w:tc>
          <w:tcPr>
            <w:tcW w:type="dxa" w:w="3000"/>
            <w:tcBorders>
              <w:top w:val="none" w:sz="0"/>
              <w:left w:val="none" w:sz="0"/>
              <w:bottom w:val="none" w:sz="0"/>
              <w:right w:val="none" w:sz="0"/>
            </w:tcBorders>
            <w:tcMar>
              <w:top w:type="dxa" w:w="60"/>
              <w:left w:type="dxa" w:w="100"/>
              <w:bottom w:type="dxa" w:w="60"/>
              <w:right w:type="dxa" w:w="100"/>
            </w:tcMar>
          </w:tcPr>
          <w:p>
            <w:r>
              <w:rPr>
                <w:rFonts w:ascii="Arial" w:cs="Arial" w:eastAsia="Arial" w:hAnsi="Arial"/>
                <w:sz w:val="20"/>
                <w:szCs w:val="20"/>
              </w:rPr>
              <w:t xml:space="preserve">EM-BPD-002 v2.0</w:t>
            </w:r>
          </w:p>
        </w:tc>
      </w:tr>
      <w:tr>
        <w:tc>
          <w:tcPr>
            <w:tcW w:type="dxa" w:w="20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color w:val="666666"/>
                <w:sz w:val="20"/>
                <w:szCs w:val="20"/>
              </w:rPr>
              <w:t xml:space="preserve">Ngày:</w:t>
            </w:r>
          </w:p>
        </w:tc>
        <w:tc>
          <w:tcPr>
            <w:tcW w:type="dxa" w:w="3000"/>
            <w:tcBorders>
              <w:top w:val="none" w:sz="0"/>
              <w:left w:val="none" w:sz="0"/>
              <w:bottom w:val="none" w:sz="0"/>
              <w:right w:val="none" w:sz="0"/>
            </w:tcBorders>
            <w:tcMar>
              <w:top w:type="dxa" w:w="60"/>
              <w:left w:type="dxa" w:w="100"/>
              <w:bottom w:type="dxa" w:w="60"/>
              <w:right w:type="dxa" w:w="100"/>
            </w:tcMar>
          </w:tcPr>
          <w:p>
            <w:r>
              <w:rPr>
                <w:rFonts w:ascii="Arial" w:cs="Arial" w:eastAsia="Arial" w:hAnsi="Arial"/>
                <w:sz w:val="20"/>
                <w:szCs w:val="20"/>
              </w:rPr>
              <w:t xml:space="preserve">13/03/2026</w:t>
            </w:r>
          </w:p>
        </w:tc>
      </w:tr>
      <w:tr>
        <w:tc>
          <w:tcPr>
            <w:tcW w:type="dxa" w:w="20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color w:val="666666"/>
                <w:sz w:val="20"/>
                <w:szCs w:val="20"/>
              </w:rPr>
              <w:t xml:space="preserve">Chuẩn bị:</w:t>
            </w:r>
          </w:p>
        </w:tc>
        <w:tc>
          <w:tcPr>
            <w:tcW w:type="dxa" w:w="3000"/>
            <w:tcBorders>
              <w:top w:val="none" w:sz="0"/>
              <w:left w:val="none" w:sz="0"/>
              <w:bottom w:val="none" w:sz="0"/>
              <w:right w:val="none" w:sz="0"/>
            </w:tcBorders>
            <w:tcMar>
              <w:top w:type="dxa" w:w="60"/>
              <w:left w:type="dxa" w:w="100"/>
              <w:bottom w:type="dxa" w:w="60"/>
              <w:right w:type="dxa" w:w="100"/>
            </w:tcMar>
          </w:tcPr>
          <w:p>
            <w:r>
              <w:rPr>
                <w:rFonts w:ascii="Arial" w:cs="Arial" w:eastAsia="Arial" w:hAnsi="Arial"/>
                <w:sz w:val="20"/>
                <w:szCs w:val="20"/>
              </w:rPr>
              <w:t xml:space="preserve">TienPhong CDS - BA Team</w:t>
            </w:r>
          </w:p>
        </w:tc>
      </w:tr>
    </w:tbl>
    <w:p>
      <w:pPr>
        <w:spacing w:after="60" w:before="60"/>
      </w:pPr>
    </w:p>
    <w:p>
      <w:pPr>
        <w:spacing w:after="60" w:before="60"/>
      </w:pPr>
    </w:p>
    <w:p>
      <w:pPr>
        <w:spacing w:after="60" w:before="60"/>
      </w:pPr>
    </w:p>
    <w:p>
      <w:pPr>
        <w:jc w:val="center"/>
      </w:pPr>
      <w:r>
        <w:rPr>
          <w:rFonts w:ascii="Arial" w:cs="Arial" w:eastAsia="Arial" w:hAnsi="Arial"/>
          <w:b/>
          <w:bCs/>
          <w:color w:val="C0392B"/>
          <w:sz w:val="18"/>
          <w:szCs w:val="18"/>
        </w:rPr>
        <w:t xml:space="preserve">TÀI LIỆU NỘI BỘ - INTERNAL USE ONLY</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28"/>
          <w:szCs w:val="28"/>
        </w:rPr>
        <w:t xml:space="preserve">1. Mục Đích Tài Liệu</w:t>
      </w:r>
    </w:p>
    <w:p>
      <w:pPr>
        <w:spacing w:after="80" w:before="80"/>
      </w:pPr>
      <w:r>
        <w:rPr>
          <w:rFonts w:ascii="Arial" w:cs="Arial" w:eastAsia="Arial" w:hAnsi="Arial"/>
          <w:b w:val="false"/>
          <w:bCs w:val="false"/>
          <w:i w:val="false"/>
          <w:iCs w:val="false"/>
          <w:color w:val="333333"/>
          <w:sz w:val="20"/>
          <w:szCs w:val="20"/>
        </w:rPr>
        <w:t xml:space="preserve">Tài liệu này phân tích và đánh giá mức độ ưu tiên đọc các tài liệu mà Nova Group đã upload lên SharePoint, phục vụ việc triển khai dự án eMarketing DMP.</w:t>
      </w:r>
    </w:p>
    <w:p>
      <w:pPr>
        <w:spacing w:after="60" w:before="60"/>
      </w:pPr>
    </w:p>
    <w:p>
      <w:pPr>
        <w:spacing w:after="80" w:before="80"/>
      </w:pPr>
      <w:r>
        <w:rPr>
          <w:rFonts w:ascii="Arial" w:cs="Arial" w:eastAsia="Arial" w:hAnsi="Arial"/>
          <w:b w:val="false"/>
          <w:bCs w:val="false"/>
          <w:i w:val="false"/>
          <w:iCs w:val="false"/>
          <w:color w:val="333333"/>
          <w:sz w:val="20"/>
          <w:szCs w:val="20"/>
        </w:rPr>
        <w:t xml:space="preserve">Cơ sở phân tích:</w:t>
      </w:r>
    </w:p>
    <w:p>
      <w:pPr>
        <w:pStyle w:val="ListParagraph"/>
        <w:numPr>
          <w:ilvl w:val="0"/>
          <w:numId w:val="2"/>
        </w:numPr>
        <w:spacing w:after="40" w:before="40"/>
      </w:pPr>
      <w:r>
        <w:rPr>
          <w:rFonts w:ascii="Arial" w:cs="Arial" w:eastAsia="Arial" w:hAnsi="Arial"/>
          <w:sz w:val="20"/>
          <w:szCs w:val="20"/>
        </w:rPr>
        <w:t xml:space="preserve">Bản trả lời khảo sát EM-BPD-002 v2.0 (41 trang, 9 modules)</w:t>
      </w:r>
    </w:p>
    <w:p>
      <w:pPr>
        <w:pStyle w:val="ListParagraph"/>
        <w:numPr>
          <w:ilvl w:val="0"/>
          <w:numId w:val="2"/>
        </w:numPr>
        <w:spacing w:after="40" w:before="40"/>
      </w:pPr>
      <w:r>
        <w:rPr>
          <w:rFonts w:ascii="Arial" w:cs="Arial" w:eastAsia="Arial" w:hAnsi="Arial"/>
          <w:sz w:val="20"/>
          <w:szCs w:val="20"/>
        </w:rPr>
        <w:t xml:space="preserve">Cấu trúc thư mục SharePoint của Nova Group (NVG-MAC)</w:t>
      </w:r>
    </w:p>
    <w:p>
      <w:pPr>
        <w:pStyle w:val="ListParagraph"/>
        <w:numPr>
          <w:ilvl w:val="0"/>
          <w:numId w:val="2"/>
        </w:numPr>
        <w:spacing w:after="40" w:before="40"/>
      </w:pPr>
      <w:r>
        <w:rPr>
          <w:rFonts w:ascii="Arial" w:cs="Arial" w:eastAsia="Arial" w:hAnsi="Arial"/>
          <w:sz w:val="20"/>
          <w:szCs w:val="20"/>
        </w:rPr>
        <w:t xml:space="preserve">Bảng đánh giá mức độ ưu tiên modules (Tier 1–5) từ khảo sát</w:t>
      </w:r>
    </w:p>
    <w:p>
      <w:pPr>
        <w:pStyle w:val="Heading1"/>
        <w:spacing w:after="200" w:before="360"/>
      </w:pPr>
      <w:r>
        <w:rPr>
          <w:rFonts w:ascii="Arial" w:cs="Arial" w:eastAsia="Arial" w:hAnsi="Arial"/>
          <w:b/>
          <w:bCs/>
          <w:color w:val="1B3A5C"/>
          <w:sz w:val="28"/>
          <w:szCs w:val="28"/>
        </w:rPr>
        <w:t xml:space="preserve">2. Tổng Quan Phân Hạng Module</w:t>
      </w:r>
    </w:p>
    <w:p>
      <w:pPr>
        <w:spacing w:after="80" w:before="80"/>
      </w:pPr>
      <w:r>
        <w:rPr>
          <w:rFonts w:ascii="Arial" w:cs="Arial" w:eastAsia="Arial" w:hAnsi="Arial"/>
          <w:b w:val="false"/>
          <w:bCs w:val="false"/>
          <w:i w:val="false"/>
          <w:iCs w:val="false"/>
          <w:color w:val="333333"/>
          <w:sz w:val="20"/>
          <w:szCs w:val="20"/>
        </w:rPr>
        <w:t xml:space="preserve">Dựa trên bảng đánh giá trong khảo sát, các module được phân thành 5 tier:</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2000"/>
        <w:gridCol w:w="2000"/>
      </w:tblGrid>
      <w:tr>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Tier</w:t>
            </w:r>
          </w:p>
        </w:tc>
        <w:tc>
          <w:tcPr>
            <w:tcW w:type="dxa" w:w="4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Modules</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Mức độ</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Ghi chú</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center"/>
            </w:pPr>
            <w:r>
              <w:rPr>
                <w:rFonts w:ascii="Arial" w:cs="Arial" w:eastAsia="Arial" w:hAnsi="Arial"/>
                <w:b/>
                <w:bCs/>
                <w:color w:val="C0392B"/>
                <w:sz w:val="18"/>
                <w:szCs w:val="18"/>
              </w:rPr>
              <w:t xml:space="preserve">Tier 1</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M1 (AOP/Budget), M9.1 (Workflow), M9.3 (Integration)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center"/>
            </w:pPr>
            <w:r>
              <w:rPr>
                <w:rFonts w:ascii="Arial" w:cs="Arial" w:eastAsia="Arial" w:hAnsi="Arial"/>
                <w:b/>
                <w:bCs/>
                <w:color w:val="C0392B"/>
                <w:sz w:val="18"/>
                <w:szCs w:val="18"/>
              </w:rPr>
              <w:t xml:space="preserve">Nền tảng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Triển khai đầu tiên</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Arial" w:cs="Arial" w:eastAsia="Arial" w:hAnsi="Arial"/>
                <w:b/>
                <w:bCs/>
                <w:color w:val="E67E22"/>
                <w:sz w:val="18"/>
                <w:szCs w:val="18"/>
              </w:rPr>
              <w:t xml:space="preserve">Tier 2</w:t>
            </w:r>
          </w:p>
        </w:tc>
        <w:tc>
          <w:tcPr>
            <w:tcW w:type="dxa" w:w="4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M3 (Campaign/POSM/Promotion), M5 (Paid Ads/OOH/Event)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Arial" w:cs="Arial" w:eastAsia="Arial" w:hAnsi="Arial"/>
                <w:b/>
                <w:bCs/>
                <w:color w:val="E67E22"/>
                <w:sz w:val="18"/>
                <w:szCs w:val="18"/>
              </w:rPr>
              <w:t xml:space="preserve">Quan trọng</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Sau khi có nền tảng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center"/>
            </w:pPr>
            <w:r>
              <w:rPr>
                <w:rFonts w:ascii="Arial" w:cs="Arial" w:eastAsia="Arial" w:hAnsi="Arial"/>
                <w:b/>
                <w:bCs/>
                <w:color w:val="B7950B"/>
                <w:sz w:val="18"/>
                <w:szCs w:val="18"/>
              </w:rPr>
              <w:t xml:space="preserve">Tier 3</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M2 (Campaign Strategy), M4 (Content/DAM), M6 (Omnichannel/CDP)</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center"/>
            </w:pPr>
            <w:r>
              <w:rPr>
                <w:rFonts w:ascii="Arial" w:cs="Arial" w:eastAsia="Arial" w:hAnsi="Arial"/>
                <w:b/>
                <w:bCs/>
                <w:color w:val="B7950B"/>
                <w:sz w:val="18"/>
                <w:szCs w:val="18"/>
              </w:rPr>
              <w:t xml:space="preserve">Cần thiết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Triển khai song song</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Arial" w:cs="Arial" w:eastAsia="Arial" w:hAnsi="Arial"/>
                <w:b/>
                <w:bCs/>
                <w:color w:val="27AE60"/>
                <w:sz w:val="18"/>
                <w:szCs w:val="18"/>
              </w:rPr>
              <w:t xml:space="preserve">Tier 4</w:t>
            </w:r>
          </w:p>
        </w:tc>
        <w:tc>
          <w:tcPr>
            <w:tcW w:type="dxa" w:w="4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M7 (PR/Media), M8 (KPI/ROI/AI Analytics)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Arial" w:cs="Arial" w:eastAsia="Arial" w:hAnsi="Arial"/>
                <w:b/>
                <w:bCs/>
                <w:color w:val="27AE60"/>
                <w:sz w:val="18"/>
                <w:szCs w:val="18"/>
              </w:rPr>
              <w:t xml:space="preserve">Bổ sung</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Phase 2+</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center"/>
            </w:pPr>
            <w:r>
              <w:rPr>
                <w:rFonts w:ascii="Arial" w:cs="Arial" w:eastAsia="Arial" w:hAnsi="Arial"/>
                <w:b/>
                <w:bCs/>
                <w:color w:val="7F8C8D"/>
                <w:sz w:val="18"/>
                <w:szCs w:val="18"/>
              </w:rPr>
              <w:t xml:space="preserve">Tier 5</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M9.2 (RBAC - phân quyền nâng cao)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center"/>
            </w:pPr>
            <w:r>
              <w:rPr>
                <w:rFonts w:ascii="Arial" w:cs="Arial" w:eastAsia="Arial" w:hAnsi="Arial"/>
                <w:b/>
                <w:bCs/>
                <w:color w:val="7F8C8D"/>
                <w:sz w:val="18"/>
                <w:szCs w:val="18"/>
              </w:rPr>
              <w:t xml:space="preserve">Tùy chọn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Nếu cần</w:t>
            </w:r>
          </w:p>
        </w:tc>
      </w:tr>
    </w:tbl>
    <w:p>
      <w:r>
        <w:br w:type="page"/>
      </w:r>
    </w:p>
    <w:p>
      <w:pPr>
        <w:pStyle w:val="Heading1"/>
        <w:spacing w:after="200" w:before="360"/>
      </w:pPr>
      <w:r>
        <w:rPr>
          <w:rFonts w:ascii="Arial" w:cs="Arial" w:eastAsia="Arial" w:hAnsi="Arial"/>
          <w:b/>
          <w:bCs/>
          <w:color w:val="1B3A5C"/>
          <w:sz w:val="28"/>
          <w:szCs w:val="28"/>
        </w:rPr>
        <w:t xml:space="preserve">3. Ưu Tiên Đọc Tài Liệu</w:t>
      </w:r>
    </w:p>
    <w:p>
      <w:pPr>
        <w:pStyle w:val="Heading2"/>
        <w:spacing w:after="160" w:before="240"/>
      </w:pPr>
      <w:r>
        <w:rPr>
          <w:rFonts w:ascii="Arial" w:cs="Arial" w:eastAsia="Arial" w:hAnsi="Arial"/>
          <w:b/>
          <w:bCs/>
          <w:color w:val="2E75B6"/>
          <w:sz w:val="24"/>
          <w:szCs w:val="24"/>
        </w:rPr>
        <w:t xml:space="preserve">3.1. Ưu Tiên 1 - Đọc Ngay (Tier 1 - Nền Tảng)</w:t>
      </w:r>
    </w:p>
    <w:p>
      <w:pPr>
        <w:spacing w:after="80" w:before="80"/>
      </w:pPr>
      <w:r>
        <w:rPr>
          <w:rFonts w:ascii="Arial" w:cs="Arial" w:eastAsia="Arial" w:hAnsi="Arial"/>
          <w:b w:val="false"/>
          <w:bCs w:val="false"/>
          <w:i w:val="false"/>
          <w:iCs w:val="false"/>
          <w:color w:val="333333"/>
          <w:sz w:val="20"/>
          <w:szCs w:val="20"/>
        </w:rPr>
        <w:t xml:space="preserve">Các tài liệu liên quan trực tiếp đến modules nền tảng (M1, M9.1, M9.3). Đây là những tài liệu cần đọc và phân tích trước tiên để hiểu rõ quy trình lập kế hoạch, phân bổ ngân sách và workflow hiện tại.</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200"/>
        <w:gridCol w:w="256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Mã tài liệu</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Tên tài liệu</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Module liên quan</w:t>
            </w:r>
          </w:p>
        </w:tc>
        <w:tc>
          <w:tcPr>
            <w:tcW w:type="dxa" w:w="2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Lý do ưu tiên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b/>
                <w:bCs/>
                <w:color w:val="333333"/>
                <w:sz w:val="18"/>
                <w:szCs w:val="18"/>
              </w:rPr>
              <w:t xml:space="preserve">NVG-MAC-REG09</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Quy chế lập kế hoạch Marketing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M1 (AOP/Budget)</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Nền tảng quy trình lập ngân sách MKT</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b/>
                <w:bCs/>
                <w:color w:val="333333"/>
                <w:sz w:val="18"/>
                <w:szCs w:val="18"/>
              </w:rPr>
              <w:t xml:space="preserve">Brand Guideline Form</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Brand Guideline (NVG-MAC-REG09)</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M4 (Content/DAM)</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Chuẩn brand để cấu hình DAM</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b/>
                <w:bCs/>
                <w:color w:val="333333"/>
                <w:sz w:val="18"/>
                <w:szCs w:val="18"/>
              </w:rPr>
              <w:t xml:space="preserve">Sales &amp; MKT Plan.xlsx</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Kế hoạch Sales &amp; MKT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M1, M2, M8</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Template KPI/Budget thực tế</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b/>
                <w:bCs/>
                <w:color w:val="333333"/>
                <w:sz w:val="18"/>
                <w:szCs w:val="18"/>
              </w:rPr>
              <w:t xml:space="preserve">NVG-MAC-SOP17</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Quy trình lập kế hoạch MKT</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M1, M9.1</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Workflow cần số hóa đầu tiên</w:t>
            </w:r>
          </w:p>
        </w:tc>
      </w:tr>
    </w:tbl>
    <w:p>
      <w:pPr>
        <w:spacing w:after="60" w:before="60"/>
      </w:pPr>
    </w:p>
    <w:p>
      <w:pPr>
        <w:pStyle w:val="Heading2"/>
        <w:spacing w:after="160" w:before="240"/>
      </w:pPr>
      <w:r>
        <w:rPr>
          <w:rFonts w:ascii="Arial" w:cs="Arial" w:eastAsia="Arial" w:hAnsi="Arial"/>
          <w:b/>
          <w:bCs/>
          <w:color w:val="2E75B6"/>
          <w:sz w:val="24"/>
          <w:szCs w:val="24"/>
        </w:rPr>
        <w:t xml:space="preserve">3.2. Ưu Tiên 2 - Đọc Sớm (Tier 2 - Campaign &amp; Paid Media)</w:t>
      </w:r>
    </w:p>
    <w:p>
      <w:pPr>
        <w:spacing w:after="80" w:before="80"/>
      </w:pPr>
      <w:r>
        <w:rPr>
          <w:rFonts w:ascii="Arial" w:cs="Arial" w:eastAsia="Arial" w:hAnsi="Arial"/>
          <w:b w:val="false"/>
          <w:bCs w:val="false"/>
          <w:i w:val="false"/>
          <w:iCs w:val="false"/>
          <w:color w:val="333333"/>
          <w:sz w:val="20"/>
          <w:szCs w:val="20"/>
        </w:rPr>
        <w:t xml:space="preserve">Tài liệu liên quan đến quản lý chiến dịch, POSM, khuyến mãi và quảng cáo. Cần đọc sau khi đã hiểu nền tảng từ Ưu tiên 1.</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200"/>
        <w:gridCol w:w="256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Mã tài liệu</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Tên tài liệu</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Module liên quan</w:t>
            </w:r>
          </w:p>
        </w:tc>
        <w:tc>
          <w:tcPr>
            <w:tcW w:type="dxa" w:w="2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Lý do ưu tiên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b/>
                <w:bCs/>
                <w:color w:val="333333"/>
                <w:sz w:val="18"/>
                <w:szCs w:val="18"/>
              </w:rPr>
              <w:t xml:space="preserve">NVG-MAC-SOP18</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Quy trình quản lý POSM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M3 (POSM)</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POSM lifecycle management</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b/>
                <w:bCs/>
                <w:color w:val="333333"/>
                <w:sz w:val="18"/>
                <w:szCs w:val="18"/>
              </w:rPr>
              <w:t xml:space="preserve">NVG-MAC-SOP19</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Quy trình triển khai CTKM</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M3 (Promotion)</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Promotion workflow + approval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b/>
                <w:bCs/>
                <w:color w:val="333333"/>
                <w:sz w:val="18"/>
                <w:szCs w:val="18"/>
              </w:rPr>
              <w:t xml:space="preserve">NVG-MAC-REG14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Quy chế tổ chức Event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M5 (Event)</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Event management được mention nhiều</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b/>
                <w:bCs/>
                <w:color w:val="333333"/>
                <w:sz w:val="18"/>
                <w:szCs w:val="18"/>
              </w:rPr>
              <w:t xml:space="preserve">NVG-MAC-SOP16</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Quy trình quảng cáo OOH</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M5 (OOH/Ads)</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Paid media management</w:t>
            </w:r>
          </w:p>
        </w:tc>
      </w:tr>
    </w:tbl>
    <w:p>
      <w:r>
        <w:br w:type="page"/>
      </w:r>
    </w:p>
    <w:p>
      <w:pPr>
        <w:pStyle w:val="Heading2"/>
        <w:spacing w:after="160" w:before="240"/>
      </w:pPr>
      <w:r>
        <w:rPr>
          <w:rFonts w:ascii="Arial" w:cs="Arial" w:eastAsia="Arial" w:hAnsi="Arial"/>
          <w:b/>
          <w:bCs/>
          <w:color w:val="2E75B6"/>
          <w:sz w:val="24"/>
          <w:szCs w:val="24"/>
        </w:rPr>
        <w:t xml:space="preserve">3.3. Ưu Tiên 3 - Đọc Bổ Sung (Tier 3 - Content &amp; Social)</w:t>
      </w:r>
    </w:p>
    <w:p>
      <w:pPr>
        <w:spacing w:after="80" w:before="80"/>
      </w:pPr>
      <w:r>
        <w:rPr>
          <w:rFonts w:ascii="Arial" w:cs="Arial" w:eastAsia="Arial" w:hAnsi="Arial"/>
          <w:b w:val="false"/>
          <w:bCs w:val="false"/>
          <w:i w:val="false"/>
          <w:iCs w:val="false"/>
          <w:color w:val="333333"/>
          <w:sz w:val="20"/>
          <w:szCs w:val="20"/>
        </w:rPr>
        <w:t xml:space="preserve">Tài liệu về quản lý nội dung, thương hiệu, mạng xã hội và PR. Cung cấp thêm ngữ cảnh cho các module được triển khai song song.</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200"/>
        <w:gridCol w:w="256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Mã tài liệu</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Tên tài liệu</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Module liên quan</w:t>
            </w:r>
          </w:p>
        </w:tc>
        <w:tc>
          <w:tcPr>
            <w:tcW w:type="dxa" w:w="2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Lý do ưu tiên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b/>
                <w:bCs/>
                <w:color w:val="333333"/>
                <w:sz w:val="18"/>
                <w:szCs w:val="18"/>
              </w:rPr>
              <w:t xml:space="preserve">NVG-MAC-SOP11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Phản hồi KH qua MXH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M6 (Social Listening)</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Social response workflow</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b/>
                <w:bCs/>
                <w:color w:val="333333"/>
                <w:sz w:val="18"/>
                <w:szCs w:val="18"/>
              </w:rPr>
              <w:t xml:space="preserve">NVG-MAC-REG02</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Quy chế quản lý nhãn hiệu</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M4 (DAM)</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Brand governance cho DAM</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b/>
                <w:bCs/>
                <w:color w:val="333333"/>
                <w:sz w:val="18"/>
                <w:szCs w:val="18"/>
              </w:rPr>
              <w:t xml:space="preserve">NVG-MAC-REG08</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Quy chế nhận diện thương hiệu</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M4 (DAM)</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Visual identity standards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b/>
                <w:bCs/>
                <w:color w:val="333333"/>
                <w:sz w:val="18"/>
                <w:szCs w:val="18"/>
              </w:rPr>
              <w:t xml:space="preserve">NVG-MAC-REG04</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Quy chế quan hệ báo chí</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M7 (PR/Media)</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PR approval workflow</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b/>
                <w:bCs/>
                <w:color w:val="333333"/>
                <w:sz w:val="18"/>
                <w:szCs w:val="18"/>
              </w:rPr>
              <w:t xml:space="preserve">NVG-MAC-REG05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Quy chế truyền thông nội bộ</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M7 (Internal Comms)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Internal comms rules</w:t>
            </w:r>
          </w:p>
        </w:tc>
      </w:tr>
    </w:tbl>
    <w:p>
      <w:pPr>
        <w:spacing w:after="60" w:before="60"/>
      </w:pPr>
    </w:p>
    <w:p>
      <w:pPr>
        <w:pStyle w:val="Heading2"/>
        <w:spacing w:after="160" w:before="240"/>
      </w:pPr>
      <w:r>
        <w:rPr>
          <w:rFonts w:ascii="Arial" w:cs="Arial" w:eastAsia="Arial" w:hAnsi="Arial"/>
          <w:b/>
          <w:bCs/>
          <w:color w:val="2E75B6"/>
          <w:sz w:val="24"/>
          <w:szCs w:val="24"/>
        </w:rPr>
        <w:t xml:space="preserve">3.4. Ưu Tiên 4 - Tham Khảo Thêm (Tier 4–5 - Bổ Sung)</w:t>
      </w:r>
    </w:p>
    <w:p>
      <w:pPr>
        <w:spacing w:after="80" w:before="80"/>
      </w:pPr>
      <w:r>
        <w:rPr>
          <w:rFonts w:ascii="Arial" w:cs="Arial" w:eastAsia="Arial" w:hAnsi="Arial"/>
          <w:b w:val="false"/>
          <w:bCs w:val="false"/>
          <w:i w:val="false"/>
          <w:iCs w:val="false"/>
          <w:color w:val="333333"/>
          <w:sz w:val="20"/>
          <w:szCs w:val="20"/>
        </w:rPr>
        <w:t xml:space="preserve">Tài liệu bổ sung về quy chế, tiêu chuẩn. Không cấp bách nhưng hữu ích để hiểu toàn diện hơn về quy trình MKT của Nova Group.</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200"/>
        <w:gridCol w:w="256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Mã tài liệu</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Tên tài liệu</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Module liên quan</w:t>
            </w:r>
          </w:p>
        </w:tc>
        <w:tc>
          <w:tcPr>
            <w:tcW w:type="dxa" w:w="2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Lý do ưu tiên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b/>
                <w:bCs/>
                <w:color w:val="333333"/>
                <w:sz w:val="18"/>
                <w:szCs w:val="18"/>
              </w:rPr>
              <w:t xml:space="preserve">NVG-MAC-REG03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Quy chế MXH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M6 (Social)</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Social media governance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b/>
                <w:bCs/>
                <w:color w:val="333333"/>
                <w:sz w:val="18"/>
                <w:szCs w:val="18"/>
              </w:rPr>
              <w:t xml:space="preserve">NVG-MAC-REG06</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Quy chế phát ngôn</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M7 (PR)</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Spokesperson guidelines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b/>
                <w:bCs/>
                <w:color w:val="333333"/>
                <w:sz w:val="18"/>
                <w:szCs w:val="18"/>
              </w:rPr>
              <w:t xml:space="preserve">NVG-MAC-REG07</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Quy chế xử lý khủng hoảng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M7 (Crisis)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Crisis management</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b/>
                <w:bCs/>
                <w:color w:val="333333"/>
                <w:sz w:val="18"/>
                <w:szCs w:val="18"/>
              </w:rPr>
              <w:t xml:space="preserve">NVG-MAC-REG10</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Quy chế tài trợ</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M1 (Budget)</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Sponsorship budget rules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b/>
                <w:bCs/>
                <w:color w:val="333333"/>
                <w:sz w:val="18"/>
                <w:szCs w:val="18"/>
              </w:rPr>
              <w:t xml:space="preserve">NVG-MAC-REG11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Quy chế quản lý vendor MKT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M9 (Vendor)</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Vendor management</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b/>
                <w:bCs/>
                <w:color w:val="333333"/>
                <w:sz w:val="18"/>
                <w:szCs w:val="18"/>
              </w:rPr>
              <w:t xml:space="preserve">NVG-MAC-REG12</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Quy chế đấu thầu</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M9 (Procurement)</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Bidding process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b/>
                <w:bCs/>
                <w:color w:val="333333"/>
                <w:sz w:val="18"/>
                <w:szCs w:val="18"/>
              </w:rPr>
              <w:t xml:space="preserve">NVG-MAC-SPEC02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Quy cách thiết kế ấn phẩm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M4 (DAM)</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Design specifications</w:t>
            </w:r>
          </w:p>
        </w:tc>
      </w:tr>
    </w:tbl>
    <w:p>
      <w:r>
        <w:br w:type="page"/>
      </w:r>
    </w:p>
    <w:p>
      <w:pPr>
        <w:pStyle w:val="Heading1"/>
        <w:spacing w:after="200" w:before="360"/>
      </w:pPr>
      <w:r>
        <w:rPr>
          <w:rFonts w:ascii="Arial" w:cs="Arial" w:eastAsia="Arial" w:hAnsi="Arial"/>
          <w:b/>
          <w:bCs/>
          <w:color w:val="1B3A5C"/>
          <w:sz w:val="28"/>
          <w:szCs w:val="28"/>
        </w:rPr>
        <w:t xml:space="preserve">4. Tài Liệu Còn Thiếu - Cần Họp Riêng</w:t>
      </w:r>
    </w:p>
    <w:p>
      <w:pPr>
        <w:spacing w:after="80" w:before="80"/>
      </w:pPr>
      <w:r>
        <w:rPr>
          <w:rFonts w:ascii="Arial" w:cs="Arial" w:eastAsia="Arial" w:hAnsi="Arial"/>
          <w:b w:val="false"/>
          <w:bCs w:val="false"/>
          <w:i w:val="false"/>
          <w:iCs w:val="false"/>
          <w:color w:val="333333"/>
          <w:sz w:val="20"/>
          <w:szCs w:val="20"/>
        </w:rPr>
        <w:t xml:space="preserve">Các hạng mục sau được đề cập trong khảo sát nhưng chưa có tài liệu tương ứng trên SharePoint. Cần tổ chức buổi họp riêng để thu thập thông tin.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2200"/>
        <w:gridCol w:w="3160"/>
      </w:tblGrid>
      <w:tr>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STT</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Hạng mục cần thu thập</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Module liên quan</w:t>
            </w:r>
          </w:p>
        </w:tc>
        <w:tc>
          <w:tcPr>
            <w:tcW w:type="dxa" w:w="3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Đề xuất hành động</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center"/>
            </w:pPr>
            <w:r>
              <w:rPr>
                <w:rFonts w:ascii="Arial" w:cs="Arial" w:eastAsia="Arial" w:hAnsi="Arial"/>
                <w:color w:val="333333"/>
                <w:sz w:val="18"/>
                <w:szCs w:val="18"/>
              </w:rPr>
              <w:t xml:space="preserve">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Danh sách nhà cung cấp MKT hiện tại</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M9.3 (Integration)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Cần họp riêng với Procurement</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Arial" w:cs="Arial" w:eastAsia="Arial" w:hAnsi="Arial"/>
                <w:color w:val="333333"/>
                <w:sz w:val="18"/>
                <w:szCs w:val="18"/>
              </w:rPr>
              <w:t xml:space="preserve">2</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Ma trận phân quyền phê duyệt (Approval Matrix)</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M9.1 (Workflow/RBAC)</w:t>
            </w:r>
          </w:p>
        </w:tc>
        <w:tc>
          <w:tcPr>
            <w:tcW w:type="dxa" w:w="3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Cần họp với C-level để xác nhận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center"/>
            </w:pPr>
            <w:r>
              <w:rPr>
                <w:rFonts w:ascii="Arial" w:cs="Arial" w:eastAsia="Arial" w:hAnsi="Arial"/>
                <w:color w:val="333333"/>
                <w:sz w:val="18"/>
                <w:szCs w:val="18"/>
              </w:rPr>
              <w:t xml:space="preserve">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Danh mục KPI MKT hiện tại</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M8 (KPI/ROI)</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Cần từ MKT Director</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Arial" w:cs="Arial" w:eastAsia="Arial" w:hAnsi="Arial"/>
                <w:color w:val="333333"/>
                <w:sz w:val="18"/>
                <w:szCs w:val="18"/>
              </w:rPr>
              <w:t xml:space="preserve">4</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Danh mục hệ thống đang sử dụng (IT Landscape)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M9.3 (Integration)</w:t>
            </w:r>
          </w:p>
        </w:tc>
        <w:tc>
          <w:tcPr>
            <w:tcW w:type="dxa" w:w="3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Cần họp với IT team</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center"/>
            </w:pPr>
            <w:r>
              <w:rPr>
                <w:rFonts w:ascii="Arial" w:cs="Arial" w:eastAsia="Arial" w:hAnsi="Arial"/>
                <w:color w:val="333333"/>
                <w:sz w:val="18"/>
                <w:szCs w:val="18"/>
              </w:rPr>
              <w:t xml:space="preserve">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Mẫu báo cáo MKT hiện tại</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M8 (Analytics)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Cần từ MKT Analytics team</w:t>
            </w:r>
          </w:p>
        </w:tc>
      </w:tr>
    </w:tbl>
    <w:p>
      <w:r>
        <w:br w:type="page"/>
      </w:r>
    </w:p>
    <w:p>
      <w:pPr>
        <w:pStyle w:val="Heading1"/>
        <w:spacing w:after="200" w:before="360"/>
      </w:pPr>
      <w:r>
        <w:rPr>
          <w:rFonts w:ascii="Arial" w:cs="Arial" w:eastAsia="Arial" w:hAnsi="Arial"/>
          <w:b/>
          <w:bCs/>
          <w:color w:val="1B3A5C"/>
          <w:sz w:val="28"/>
          <w:szCs w:val="28"/>
        </w:rPr>
        <w:t xml:space="preserve">5. Mapping Tổng Hợp: SharePoint → Module Khảo Sát</w:t>
      </w:r>
    </w:p>
    <w:p>
      <w:pPr>
        <w:spacing w:after="80" w:before="80"/>
      </w:pPr>
      <w:r>
        <w:rPr>
          <w:rFonts w:ascii="Arial" w:cs="Arial" w:eastAsia="Arial" w:hAnsi="Arial"/>
          <w:b w:val="false"/>
          <w:bCs w:val="false"/>
          <w:i w:val="false"/>
          <w:iCs w:val="false"/>
          <w:color w:val="333333"/>
          <w:sz w:val="20"/>
          <w:szCs w:val="20"/>
        </w:rPr>
        <w:t xml:space="preserve">Bảng dưới đây mapping toàn bộ tài liệu trên SharePoint với các hạng mục trong bản khảo sát eMarketing, nhóm theo chủ đề.</w:t>
      </w:r>
    </w:p>
    <w:p>
      <w:pPr>
        <w:spacing w:after="60" w:before="60"/>
      </w:pPr>
    </w:p>
    <w:p>
      <w:pPr>
        <w:pStyle w:val="Heading2"/>
        <w:spacing w:after="160" w:before="240"/>
      </w:pPr>
      <w:r>
        <w:rPr>
          <w:rFonts w:ascii="Arial" w:cs="Arial" w:eastAsia="Arial" w:hAnsi="Arial"/>
          <w:b/>
          <w:bCs/>
          <w:color w:val="2E75B6"/>
          <w:sz w:val="24"/>
          <w:szCs w:val="24"/>
        </w:rPr>
        <w:t xml:space="preserve">Nhóm A: SOP &amp; Quy Trình (10 tài liệu)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000"/>
        <w:gridCol w:w="2560"/>
      </w:tblGrid>
      <w:tr>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Mã SOP</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Nội dung</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Module</w:t>
            </w:r>
          </w:p>
        </w:tc>
        <w:tc>
          <w:tcPr>
            <w:tcW w:type="dxa" w:w="2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Mục khảo sát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b/>
                <w:bCs/>
                <w:color w:val="333333"/>
                <w:sz w:val="18"/>
                <w:szCs w:val="18"/>
              </w:rPr>
              <w:t xml:space="preserve">SOP17</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Lập kế hoạch MKT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M1, M9.1</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M1-AS01–03</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b/>
                <w:bCs/>
                <w:color w:val="333333"/>
                <w:sz w:val="18"/>
                <w:szCs w:val="18"/>
              </w:rPr>
              <w:t xml:space="preserve">SOP18</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Quản lý POSM</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M3</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M3-AS04–06</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b/>
                <w:bCs/>
                <w:color w:val="333333"/>
                <w:sz w:val="18"/>
                <w:szCs w:val="18"/>
              </w:rPr>
              <w:t xml:space="preserve">SOP19</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Triển khai CTKM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M3</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M3-AS07–09</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b/>
                <w:bCs/>
                <w:color w:val="333333"/>
                <w:sz w:val="18"/>
                <w:szCs w:val="18"/>
              </w:rPr>
              <w:t xml:space="preserve">SOP16</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QC OOH tại đơn vị KD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M5</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M5-AS01–03</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b/>
                <w:bCs/>
                <w:color w:val="333333"/>
                <w:sz w:val="18"/>
                <w:szCs w:val="18"/>
              </w:rPr>
              <w:t xml:space="preserve">SOP11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Phản hồi KH qua MXH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M6</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M6-AS04–06</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b/>
                <w:bCs/>
                <w:color w:val="333333"/>
                <w:sz w:val="18"/>
                <w:szCs w:val="18"/>
              </w:rPr>
              <w:t xml:space="preserve">SOP09</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Tổ chức sự kiện</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M5</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M5-AS07–09</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b/>
                <w:bCs/>
                <w:color w:val="333333"/>
                <w:sz w:val="18"/>
                <w:szCs w:val="18"/>
              </w:rPr>
              <w:t xml:space="preserve">SOP10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Xử lý khủng hoảng TT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M7</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M7-AS04–06</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b/>
                <w:bCs/>
                <w:color w:val="333333"/>
                <w:sz w:val="18"/>
                <w:szCs w:val="18"/>
              </w:rPr>
              <w:t xml:space="preserve">SOP12</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Quản lý báo chí</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M7</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M7-AS01–03</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b/>
                <w:bCs/>
                <w:color w:val="333333"/>
                <w:sz w:val="18"/>
                <w:szCs w:val="18"/>
              </w:rPr>
              <w:t xml:space="preserve">SOP14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Sản xuất TVC/Photo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M4</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M4-AS01–03</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b/>
                <w:bCs/>
                <w:color w:val="333333"/>
                <w:sz w:val="18"/>
                <w:szCs w:val="18"/>
              </w:rPr>
              <w:t xml:space="preserve">SOP15</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Sản xuất ấn phẩm</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M4</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M4-AS04–06</w:t>
            </w:r>
          </w:p>
        </w:tc>
      </w:tr>
    </w:tbl>
    <w:p>
      <w:pPr>
        <w:spacing w:after="60" w:before="60"/>
      </w:pPr>
    </w:p>
    <w:p>
      <w:pPr>
        <w:pStyle w:val="Heading2"/>
        <w:spacing w:after="160" w:before="240"/>
      </w:pPr>
      <w:r>
        <w:rPr>
          <w:rFonts w:ascii="Arial" w:cs="Arial" w:eastAsia="Arial" w:hAnsi="Arial"/>
          <w:b/>
          <w:bCs/>
          <w:color w:val="2E75B6"/>
          <w:sz w:val="24"/>
          <w:szCs w:val="24"/>
        </w:rPr>
        <w:t xml:space="preserve">Nhóm B: REG - Quy Chế &amp; Quy Định (11 tài liệu)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000"/>
        <w:gridCol w:w="2560"/>
      </w:tblGrid>
      <w:tr>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Mã REG</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Nội dung</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Module</w:t>
            </w:r>
          </w:p>
        </w:tc>
        <w:tc>
          <w:tcPr>
            <w:tcW w:type="dxa" w:w="2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Mục khảo sát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b/>
                <w:bCs/>
                <w:color w:val="333333"/>
                <w:sz w:val="18"/>
                <w:szCs w:val="18"/>
              </w:rPr>
              <w:t xml:space="preserve">REG02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Quản lý nhãn hiệu</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M4</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M4-AS01–03</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b/>
                <w:bCs/>
                <w:color w:val="333333"/>
                <w:sz w:val="18"/>
                <w:szCs w:val="18"/>
              </w:rPr>
              <w:t xml:space="preserve">REG03</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Quản lý MXH</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M6</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M6-AS01–03</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b/>
                <w:bCs/>
                <w:color w:val="333333"/>
                <w:sz w:val="18"/>
                <w:szCs w:val="18"/>
              </w:rPr>
              <w:t xml:space="preserve">REG04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Quan hệ báo chí</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M7</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M7-AS01–03</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b/>
                <w:bCs/>
                <w:color w:val="333333"/>
                <w:sz w:val="18"/>
                <w:szCs w:val="18"/>
              </w:rPr>
              <w:t xml:space="preserve">REG05</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Truyền thông nội bộ</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M7</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M7-AS07–09</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b/>
                <w:bCs/>
                <w:color w:val="333333"/>
                <w:sz w:val="18"/>
                <w:szCs w:val="18"/>
              </w:rPr>
              <w:t xml:space="preserve">REG06</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Quy chế phát ngôn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M7</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M7-AS01–03</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b/>
                <w:bCs/>
                <w:color w:val="333333"/>
                <w:sz w:val="18"/>
                <w:szCs w:val="18"/>
              </w:rPr>
              <w:t xml:space="preserve">REG07</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Xử lý khủng hoảng</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M7</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M7-AS04–06</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b/>
                <w:bCs/>
                <w:color w:val="333333"/>
                <w:sz w:val="18"/>
                <w:szCs w:val="18"/>
              </w:rPr>
              <w:t xml:space="preserve">REG08</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Nhận diện thương hiệu</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M4</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M4-AS01–03</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b/>
                <w:bCs/>
                <w:color w:val="333333"/>
                <w:sz w:val="18"/>
                <w:szCs w:val="18"/>
              </w:rPr>
              <w:t xml:space="preserve">REG09</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Lập kế hoạch MKT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M1</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M1-AS01–03</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b/>
                <w:bCs/>
                <w:color w:val="333333"/>
                <w:sz w:val="18"/>
                <w:szCs w:val="18"/>
              </w:rPr>
              <w:t xml:space="preserve">REG10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Tài trợ</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M1</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M1-AS04–06</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b/>
                <w:bCs/>
                <w:color w:val="333333"/>
                <w:sz w:val="18"/>
                <w:szCs w:val="18"/>
              </w:rPr>
              <w:t xml:space="preserve">REG11</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Quản lý vendor MKT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M9</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M9-AS01–03</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b/>
                <w:bCs/>
                <w:color w:val="333333"/>
                <w:sz w:val="18"/>
                <w:szCs w:val="18"/>
              </w:rPr>
              <w:t xml:space="preserve">REG12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Đấu thầu</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M9</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M9-AS04–06</w:t>
            </w:r>
          </w:p>
        </w:tc>
      </w:tr>
    </w:tbl>
    <w:p>
      <w:pPr>
        <w:spacing w:after="60" w:before="60"/>
      </w:pPr>
    </w:p>
    <w:p>
      <w:pPr>
        <w:pStyle w:val="Heading2"/>
        <w:spacing w:after="160" w:before="240"/>
      </w:pPr>
      <w:r>
        <w:rPr>
          <w:rFonts w:ascii="Arial" w:cs="Arial" w:eastAsia="Arial" w:hAnsi="Arial"/>
          <w:b/>
          <w:bCs/>
          <w:color w:val="2E75B6"/>
          <w:sz w:val="24"/>
          <w:szCs w:val="24"/>
        </w:rPr>
        <w:t xml:space="preserve">Nhóm C: SPEC &amp; Tài Liệu Khác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000"/>
        <w:gridCol w:w="21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Mã tài liệu</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Nội dung</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Module</w:t>
            </w:r>
          </w:p>
        </w:tc>
        <w:tc>
          <w:tcPr>
            <w:tcW w:type="dxa" w:w="2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Mục khảo sát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b/>
                <w:bCs/>
                <w:color w:val="333333"/>
                <w:sz w:val="18"/>
                <w:szCs w:val="18"/>
              </w:rPr>
              <w:t xml:space="preserve">SPEC02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Quy cách thiết kế ấn phẩm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M4</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M4-AS04–06</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b/>
                <w:bCs/>
                <w:color w:val="333333"/>
                <w:sz w:val="18"/>
                <w:szCs w:val="18"/>
              </w:rPr>
              <w:t xml:space="preserve">REG14</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Tổ chức Event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M5</w:t>
            </w:r>
          </w:p>
        </w:tc>
        <w:tc>
          <w:tcPr>
            <w:tcW w:type="dxa" w:w="2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M5-AS07–09</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b/>
                <w:bCs/>
                <w:color w:val="333333"/>
                <w:sz w:val="18"/>
                <w:szCs w:val="18"/>
              </w:rPr>
              <w:t xml:space="preserve">Brand Guideline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Bộ nhận diện thương hiệu</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M4</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M4-AS01–03</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b/>
                <w:bCs/>
                <w:color w:val="333333"/>
                <w:sz w:val="18"/>
                <w:szCs w:val="18"/>
              </w:rPr>
              <w:t xml:space="preserve">Sales &amp; MKT Plan</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Kế hoạch Sales &amp; MKT (xlsx)</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M1, M2, M8</w:t>
            </w:r>
          </w:p>
        </w:tc>
        <w:tc>
          <w:tcPr>
            <w:tcW w:type="dxa" w:w="2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M1-AS01, M8-AS01</w:t>
            </w:r>
          </w:p>
        </w:tc>
      </w:tr>
    </w:tbl>
    <w:p>
      <w:r>
        <w:br w:type="page"/>
      </w:r>
    </w:p>
    <w:p>
      <w:pPr>
        <w:pStyle w:val="Heading1"/>
        <w:spacing w:after="200" w:before="360"/>
      </w:pPr>
      <w:r>
        <w:rPr>
          <w:rFonts w:ascii="Arial" w:cs="Arial" w:eastAsia="Arial" w:hAnsi="Arial"/>
          <w:b/>
          <w:bCs/>
          <w:color w:val="1B3A5C"/>
          <w:sz w:val="28"/>
          <w:szCs w:val="28"/>
        </w:rPr>
        <w:t xml:space="preserve">6. Đề Xuất Hành Động Tiếp Theo</w:t>
      </w:r>
    </w:p>
    <w:p>
      <w:pPr>
        <w:spacing w:after="60" w:before="60"/>
      </w:pPr>
    </w:p>
    <w:p>
      <w:pPr>
        <w:pStyle w:val="Heading2"/>
        <w:spacing w:after="160" w:before="240"/>
      </w:pPr>
      <w:r>
        <w:rPr>
          <w:rFonts w:ascii="Arial" w:cs="Arial" w:eastAsia="Arial" w:hAnsi="Arial"/>
          <w:b/>
          <w:bCs/>
          <w:color w:val="2E75B6"/>
          <w:sz w:val="24"/>
          <w:szCs w:val="24"/>
        </w:rPr>
        <w:t xml:space="preserve">6.1. Hành động ngắn hạn (Tuần này)</w:t>
      </w:r>
    </w:p>
    <w:p>
      <w:pPr>
        <w:pStyle w:val="ListParagraph"/>
        <w:numPr>
          <w:ilvl w:val="0"/>
          <w:numId w:val="2"/>
        </w:numPr>
        <w:spacing w:after="60" w:before="60"/>
      </w:pPr>
      <w:r>
        <w:rPr>
          <w:rFonts w:ascii="Arial" w:cs="Arial" w:eastAsia="Arial" w:hAnsi="Arial"/>
          <w:sz w:val="20"/>
          <w:szCs w:val="20"/>
        </w:rPr>
        <w:t xml:space="preserve">Đọc và phân tích 4 tài liệu Ưu tiên 1 (NVG-MAC-REG09, Brand Guideline, Sales &amp; MKT Plan, SOP17)</w:t>
      </w:r>
    </w:p>
    <w:p>
      <w:pPr>
        <w:pStyle w:val="ListParagraph"/>
        <w:numPr>
          <w:ilvl w:val="0"/>
          <w:numId w:val="2"/>
        </w:numPr>
        <w:spacing w:after="60" w:before="60"/>
      </w:pPr>
      <w:r>
        <w:rPr>
          <w:rFonts w:ascii="Arial" w:cs="Arial" w:eastAsia="Arial" w:hAnsi="Arial"/>
          <w:sz w:val="20"/>
          <w:szCs w:val="20"/>
        </w:rPr>
        <w:t xml:space="preserve">Tạo ma trận mapping chi tiết giữa nội dung tài liệu và các AS-IS items trong khảo sát</w:t>
      </w:r>
    </w:p>
    <w:p>
      <w:pPr>
        <w:pStyle w:val="ListParagraph"/>
        <w:numPr>
          <w:ilvl w:val="0"/>
          <w:numId w:val="2"/>
        </w:numPr>
        <w:spacing w:after="60" w:before="60"/>
      </w:pPr>
      <w:r>
        <w:rPr>
          <w:rFonts w:ascii="Arial" w:cs="Arial" w:eastAsia="Arial" w:hAnsi="Arial"/>
          <w:sz w:val="20"/>
          <w:szCs w:val="20"/>
        </w:rPr>
        <w:t xml:space="preserve">Xác định gaps giữa quy trình hiện tại và yêu cầu TO-BE</w:t>
      </w:r>
    </w:p>
    <w:p>
      <w:pPr>
        <w:spacing w:after="60" w:before="60"/>
      </w:pPr>
    </w:p>
    <w:p>
      <w:pPr>
        <w:pStyle w:val="Heading2"/>
        <w:spacing w:after="160" w:before="240"/>
      </w:pPr>
      <w:r>
        <w:rPr>
          <w:rFonts w:ascii="Arial" w:cs="Arial" w:eastAsia="Arial" w:hAnsi="Arial"/>
          <w:b/>
          <w:bCs/>
          <w:color w:val="2E75B6"/>
          <w:sz w:val="24"/>
          <w:szCs w:val="24"/>
        </w:rPr>
        <w:t xml:space="preserve">6.2. Hành động trung hạn (2 tuần tới)</w:t>
      </w:r>
    </w:p>
    <w:p>
      <w:pPr>
        <w:pStyle w:val="ListParagraph"/>
        <w:numPr>
          <w:ilvl w:val="0"/>
          <w:numId w:val="2"/>
        </w:numPr>
        <w:spacing w:after="60" w:before="60"/>
      </w:pPr>
      <w:r>
        <w:rPr>
          <w:rFonts w:ascii="Arial" w:cs="Arial" w:eastAsia="Arial" w:hAnsi="Arial"/>
          <w:sz w:val="20"/>
          <w:szCs w:val="20"/>
        </w:rPr>
        <w:t xml:space="preserve">Đọc 4 tài liệu Ưu tiên 2 (SOP18, SOP19, REG14, SOP16)</w:t>
      </w:r>
    </w:p>
    <w:p>
      <w:pPr>
        <w:pStyle w:val="ListParagraph"/>
        <w:numPr>
          <w:ilvl w:val="0"/>
          <w:numId w:val="2"/>
        </w:numPr>
        <w:spacing w:after="60" w:before="60"/>
      </w:pPr>
      <w:r>
        <w:rPr>
          <w:rFonts w:ascii="Arial" w:cs="Arial" w:eastAsia="Arial" w:hAnsi="Arial"/>
          <w:sz w:val="20"/>
          <w:szCs w:val="20"/>
        </w:rPr>
        <w:t xml:space="preserve">Lên lịch họp riêng để thu thập 5 hạng mục còn thiếu (Mục 4)</w:t>
      </w:r>
    </w:p>
    <w:p>
      <w:pPr>
        <w:pStyle w:val="ListParagraph"/>
        <w:numPr>
          <w:ilvl w:val="0"/>
          <w:numId w:val="2"/>
        </w:numPr>
        <w:spacing w:after="60" w:before="60"/>
      </w:pPr>
      <w:r>
        <w:rPr>
          <w:rFonts w:ascii="Arial" w:cs="Arial" w:eastAsia="Arial" w:hAnsi="Arial"/>
          <w:sz w:val="20"/>
          <w:szCs w:val="20"/>
        </w:rPr>
        <w:t xml:space="preserve">Bắt đầu draft Solution Design cho M1 và M9.1</w:t>
      </w:r>
    </w:p>
    <w:p>
      <w:pPr>
        <w:spacing w:after="60" w:before="60"/>
      </w:pPr>
    </w:p>
    <w:p>
      <w:pPr>
        <w:pStyle w:val="Heading2"/>
        <w:spacing w:after="160" w:before="240"/>
      </w:pPr>
      <w:r>
        <w:rPr>
          <w:rFonts w:ascii="Arial" w:cs="Arial" w:eastAsia="Arial" w:hAnsi="Arial"/>
          <w:b/>
          <w:bCs/>
          <w:color w:val="2E75B6"/>
          <w:sz w:val="24"/>
          <w:szCs w:val="24"/>
        </w:rPr>
        <w:t xml:space="preserve">6.3. Buổi họp cần tổ chức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2400"/>
        <w:gridCol w:w="2560"/>
      </w:tblGrid>
      <w:tr>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STT</w:t>
            </w:r>
          </w:p>
        </w:tc>
        <w:tc>
          <w:tcPr>
            <w:tcW w:type="dxa" w:w="3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Chủ đề họp</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Thành phần</w:t>
            </w:r>
          </w:p>
        </w:tc>
        <w:tc>
          <w:tcPr>
            <w:tcW w:type="dxa" w:w="2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Mục tiêu</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center"/>
            </w:pPr>
            <w:r>
              <w:rPr>
                <w:rFonts w:ascii="Arial" w:cs="Arial" w:eastAsia="Arial" w:hAnsi="Arial"/>
                <w:color w:val="333333"/>
                <w:sz w:val="18"/>
                <w:szCs w:val="18"/>
              </w:rPr>
              <w:t xml:space="preserve">1</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Approval Matrix &amp; Phân quyền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C-level, MKT Director</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Xác định luồng phê duyệt</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Arial" w:cs="Arial" w:eastAsia="Arial" w:hAnsi="Arial"/>
                <w:color w:val="333333"/>
                <w:sz w:val="18"/>
                <w:szCs w:val="18"/>
              </w:rPr>
              <w:t xml:space="preserve">2</w:t>
            </w:r>
          </w:p>
        </w:tc>
        <w:tc>
          <w:tcPr>
            <w:tcW w:type="dxa" w:w="3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KPI &amp; Báo cáo MKT hiện tại</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MKT Director, Analytics</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Danh mục KPI + mẫu báo cáo</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center"/>
            </w:pPr>
            <w:r>
              <w:rPr>
                <w:rFonts w:ascii="Arial" w:cs="Arial" w:eastAsia="Arial" w:hAnsi="Arial"/>
                <w:color w:val="333333"/>
                <w:sz w:val="18"/>
                <w:szCs w:val="18"/>
              </w:rPr>
              <w:t xml:space="preserve">3</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IT Landscape &amp; Integration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IT Team, MKT Ops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Danh sách hệ thống, API</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Arial" w:cs="Arial" w:eastAsia="Arial" w:hAnsi="Arial"/>
                <w:color w:val="333333"/>
                <w:sz w:val="18"/>
                <w:szCs w:val="18"/>
              </w:rPr>
              <w:t xml:space="preserve">4</w:t>
            </w:r>
          </w:p>
        </w:tc>
        <w:tc>
          <w:tcPr>
            <w:tcW w:type="dxa" w:w="3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Vendor &amp; Nhà cung cấp MKT</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Procurement, MKT Ops</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Danh sách vendor hiện tại</w:t>
            </w:r>
          </w:p>
        </w:tc>
      </w:tr>
    </w:tbl>
    <w:p>
      <w:pPr>
        <w:spacing w:after="60" w:before="60"/>
      </w:pPr>
    </w:p>
    <w:p>
      <w:pPr>
        <w:spacing w:after="60" w:before="60"/>
      </w:pPr>
    </w:p>
    <w:p>
      <w:pPr>
        <w:pStyle w:val="Heading1"/>
        <w:spacing w:after="200" w:before="360"/>
      </w:pPr>
      <w:r>
        <w:rPr>
          <w:rFonts w:ascii="Arial" w:cs="Arial" w:eastAsia="Arial" w:hAnsi="Arial"/>
          <w:b/>
          <w:bCs/>
          <w:color w:val="1B3A5C"/>
          <w:sz w:val="28"/>
          <w:szCs w:val="28"/>
        </w:rPr>
        <w:t xml:space="preserve">7. Tổng Kết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Hạng mục</w:t>
            </w:r>
          </w:p>
        </w:tc>
        <w:tc>
          <w:tcPr>
            <w:tcW w:type="dxa" w:w="1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Số lượng</w:t>
            </w:r>
          </w:p>
        </w:tc>
        <w:tc>
          <w:tcPr>
            <w:tcW w:type="dxa" w:w="1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Trạng thái</w:t>
            </w:r>
          </w:p>
        </w:tc>
        <w:tc>
          <w:tcPr>
            <w:tcW w:type="dxa" w:w="1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Ghi chú</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Tổng tài liệu trên SharePoint</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center"/>
            </w:pPr>
            <w:r>
              <w:rPr>
                <w:rFonts w:ascii="Arial" w:cs="Arial" w:eastAsia="Arial" w:hAnsi="Arial"/>
                <w:color w:val="333333"/>
                <w:sz w:val="18"/>
                <w:szCs w:val="18"/>
              </w:rPr>
              <w:t xml:space="preserve">~25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center"/>
            </w:pPr>
            <w:r>
              <w:rPr>
                <w:rFonts w:ascii="Arial" w:cs="Arial" w:eastAsia="Arial" w:hAnsi="Arial"/>
                <w:color w:val="27AE60"/>
                <w:sz w:val="18"/>
                <w:szCs w:val="18"/>
              </w:rPr>
              <w:t xml:space="preserve">✅ Có sẵn</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Cần đọc</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Tài liệu Ưu tiên 1 (đọc ngay)</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Arial" w:cs="Arial" w:eastAsia="Arial" w:hAnsi="Arial"/>
                <w:color w:val="333333"/>
                <w:sz w:val="18"/>
                <w:szCs w:val="18"/>
              </w:rPr>
              <w:t xml:space="preserve">4</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Arial" w:cs="Arial" w:eastAsia="Arial" w:hAnsi="Arial"/>
                <w:b/>
                <w:bCs/>
                <w:color w:val="C0392B"/>
                <w:sz w:val="18"/>
                <w:szCs w:val="18"/>
              </w:rPr>
              <w:t xml:space="preserve">ƯU TIÊN CAO</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Tier 1</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Tài liệu Ưu tiên 2 (đọc sớm)</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center"/>
            </w:pPr>
            <w:r>
              <w:rPr>
                <w:rFonts w:ascii="Arial" w:cs="Arial" w:eastAsia="Arial" w:hAnsi="Arial"/>
                <w:color w:val="333333"/>
                <w:sz w:val="18"/>
                <w:szCs w:val="18"/>
              </w:rPr>
              <w:t xml:space="preserve">4</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center"/>
            </w:pPr>
            <w:r>
              <w:rPr>
                <w:rFonts w:ascii="Arial" w:cs="Arial" w:eastAsia="Arial" w:hAnsi="Arial"/>
                <w:b/>
                <w:bCs/>
                <w:color w:val="E67E22"/>
                <w:sz w:val="18"/>
                <w:szCs w:val="18"/>
              </w:rPr>
              <w:t xml:space="preserve">QUAN TRỌNG</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Tier 2</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Tài liệu Ưu tiên 3 (bổ sung)</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Arial" w:cs="Arial" w:eastAsia="Arial" w:hAnsi="Arial"/>
                <w:color w:val="333333"/>
                <w:sz w:val="18"/>
                <w:szCs w:val="18"/>
              </w:rPr>
              <w:t xml:space="preserve">5</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Arial" w:cs="Arial" w:eastAsia="Arial" w:hAnsi="Arial"/>
                <w:b/>
                <w:bCs/>
                <w:color w:val="B7950B"/>
                <w:sz w:val="18"/>
                <w:szCs w:val="18"/>
              </w:rPr>
              <w:t xml:space="preserve">BỔ SUNG</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Tier 3–4</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Tài liệu Ưu tiên 4 (tham khảo)</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center"/>
            </w:pPr>
            <w:r>
              <w:rPr>
                <w:rFonts w:ascii="Arial" w:cs="Arial" w:eastAsia="Arial" w:hAnsi="Arial"/>
                <w:color w:val="333333"/>
                <w:sz w:val="18"/>
                <w:szCs w:val="18"/>
              </w:rPr>
              <w:t xml:space="preserve">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center"/>
            </w:pPr>
            <w:r>
              <w:rPr>
                <w:rFonts w:ascii="Arial" w:cs="Arial" w:eastAsia="Arial" w:hAnsi="Arial"/>
                <w:b/>
                <w:bCs/>
                <w:color w:val="7F8C8D"/>
                <w:sz w:val="18"/>
                <w:szCs w:val="18"/>
              </w:rPr>
              <w:t xml:space="preserve">THAM KHẢO</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Tier 4–5</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Hạng mục cần họp riêng (chưa có tài liệu)</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Arial" w:cs="Arial" w:eastAsia="Arial" w:hAnsi="Arial"/>
                <w:color w:val="333333"/>
                <w:sz w:val="18"/>
                <w:szCs w:val="18"/>
              </w:rPr>
              <w:t xml:space="preserve">5</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Arial" w:cs="Arial" w:eastAsia="Arial" w:hAnsi="Arial"/>
                <w:b/>
                <w:bCs/>
                <w:color w:val="C0392B"/>
                <w:sz w:val="18"/>
                <w:szCs w:val="18"/>
              </w:rPr>
              <w:t xml:space="preserve">⚠️ CẦN THU THẬP</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Arial" w:cs="Arial" w:eastAsia="Arial" w:hAnsi="Arial"/>
                <w:color w:val="333333"/>
                <w:sz w:val="18"/>
                <w:szCs w:val="18"/>
              </w:rPr>
              <w:t xml:space="preserve">Lên lịch họp</w:t>
            </w:r>
          </w:p>
        </w:tc>
      </w:tr>
    </w:tbl>
    <w:p>
      <w:pPr>
        <w:spacing w:after="60" w:before="60"/>
      </w:pPr>
    </w:p>
    <w:p>
      <w:pPr>
        <w:spacing w:after="60" w:before="60"/>
      </w:pPr>
    </w:p>
    <w:p>
      <w:pPr>
        <w:pBdr>
          <w:top w:val="single" w:color="2E75B6" w:sz="4" w:space="1"/>
        </w:pBdr>
        <w:spacing w:before="400"/>
        <w:jc w:val="center"/>
      </w:pPr>
      <w:r>
        <w:rPr>
          <w:rFonts w:ascii="Arial" w:cs="Arial" w:eastAsia="Arial" w:hAnsi="Arial"/>
          <w:b/>
          <w:bCs/>
          <w:i/>
          <w:iCs/>
          <w:color w:val="2E75B6"/>
          <w:sz w:val="22"/>
          <w:szCs w:val="22"/>
        </w:rPr>
        <w:t xml:space="preserve">Hãy cùng chúng tôi kiến tạo tương lai số!</w:t>
      </w:r>
    </w:p>
    <w:p>
      <w:pPr>
        <w:spacing w:before="80"/>
        <w:jc w:val="center"/>
      </w:pPr>
      <w:r>
        <w:rPr>
          <w:rFonts w:ascii="Arial" w:cs="Arial" w:eastAsia="Arial" w:hAnsi="Arial"/>
          <w:color w:val="999999"/>
          <w:sz w:val="18"/>
          <w:szCs w:val="18"/>
        </w:rPr>
        <w:t xml:space="preserve">TienPhong CDS - Dẫn đầu Chuyển đổi số Kinh doanh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tabs>
        <w:tab w:val="right" w:pos="9026"/>
      </w:tabs>
    </w:pPr>
    <w:r>
      <w:rPr>
        <w:rFonts w:ascii="Arial" w:cs="Arial" w:eastAsia="Arial" w:hAnsi="Arial"/>
        <w:color w:val="999999"/>
        <w:sz w:val="14"/>
        <w:szCs w:val="14"/>
      </w:rPr>
      <w:t xml:space="preserve">Phân tích Ưu tiên Đọc Tài liệu | Nội bộ</w:t>
    </w:r>
    <w:r>
      <w:rPr>
        <w:rFonts w:ascii="Arial" w:cs="Arial" w:eastAsia="Arial" w:hAnsi="Arial"/>
        <w:color w:val="999999"/>
        <w:sz w:val="14"/>
        <w:szCs w:val="14"/>
      </w:rPr>
      <w:t xml:space="preserve">	Trang </w:t>
    </w:r>
    <w:r>
      <w:rPr>
        <w:rFonts w:ascii="Arial" w:cs="Arial" w:eastAsia="Arial" w:hAnsi="Arial"/>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b/>
        <w:bCs/>
        <w:color w:val="1B3A5C"/>
        <w:sz w:val="16"/>
        <w:szCs w:val="16"/>
      </w:rPr>
      <w:t xml:space="preserve">TienPhong CDS</w:t>
    </w:r>
    <w:r>
      <w:rPr>
        <w:rFonts w:ascii="Arial" w:cs="Arial" w:eastAsia="Arial" w:hAnsi="Arial"/>
        <w:color w:val="999999"/>
        <w:sz w:val="16"/>
        <w:szCs w:val="16"/>
      </w:rPr>
      <w:t xml:space="preserve">	Nova Group - eMarketing DMP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28"/>
      <w:szCs w:val="28"/>
    </w:rPr>
  </w:style>
  <w:style w:type="paragraph" w:styleId="Heading2">
    <w:name w:val="Heading 2"/>
    <w:basedOn w:val="Normal"/>
    <w:next w:val="Normal"/>
    <w:qFormat/>
    <w:pPr>
      <w:spacing w:after="16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12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2026-03-13T04:48:35.411Z</dcterms:created>
  <dcterms:modified xsi:type="dcterms:W3CDTF">2026-03-13T04:48:35.417Z</dcterms:modified>
</cp:coreProperties>
</file>

<file path=docProps/custom.xml><?xml version="1.0" encoding="utf-8"?>
<Properties xmlns="http://schemas.openxmlformats.org/officeDocument/2006/custom-properties" xmlns:vt="http://schemas.openxmlformats.org/officeDocument/2006/docPropsVTypes"/>
</file>