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INTRODUCTION</w:t>
      </w:r>
    </w:p>
    <w:p>
      <w:pPr>
        <w:spacing w:after="120"/>
        <w:jc w:val="center"/>
      </w:pPr>
      <w:r>
        <w:rPr>
          <w:rFonts w:ascii="Times New Roman" w:cs="Times New Roman" w:eastAsia="Times New Roman" w:hAnsi="Times New Roman"/>
          <w:b/>
          <w:bCs/>
          <w:sz w:val="28"/>
          <w:szCs w:val="28"/>
        </w:rPr>
        <w:t xml:space="preserve">LUCY KOCHUVAREED v. P. MARIAPPA GOUNDER AND ORS.</w:t>
      </w:r>
    </w:p>
    <w:p>
      <w:pPr>
        <w:spacing w:after="80"/>
        <w:jc w:val="center"/>
      </w:pPr>
      <w:r>
        <w:rPr>
          <w:rFonts w:ascii="Times New Roman" w:cs="Times New Roman" w:eastAsia="Times New Roman" w:hAnsi="Times New Roman"/>
          <w:i/>
          <w:iCs/>
          <w:sz w:val="22"/>
          <w:szCs w:val="22"/>
        </w:rPr>
        <w:t xml:space="preserve">AIR 1979 SC 1214 | (1979) 3 SCC 150 | [1979] 3 SCR 58</w:t>
      </w:r>
    </w:p>
    <w:p>
      <w:pPr>
        <w:spacing w:after="200"/>
        <w:jc w:val="center"/>
      </w:pPr>
      <w:r>
        <w:rPr>
          <w:rFonts w:ascii="Times New Roman" w:cs="Times New Roman" w:eastAsia="Times New Roman" w:hAnsi="Times New Roman"/>
          <w:sz w:val="22"/>
          <w:szCs w:val="22"/>
        </w:rPr>
        <w:t xml:space="preserve">Supreme Court of India | Decided: 7 February 1979</w:t>
      </w:r>
    </w:p>
    <w:p>
      <w:pPr>
        <w:pBdr>
          <w:bottom w:val="single" w:color="000000" w:sz="4" w:space="1"/>
        </w:pBd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
        <w:gridCol w:w="5760"/>
      </w:tblGrid>
      <w:tr>
        <w:tc>
          <w:tcPr>
            <w:tcW w:type="dxa" w:w="3000"/>
            <w:tcBorders>
              <w:top w:val="none"/>
              <w:left w:val="none"/>
              <w:bottom w:val="none"/>
              <w:right w:val="none"/>
            </w:tcBorders>
            <w:tcMar>
              <w:top w:type="dxa" w:w="60"/>
              <w:left w:type="dxa" w:w="0"/>
              <w:bottom w:type="dxa" w:w="60"/>
              <w:right w:type="dxa" w:w="120"/>
            </w:tcMar>
          </w:tcPr>
          <w:p>
            <w:r>
              <w:rPr>
                <w:rFonts w:ascii="Times New Roman" w:cs="Times New Roman" w:eastAsia="Times New Roman" w:hAnsi="Times New Roman"/>
                <w:b/>
                <w:bCs/>
                <w:sz w:val="24"/>
                <w:szCs w:val="24"/>
              </w:rPr>
              <w:t xml:space="preserve">Court</w:t>
            </w:r>
          </w:p>
        </w:tc>
        <w:tc>
          <w:tcPr>
            <w:tcW w:type="dxa" w:w="240"/>
            <w:tcBorders>
              <w:top w:val="none"/>
              <w:left w:val="none"/>
              <w:bottom w:val="none"/>
              <w:right w:val="none"/>
            </w:tcBorders>
            <w:tcMar>
              <w:top w:type="dxa" w:w="60"/>
              <w:left w:type="dxa" w:w="0"/>
              <w:bottom w:type="dxa" w:w="60"/>
              <w:right w:type="dxa" w:w="0"/>
            </w:tcMar>
          </w:tcPr>
          <w:p>
            <w:r>
              <w:rPr>
                <w:rFonts w:ascii="Times New Roman" w:cs="Times New Roman" w:eastAsia="Times New Roman" w:hAnsi="Times New Roman"/>
                <w:b/>
                <w:bCs/>
                <w:sz w:val="24"/>
                <w:szCs w:val="24"/>
              </w:rPr>
              <w:t xml:space="preserve">:</w:t>
            </w:r>
          </w:p>
        </w:tc>
        <w:tc>
          <w:tcPr>
            <w:tcW w:type="dxa" w:w="576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sz w:val="24"/>
                <w:szCs w:val="24"/>
              </w:rPr>
              <w:t xml:space="preserve">Supreme Court of India</w:t>
            </w:r>
          </w:p>
        </w:tc>
      </w:tr>
      <w:tr>
        <w:tc>
          <w:tcPr>
            <w:tcW w:type="dxa" w:w="3000"/>
            <w:tcBorders>
              <w:top w:val="none"/>
              <w:left w:val="none"/>
              <w:bottom w:val="none"/>
              <w:right w:val="none"/>
            </w:tcBorders>
            <w:tcMar>
              <w:top w:type="dxa" w:w="60"/>
              <w:left w:type="dxa" w:w="0"/>
              <w:bottom w:type="dxa" w:w="60"/>
              <w:right w:type="dxa" w:w="120"/>
            </w:tcMar>
          </w:tcPr>
          <w:p>
            <w:r>
              <w:rPr>
                <w:rFonts w:ascii="Times New Roman" w:cs="Times New Roman" w:eastAsia="Times New Roman" w:hAnsi="Times New Roman"/>
                <w:b/>
                <w:bCs/>
                <w:sz w:val="24"/>
                <w:szCs w:val="24"/>
              </w:rPr>
              <w:t xml:space="preserve">Bench</w:t>
            </w:r>
          </w:p>
        </w:tc>
        <w:tc>
          <w:tcPr>
            <w:tcW w:type="dxa" w:w="240"/>
            <w:tcBorders>
              <w:top w:val="none"/>
              <w:left w:val="none"/>
              <w:bottom w:val="none"/>
              <w:right w:val="none"/>
            </w:tcBorders>
            <w:tcMar>
              <w:top w:type="dxa" w:w="60"/>
              <w:left w:type="dxa" w:w="0"/>
              <w:bottom w:type="dxa" w:w="60"/>
              <w:right w:type="dxa" w:w="0"/>
            </w:tcMar>
          </w:tcPr>
          <w:p>
            <w:r>
              <w:rPr>
                <w:rFonts w:ascii="Times New Roman" w:cs="Times New Roman" w:eastAsia="Times New Roman" w:hAnsi="Times New Roman"/>
                <w:b/>
                <w:bCs/>
                <w:sz w:val="24"/>
                <w:szCs w:val="24"/>
              </w:rPr>
              <w:t xml:space="preserve">:</w:t>
            </w:r>
          </w:p>
        </w:tc>
        <w:tc>
          <w:tcPr>
            <w:tcW w:type="dxa" w:w="576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sz w:val="24"/>
                <w:szCs w:val="24"/>
              </w:rPr>
              <w:t xml:space="preserve">R.S. Sarkaria, V.D. Tulzapurkar, A.P. Sen JJ.</w:t>
            </w:r>
          </w:p>
        </w:tc>
      </w:tr>
      <w:tr>
        <w:tc>
          <w:tcPr>
            <w:tcW w:type="dxa" w:w="3000"/>
            <w:tcBorders>
              <w:top w:val="none"/>
              <w:left w:val="none"/>
              <w:bottom w:val="none"/>
              <w:right w:val="none"/>
            </w:tcBorders>
            <w:tcMar>
              <w:top w:type="dxa" w:w="60"/>
              <w:left w:type="dxa" w:w="0"/>
              <w:bottom w:type="dxa" w:w="60"/>
              <w:right w:type="dxa" w:w="120"/>
            </w:tcMar>
          </w:tcPr>
          <w:p>
            <w:r>
              <w:rPr>
                <w:rFonts w:ascii="Times New Roman" w:cs="Times New Roman" w:eastAsia="Times New Roman" w:hAnsi="Times New Roman"/>
                <w:b/>
                <w:bCs/>
                <w:sz w:val="24"/>
                <w:szCs w:val="24"/>
              </w:rPr>
              <w:t xml:space="preserve">Judgment by</w:t>
            </w:r>
          </w:p>
        </w:tc>
        <w:tc>
          <w:tcPr>
            <w:tcW w:type="dxa" w:w="240"/>
            <w:tcBorders>
              <w:top w:val="none"/>
              <w:left w:val="none"/>
              <w:bottom w:val="none"/>
              <w:right w:val="none"/>
            </w:tcBorders>
            <w:tcMar>
              <w:top w:type="dxa" w:w="60"/>
              <w:left w:type="dxa" w:w="0"/>
              <w:bottom w:type="dxa" w:w="60"/>
              <w:right w:type="dxa" w:w="0"/>
            </w:tcMar>
          </w:tcPr>
          <w:p>
            <w:r>
              <w:rPr>
                <w:rFonts w:ascii="Times New Roman" w:cs="Times New Roman" w:eastAsia="Times New Roman" w:hAnsi="Times New Roman"/>
                <w:b/>
                <w:bCs/>
                <w:sz w:val="24"/>
                <w:szCs w:val="24"/>
              </w:rPr>
              <w:t xml:space="preserve">:</w:t>
            </w:r>
          </w:p>
        </w:tc>
        <w:tc>
          <w:tcPr>
            <w:tcW w:type="dxa" w:w="576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sz w:val="24"/>
                <w:szCs w:val="24"/>
              </w:rPr>
              <w:t xml:space="preserve">Sarkaria J.</w:t>
            </w:r>
          </w:p>
        </w:tc>
      </w:tr>
      <w:tr>
        <w:tc>
          <w:tcPr>
            <w:tcW w:type="dxa" w:w="3000"/>
            <w:tcBorders>
              <w:top w:val="none"/>
              <w:left w:val="none"/>
              <w:bottom w:val="none"/>
              <w:right w:val="none"/>
            </w:tcBorders>
            <w:tcMar>
              <w:top w:type="dxa" w:w="60"/>
              <w:left w:type="dxa" w:w="0"/>
              <w:bottom w:type="dxa" w:w="60"/>
              <w:right w:type="dxa" w:w="120"/>
            </w:tcMar>
          </w:tcPr>
          <w:p>
            <w:r>
              <w:rPr>
                <w:rFonts w:ascii="Times New Roman" w:cs="Times New Roman" w:eastAsia="Times New Roman" w:hAnsi="Times New Roman"/>
                <w:b/>
                <w:bCs/>
                <w:sz w:val="24"/>
                <w:szCs w:val="24"/>
              </w:rPr>
              <w:t xml:space="preserve">Civil Appeals</w:t>
            </w:r>
          </w:p>
        </w:tc>
        <w:tc>
          <w:tcPr>
            <w:tcW w:type="dxa" w:w="240"/>
            <w:tcBorders>
              <w:top w:val="none"/>
              <w:left w:val="none"/>
              <w:bottom w:val="none"/>
              <w:right w:val="none"/>
            </w:tcBorders>
            <w:tcMar>
              <w:top w:type="dxa" w:w="60"/>
              <w:left w:type="dxa" w:w="0"/>
              <w:bottom w:type="dxa" w:w="60"/>
              <w:right w:type="dxa" w:w="0"/>
            </w:tcMar>
          </w:tcPr>
          <w:p>
            <w:r>
              <w:rPr>
                <w:rFonts w:ascii="Times New Roman" w:cs="Times New Roman" w:eastAsia="Times New Roman" w:hAnsi="Times New Roman"/>
                <w:b/>
                <w:bCs/>
                <w:sz w:val="24"/>
                <w:szCs w:val="24"/>
              </w:rPr>
              <w:t xml:space="preserve">:</w:t>
            </w:r>
          </w:p>
        </w:tc>
        <w:tc>
          <w:tcPr>
            <w:tcW w:type="dxa" w:w="576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sz w:val="24"/>
                <w:szCs w:val="24"/>
              </w:rPr>
              <w:t xml:space="preserve">C.A. No. 466 of 1969 and C.A. No. 2375 of 1969</w:t>
            </w:r>
          </w:p>
        </w:tc>
      </w:tr>
      <w:tr>
        <w:tc>
          <w:tcPr>
            <w:tcW w:type="dxa" w:w="3000"/>
            <w:tcBorders>
              <w:top w:val="none"/>
              <w:left w:val="none"/>
              <w:bottom w:val="none"/>
              <w:right w:val="none"/>
            </w:tcBorders>
            <w:tcMar>
              <w:top w:type="dxa" w:w="60"/>
              <w:left w:type="dxa" w:w="0"/>
              <w:bottom w:type="dxa" w:w="60"/>
              <w:right w:type="dxa" w:w="120"/>
            </w:tcMar>
          </w:tcPr>
          <w:p>
            <w:r>
              <w:rPr>
                <w:rFonts w:ascii="Times New Roman" w:cs="Times New Roman" w:eastAsia="Times New Roman" w:hAnsi="Times New Roman"/>
                <w:b/>
                <w:bCs/>
                <w:sz w:val="24"/>
                <w:szCs w:val="24"/>
              </w:rPr>
              <w:t xml:space="preserve">Appellant (CA 466)</w:t>
            </w:r>
          </w:p>
        </w:tc>
        <w:tc>
          <w:tcPr>
            <w:tcW w:type="dxa" w:w="240"/>
            <w:tcBorders>
              <w:top w:val="none"/>
              <w:left w:val="none"/>
              <w:bottom w:val="none"/>
              <w:right w:val="none"/>
            </w:tcBorders>
            <w:tcMar>
              <w:top w:type="dxa" w:w="60"/>
              <w:left w:type="dxa" w:w="0"/>
              <w:bottom w:type="dxa" w:w="60"/>
              <w:right w:type="dxa" w:w="0"/>
            </w:tcMar>
          </w:tcPr>
          <w:p>
            <w:r>
              <w:rPr>
                <w:rFonts w:ascii="Times New Roman" w:cs="Times New Roman" w:eastAsia="Times New Roman" w:hAnsi="Times New Roman"/>
                <w:b/>
                <w:bCs/>
                <w:sz w:val="24"/>
                <w:szCs w:val="24"/>
              </w:rPr>
              <w:t xml:space="preserve">:</w:t>
            </w:r>
          </w:p>
        </w:tc>
        <w:tc>
          <w:tcPr>
            <w:tcW w:type="dxa" w:w="576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sz w:val="24"/>
                <w:szCs w:val="24"/>
              </w:rPr>
              <w:t xml:space="preserve">Lucy Kochuvareed (widow of Defendant 3)</w:t>
            </w:r>
          </w:p>
        </w:tc>
      </w:tr>
      <w:tr>
        <w:tc>
          <w:tcPr>
            <w:tcW w:type="dxa" w:w="3000"/>
            <w:tcBorders>
              <w:top w:val="none"/>
              <w:left w:val="none"/>
              <w:bottom w:val="none"/>
              <w:right w:val="none"/>
            </w:tcBorders>
            <w:tcMar>
              <w:top w:type="dxa" w:w="60"/>
              <w:left w:type="dxa" w:w="0"/>
              <w:bottom w:type="dxa" w:w="60"/>
              <w:right w:type="dxa" w:w="120"/>
            </w:tcMar>
          </w:tcPr>
          <w:p>
            <w:r>
              <w:rPr>
                <w:rFonts w:ascii="Times New Roman" w:cs="Times New Roman" w:eastAsia="Times New Roman" w:hAnsi="Times New Roman"/>
                <w:b/>
                <w:bCs/>
                <w:sz w:val="24"/>
                <w:szCs w:val="24"/>
              </w:rPr>
              <w:t xml:space="preserve">Appellant (CA 2375)</w:t>
            </w:r>
          </w:p>
        </w:tc>
        <w:tc>
          <w:tcPr>
            <w:tcW w:type="dxa" w:w="240"/>
            <w:tcBorders>
              <w:top w:val="none"/>
              <w:left w:val="none"/>
              <w:bottom w:val="none"/>
              <w:right w:val="none"/>
            </w:tcBorders>
            <w:tcMar>
              <w:top w:type="dxa" w:w="60"/>
              <w:left w:type="dxa" w:w="0"/>
              <w:bottom w:type="dxa" w:w="60"/>
              <w:right w:type="dxa" w:w="0"/>
            </w:tcMar>
          </w:tcPr>
          <w:p>
            <w:r>
              <w:rPr>
                <w:rFonts w:ascii="Times New Roman" w:cs="Times New Roman" w:eastAsia="Times New Roman" w:hAnsi="Times New Roman"/>
                <w:b/>
                <w:bCs/>
                <w:sz w:val="24"/>
                <w:szCs w:val="24"/>
              </w:rPr>
              <w:t xml:space="preserve">:</w:t>
            </w:r>
          </w:p>
        </w:tc>
        <w:tc>
          <w:tcPr>
            <w:tcW w:type="dxa" w:w="576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sz w:val="24"/>
                <w:szCs w:val="24"/>
              </w:rPr>
              <w:t xml:space="preserve">P. Mariappa Gounder (original Plaintiff)</w:t>
            </w:r>
          </w:p>
        </w:tc>
      </w:tr>
      <w:tr>
        <w:tc>
          <w:tcPr>
            <w:tcW w:type="dxa" w:w="3000"/>
            <w:tcBorders>
              <w:top w:val="none"/>
              <w:left w:val="none"/>
              <w:bottom w:val="none"/>
              <w:right w:val="none"/>
            </w:tcBorders>
            <w:tcMar>
              <w:top w:type="dxa" w:w="60"/>
              <w:left w:type="dxa" w:w="0"/>
              <w:bottom w:type="dxa" w:w="60"/>
              <w:right w:type="dxa" w:w="120"/>
            </w:tcMar>
          </w:tcPr>
          <w:p>
            <w:r>
              <w:rPr>
                <w:rFonts w:ascii="Times New Roman" w:cs="Times New Roman" w:eastAsia="Times New Roman" w:hAnsi="Times New Roman"/>
                <w:b/>
                <w:bCs/>
                <w:sz w:val="24"/>
                <w:szCs w:val="24"/>
              </w:rPr>
              <w:t xml:space="preserve">Subject matter</w:t>
            </w:r>
          </w:p>
        </w:tc>
        <w:tc>
          <w:tcPr>
            <w:tcW w:type="dxa" w:w="240"/>
            <w:tcBorders>
              <w:top w:val="none"/>
              <w:left w:val="none"/>
              <w:bottom w:val="none"/>
              <w:right w:val="none"/>
            </w:tcBorders>
            <w:tcMar>
              <w:top w:type="dxa" w:w="60"/>
              <w:left w:type="dxa" w:w="0"/>
              <w:bottom w:type="dxa" w:w="60"/>
              <w:right w:type="dxa" w:w="0"/>
            </w:tcMar>
          </w:tcPr>
          <w:p>
            <w:r>
              <w:rPr>
                <w:rFonts w:ascii="Times New Roman" w:cs="Times New Roman" w:eastAsia="Times New Roman" w:hAnsi="Times New Roman"/>
                <w:b/>
                <w:bCs/>
                <w:sz w:val="24"/>
                <w:szCs w:val="24"/>
              </w:rPr>
              <w:t xml:space="preserve">:</w:t>
            </w:r>
          </w:p>
        </w:tc>
        <w:tc>
          <w:tcPr>
            <w:tcW w:type="dxa" w:w="576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sz w:val="24"/>
                <w:szCs w:val="24"/>
              </w:rPr>
              <w:t xml:space="preserve">Specific Performance, Mesne Profits, CPC Order XX Rule 12</w:t>
            </w:r>
          </w:p>
        </w:tc>
      </w:tr>
      <w:tr>
        <w:tc>
          <w:tcPr>
            <w:tcW w:type="dxa" w:w="3000"/>
            <w:tcBorders>
              <w:top w:val="none"/>
              <w:left w:val="none"/>
              <w:bottom w:val="none"/>
              <w:right w:val="none"/>
            </w:tcBorders>
            <w:tcMar>
              <w:top w:type="dxa" w:w="60"/>
              <w:left w:type="dxa" w:w="0"/>
              <w:bottom w:type="dxa" w:w="60"/>
              <w:right w:type="dxa" w:w="120"/>
            </w:tcMar>
          </w:tcPr>
          <w:p>
            <w:r>
              <w:rPr>
                <w:rFonts w:ascii="Times New Roman" w:cs="Times New Roman" w:eastAsia="Times New Roman" w:hAnsi="Times New Roman"/>
                <w:b/>
                <w:bCs/>
                <w:sz w:val="24"/>
                <w:szCs w:val="24"/>
              </w:rPr>
              <w:t xml:space="preserve">Original suit</w:t>
            </w:r>
          </w:p>
        </w:tc>
        <w:tc>
          <w:tcPr>
            <w:tcW w:type="dxa" w:w="240"/>
            <w:tcBorders>
              <w:top w:val="none"/>
              <w:left w:val="none"/>
              <w:bottom w:val="none"/>
              <w:right w:val="none"/>
            </w:tcBorders>
            <w:tcMar>
              <w:top w:type="dxa" w:w="60"/>
              <w:left w:type="dxa" w:w="0"/>
              <w:bottom w:type="dxa" w:w="60"/>
              <w:right w:type="dxa" w:w="0"/>
            </w:tcMar>
          </w:tcPr>
          <w:p>
            <w:r>
              <w:rPr>
                <w:rFonts w:ascii="Times New Roman" w:cs="Times New Roman" w:eastAsia="Times New Roman" w:hAnsi="Times New Roman"/>
                <w:b/>
                <w:bCs/>
                <w:sz w:val="24"/>
                <w:szCs w:val="24"/>
              </w:rPr>
              <w:t xml:space="preserve">:</w:t>
            </w:r>
          </w:p>
        </w:tc>
        <w:tc>
          <w:tcPr>
            <w:tcW w:type="dxa" w:w="576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sz w:val="24"/>
                <w:szCs w:val="24"/>
              </w:rPr>
              <w:t xml:space="preserve">Suit No. 183 of 1950, District Court, Trichur</w:t>
            </w:r>
          </w:p>
        </w:tc>
      </w:tr>
    </w:tbl>
    <w:p>
      <w:pPr>
        <w:pBdr>
          <w:bottom w:val="single" w:color="000000" w:sz="4" w:space="1"/>
        </w:pBdr>
        <w:spacing w:after="200"/>
      </w:pPr>
      <w:r>
        <w:t xml:space="preserve"/>
      </w:r>
    </w:p>
    <w:p>
      <w:pPr>
        <w:spacing w:after="120" w:before="240"/>
        <w:jc w:val="left"/>
      </w:pPr>
      <w:r>
        <w:rPr>
          <w:rFonts w:ascii="Times New Roman" w:cs="Times New Roman" w:eastAsia="Times New Roman" w:hAnsi="Times New Roman"/>
          <w:b/>
          <w:bCs/>
          <w:sz w:val="26"/>
          <w:szCs w:val="26"/>
          <w:u w:val="single"/>
        </w:rPr>
        <w:t xml:space="preserve">I. Background and Origin of the Dispute</w:t>
      </w:r>
    </w:p>
    <w:p>
      <w:pPr>
        <w:spacing w:after="180"/>
        <w:jc w:val="both"/>
      </w:pPr>
      <w:r>
        <w:rPr>
          <w:rFonts w:ascii="Times New Roman" w:cs="Times New Roman" w:eastAsia="Times New Roman" w:hAnsi="Times New Roman"/>
          <w:sz w:val="24"/>
          <w:szCs w:val="24"/>
        </w:rPr>
        <w:t xml:space="preserve">The present case has its origin in a simple agreement to sell, dated May 22, 1950, by which Soliappa Chettiar (Defendant 1) agreed to sell a tile manufacturing factory known as the Sivakami Tiles Works, situated in Trichur, to P. Mariappa Gounder (the Plaintiff) for a total consideration of Rs. 90,003/-. An advance of Rs. 5,003/- was paid by the Plaintiff on the date of the agreement itself.</w:t>
      </w:r>
    </w:p>
    <w:p>
      <w:pPr>
        <w:spacing w:after="180"/>
        <w:jc w:val="both"/>
      </w:pPr>
      <w:r>
        <w:rPr>
          <w:rFonts w:ascii="Times New Roman" w:cs="Times New Roman" w:eastAsia="Times New Roman" w:hAnsi="Times New Roman"/>
          <w:sz w:val="24"/>
          <w:szCs w:val="24"/>
        </w:rPr>
        <w:t xml:space="preserve">The agreement stipulated that the sale deed was to be executed and registered on or before July 15, 1950, and that delivery of possession would follow upon payment of Rs. 50,000/- at the time of registration. However, as the date for performance approached, Defendant 1 began to evade his obligations, falsely claiming that a lessee, one Neelakanta Iyer, was in possession of the factory and had refused to vacate, thereby making performance impossible.</w:t>
      </w:r>
    </w:p>
    <w:p>
      <w:pPr>
        <w:spacing w:after="180"/>
        <w:jc w:val="both"/>
      </w:pPr>
      <w:r>
        <w:rPr>
          <w:rFonts w:ascii="Times New Roman" w:cs="Times New Roman" w:eastAsia="Times New Roman" w:hAnsi="Times New Roman"/>
          <w:sz w:val="24"/>
          <w:szCs w:val="24"/>
        </w:rPr>
        <w:t xml:space="preserve">The Plaintiff, through his advocate, sent a registered notice on July 7, 1950, calling upon Defendant 1 to perform. Defendant 1 replied on the same date, refusing to perform on account of the alleged lessee's continued possession. The Plaintiff, being ready and willing to perform his part, filed a suit for specific performance and mesne profits before the District Court, Trichur, on August 23, 1950.</w:t>
      </w:r>
    </w:p>
    <w:p>
      <w:pPr>
        <w:spacing w:after="120" w:before="240"/>
        <w:jc w:val="left"/>
      </w:pPr>
      <w:r>
        <w:rPr>
          <w:rFonts w:ascii="Times New Roman" w:cs="Times New Roman" w:eastAsia="Times New Roman" w:hAnsi="Times New Roman"/>
          <w:b/>
          <w:bCs/>
          <w:sz w:val="26"/>
          <w:szCs w:val="26"/>
          <w:u w:val="single"/>
        </w:rPr>
        <w:t xml:space="preserve">II. Parties to the Litigation</w:t>
      </w:r>
    </w:p>
    <w:p>
      <w:pPr>
        <w:spacing w:after="180"/>
        <w:jc w:val="both"/>
      </w:pPr>
      <w:r>
        <w:rPr>
          <w:rFonts w:ascii="Times New Roman" w:cs="Times New Roman" w:eastAsia="Times New Roman" w:hAnsi="Times New Roman"/>
          <w:b/>
          <w:bCs/>
          <w:sz w:val="24"/>
          <w:szCs w:val="24"/>
        </w:rPr>
        <w:t xml:space="preserve">Plaintiff — P. Mariappa Gounder: </w:t>
      </w:r>
      <w:r>
        <w:rPr>
          <w:rFonts w:ascii="Times New Roman" w:cs="Times New Roman" w:eastAsia="Times New Roman" w:hAnsi="Times New Roman"/>
          <w:sz w:val="24"/>
          <w:szCs w:val="24"/>
        </w:rPr>
        <w:t xml:space="preserve">The buyer under the agreement to sell dated May 22, 1950. He sought specific performance of the agreement and mesne profits for being wrongfully kept out of possession of the suit property.</w:t>
      </w:r>
    </w:p>
    <w:p>
      <w:pPr>
        <w:spacing w:after="180"/>
        <w:jc w:val="both"/>
      </w:pPr>
      <w:r>
        <w:rPr>
          <w:rFonts w:ascii="Times New Roman" w:cs="Times New Roman" w:eastAsia="Times New Roman" w:hAnsi="Times New Roman"/>
          <w:b/>
          <w:bCs/>
          <w:sz w:val="24"/>
          <w:szCs w:val="24"/>
        </w:rPr>
        <w:t xml:space="preserve">Defendant 1 — Soliappa Chettiar: </w:t>
      </w:r>
      <w:r>
        <w:rPr>
          <w:rFonts w:ascii="Times New Roman" w:cs="Times New Roman" w:eastAsia="Times New Roman" w:hAnsi="Times New Roman"/>
          <w:sz w:val="24"/>
          <w:szCs w:val="24"/>
        </w:rPr>
        <w:t xml:space="preserve">The original owner of the Sivakami Tiles Works and the seller under the agreement to sell. He refused to execute the sale deed, citing the alleged lease in favour of Neelakanta Iyer.</w:t>
      </w:r>
    </w:p>
    <w:p>
      <w:pPr>
        <w:spacing w:after="180"/>
        <w:jc w:val="both"/>
      </w:pPr>
      <w:r>
        <w:rPr>
          <w:rFonts w:ascii="Times New Roman" w:cs="Times New Roman" w:eastAsia="Times New Roman" w:hAnsi="Times New Roman"/>
          <w:b/>
          <w:bCs/>
          <w:sz w:val="24"/>
          <w:szCs w:val="24"/>
        </w:rPr>
        <w:t xml:space="preserve">Defendant 2 — George Thatil: </w:t>
      </w:r>
      <w:r>
        <w:rPr>
          <w:rFonts w:ascii="Times New Roman" w:cs="Times New Roman" w:eastAsia="Times New Roman" w:hAnsi="Times New Roman"/>
          <w:sz w:val="24"/>
          <w:szCs w:val="24"/>
        </w:rPr>
        <w:t xml:space="preserve">Nephew of Defendant 3. Defendant 1 executed a sale deed of the suit property in his favour on March 8, 1951, during the pendency of the suit — a purchase pendente lite, which was therefore subject to the outcome of the suit.</w:t>
      </w:r>
    </w:p>
    <w:p>
      <w:pPr>
        <w:spacing w:after="180"/>
        <w:jc w:val="both"/>
      </w:pPr>
      <w:r>
        <w:rPr>
          <w:rFonts w:ascii="Times New Roman" w:cs="Times New Roman" w:eastAsia="Times New Roman" w:hAnsi="Times New Roman"/>
          <w:b/>
          <w:bCs/>
          <w:sz w:val="24"/>
          <w:szCs w:val="24"/>
        </w:rPr>
        <w:t xml:space="preserve">Defendant 3 — T.V. Kochivareed (deceased): </w:t>
      </w:r>
      <w:r>
        <w:rPr>
          <w:rFonts w:ascii="Times New Roman" w:cs="Times New Roman" w:eastAsia="Times New Roman" w:hAnsi="Times New Roman"/>
          <w:sz w:val="24"/>
          <w:szCs w:val="24"/>
        </w:rPr>
        <w:t xml:space="preserve">Uncle of Defendant 2. He obtained an assignment of the alleged (sham) lease from Neelakanta Iyer on March 5, 1951. He was found by all courts to have been in sole and exclusive actual possession of the suit property from March 1951 until delivery of possession to the Plaintiff in March 1959. He died during the course of the litigation and was represented by his widow, Lucy Kochuvareed, the appellant in CA 466 of 1969.</w:t>
      </w:r>
    </w:p>
    <w:p>
      <w:pPr>
        <w:spacing w:after="120" w:before="240"/>
        <w:jc w:val="left"/>
      </w:pPr>
      <w:r>
        <w:rPr>
          <w:rFonts w:ascii="Times New Roman" w:cs="Times New Roman" w:eastAsia="Times New Roman" w:hAnsi="Times New Roman"/>
          <w:b/>
          <w:bCs/>
          <w:sz w:val="26"/>
          <w:szCs w:val="26"/>
          <w:u w:val="single"/>
        </w:rPr>
        <w:t xml:space="preserve">III. Procedural History</w:t>
      </w:r>
    </w:p>
    <w:p>
      <w:pPr>
        <w:spacing w:after="180"/>
        <w:jc w:val="both"/>
      </w:pPr>
      <w:r>
        <w:rPr>
          <w:rFonts w:ascii="Times New Roman" w:cs="Times New Roman" w:eastAsia="Times New Roman" w:hAnsi="Times New Roman"/>
          <w:b/>
          <w:bCs/>
          <w:sz w:val="24"/>
          <w:szCs w:val="24"/>
        </w:rPr>
        <w:t xml:space="preserve">Trial Court (1952): </w:t>
      </w:r>
      <w:r>
        <w:rPr>
          <w:rFonts w:ascii="Times New Roman" w:cs="Times New Roman" w:eastAsia="Times New Roman" w:hAnsi="Times New Roman"/>
          <w:sz w:val="24"/>
          <w:szCs w:val="24"/>
        </w:rPr>
        <w:t xml:space="preserve">The District Court, Trichur, decreed the suit for specific performance in favour of the Plaintiff on August 28, 1952, and awarded mesne profits at Rs. 15,000/- per annum.</w:t>
      </w:r>
    </w:p>
    <w:p>
      <w:pPr>
        <w:spacing w:after="180"/>
        <w:jc w:val="both"/>
      </w:pPr>
      <w:r>
        <w:rPr>
          <w:rFonts w:ascii="Times New Roman" w:cs="Times New Roman" w:eastAsia="Times New Roman" w:hAnsi="Times New Roman"/>
          <w:b/>
          <w:bCs/>
          <w:sz w:val="24"/>
          <w:szCs w:val="24"/>
        </w:rPr>
        <w:t xml:space="preserve">Kerala High Court (1953): </w:t>
      </w:r>
      <w:r>
        <w:rPr>
          <w:rFonts w:ascii="Times New Roman" w:cs="Times New Roman" w:eastAsia="Times New Roman" w:hAnsi="Times New Roman"/>
          <w:sz w:val="24"/>
          <w:szCs w:val="24"/>
        </w:rPr>
        <w:t xml:space="preserve">On appeal by Defendants 2 and 3, the High Court reversed the Trial Court's decree and dismissed the Plaintiff's suit entirely, by judgment dated March 31, 1953.</w:t>
      </w:r>
    </w:p>
    <w:p>
      <w:pPr>
        <w:spacing w:after="180"/>
        <w:jc w:val="both"/>
      </w:pPr>
      <w:r>
        <w:rPr>
          <w:rFonts w:ascii="Times New Roman" w:cs="Times New Roman" w:eastAsia="Times New Roman" w:hAnsi="Times New Roman"/>
          <w:b/>
          <w:bCs/>
          <w:sz w:val="24"/>
          <w:szCs w:val="24"/>
        </w:rPr>
        <w:t xml:space="preserve">Supreme Court — First Round (1958): </w:t>
      </w:r>
      <w:r>
        <w:rPr>
          <w:rFonts w:ascii="Times New Roman" w:cs="Times New Roman" w:eastAsia="Times New Roman" w:hAnsi="Times New Roman"/>
          <w:sz w:val="24"/>
          <w:szCs w:val="24"/>
        </w:rPr>
        <w:t xml:space="preserve">The Plaintiff appealed. The Supreme Court, by its landmark composite decree dated April 22, 1958 (CA 129/56), restored the decree for specific performance, directed the Plaintiff to deposit Rs. 85,000/- in court, and directed the Trial Court to hold an inquiry into mesne profits against whichever defendant was found in actual possession of the suit property.</w:t>
      </w:r>
    </w:p>
    <w:p>
      <w:pPr>
        <w:spacing w:after="180"/>
        <w:jc w:val="both"/>
      </w:pPr>
      <w:r>
        <w:rPr>
          <w:rFonts w:ascii="Times New Roman" w:cs="Times New Roman" w:eastAsia="Times New Roman" w:hAnsi="Times New Roman"/>
          <w:b/>
          <w:bCs/>
          <w:sz w:val="24"/>
          <w:szCs w:val="24"/>
        </w:rPr>
        <w:t xml:space="preserve">Execution and Possession (1959): </w:t>
      </w:r>
      <w:r>
        <w:rPr>
          <w:rFonts w:ascii="Times New Roman" w:cs="Times New Roman" w:eastAsia="Times New Roman" w:hAnsi="Times New Roman"/>
          <w:sz w:val="24"/>
          <w:szCs w:val="24"/>
        </w:rPr>
        <w:t xml:space="preserve">The sale deed was executed by the court on March 16, 1959, and possession was delivered to the Plaintiff on March 29, 1959, after years of wrongful dispossession.</w:t>
      </w:r>
    </w:p>
    <w:p>
      <w:pPr>
        <w:spacing w:after="180"/>
        <w:jc w:val="both"/>
      </w:pPr>
      <w:r>
        <w:rPr>
          <w:rFonts w:ascii="Times New Roman" w:cs="Times New Roman" w:eastAsia="Times New Roman" w:hAnsi="Times New Roman"/>
          <w:b/>
          <w:bCs/>
          <w:sz w:val="24"/>
          <w:szCs w:val="24"/>
        </w:rPr>
        <w:t xml:space="preserve">Mesne Profits Inquiry — Trial Court (1962): </w:t>
      </w:r>
      <w:r>
        <w:rPr>
          <w:rFonts w:ascii="Times New Roman" w:cs="Times New Roman" w:eastAsia="Times New Roman" w:hAnsi="Times New Roman"/>
          <w:sz w:val="24"/>
          <w:szCs w:val="24"/>
        </w:rPr>
        <w:t xml:space="preserve">The District Court found Defendant 3 solely liable for Rs. 1,57,086/- in mesne profits, restitution, and costs, having been in exclusive possession and control of the factory throughout the relevant period.</w:t>
      </w:r>
    </w:p>
    <w:p>
      <w:pPr>
        <w:spacing w:after="180"/>
        <w:jc w:val="both"/>
      </w:pPr>
      <w:r>
        <w:rPr>
          <w:rFonts w:ascii="Times New Roman" w:cs="Times New Roman" w:eastAsia="Times New Roman" w:hAnsi="Times New Roman"/>
          <w:b/>
          <w:bCs/>
          <w:sz w:val="24"/>
          <w:szCs w:val="24"/>
        </w:rPr>
        <w:t xml:space="preserve">Kerala High Court — Second Round (1968): </w:t>
      </w:r>
      <w:r>
        <w:rPr>
          <w:rFonts w:ascii="Times New Roman" w:cs="Times New Roman" w:eastAsia="Times New Roman" w:hAnsi="Times New Roman"/>
          <w:sz w:val="24"/>
          <w:szCs w:val="24"/>
        </w:rPr>
        <w:t xml:space="preserve">The High Court partly modified the Trial Court's order, fixing mesne profits at a flat rate of Rs. 15,000/- per annum and reducing the rate of interest from 6% to 4% per annum. Both Lucy Kochuvareed (for Defendant 3) and the Plaintiff filed appeals to the Supreme Court.</w:t>
      </w:r>
    </w:p>
    <w:p>
      <w:pPr>
        <w:spacing w:after="120" w:before="240"/>
        <w:jc w:val="left"/>
      </w:pPr>
      <w:r>
        <w:rPr>
          <w:rFonts w:ascii="Times New Roman" w:cs="Times New Roman" w:eastAsia="Times New Roman" w:hAnsi="Times New Roman"/>
          <w:b/>
          <w:bCs/>
          <w:sz w:val="26"/>
          <w:szCs w:val="26"/>
          <w:u w:val="single"/>
        </w:rPr>
        <w:t xml:space="preserve">IV. Issues Before the Supreme Court</w:t>
      </w:r>
    </w:p>
    <w:p>
      <w:pPr>
        <w:spacing w:after="180"/>
        <w:jc w:val="both"/>
      </w:pPr>
      <w:r>
        <w:rPr>
          <w:rFonts w:ascii="Times New Roman" w:cs="Times New Roman" w:eastAsia="Times New Roman" w:hAnsi="Times New Roman"/>
          <w:sz w:val="24"/>
          <w:szCs w:val="24"/>
        </w:rPr>
        <w:t xml:space="preserve">The Supreme Court was called upon to decide the following principal issues in the two appeals:</w:t>
      </w:r>
    </w:p>
    <w:p>
      <w:pPr>
        <w:spacing w:after="180"/>
        <w:ind w:left="720"/>
        <w:jc w:val="both"/>
      </w:pPr>
      <w:r>
        <w:rPr>
          <w:rFonts w:ascii="Times New Roman" w:cs="Times New Roman" w:eastAsia="Times New Roman" w:hAnsi="Times New Roman"/>
          <w:b/>
          <w:bCs/>
          <w:sz w:val="24"/>
          <w:szCs w:val="24"/>
        </w:rPr>
        <w:t xml:space="preserve">(i) </w:t>
      </w:r>
      <w:r>
        <w:rPr>
          <w:rFonts w:ascii="Times New Roman" w:cs="Times New Roman" w:eastAsia="Times New Roman" w:hAnsi="Times New Roman"/>
          <w:sz w:val="24"/>
          <w:szCs w:val="24"/>
        </w:rPr>
        <w:t xml:space="preserve">Whether Defendant 3 alone, or Defendants 2 and 3 jointly and severally, were liable for mesne profits in terms of the decree dated April 22, 1958.</w:t>
      </w:r>
    </w:p>
    <w:p>
      <w:pPr>
        <w:spacing w:after="180"/>
        <w:ind w:left="720"/>
        <w:jc w:val="both"/>
      </w:pPr>
      <w:r>
        <w:rPr>
          <w:rFonts w:ascii="Times New Roman" w:cs="Times New Roman" w:eastAsia="Times New Roman" w:hAnsi="Times New Roman"/>
          <w:b/>
          <w:bCs/>
          <w:sz w:val="24"/>
          <w:szCs w:val="24"/>
        </w:rPr>
        <w:t xml:space="preserve">(ii) </w:t>
      </w:r>
      <w:r>
        <w:rPr>
          <w:rFonts w:ascii="Times New Roman" w:cs="Times New Roman" w:eastAsia="Times New Roman" w:hAnsi="Times New Roman"/>
          <w:sz w:val="24"/>
          <w:szCs w:val="24"/>
        </w:rPr>
        <w:t xml:space="preserve">Whether the period for which mesne profits could be awarded was restricted by Order XX Rule 12(1)(c) of the CPC, and if so, from which decree the three-year period was to be reckoned.</w:t>
      </w:r>
    </w:p>
    <w:p>
      <w:pPr>
        <w:spacing w:after="180"/>
        <w:ind w:left="720"/>
        <w:jc w:val="both"/>
      </w:pPr>
      <w:r>
        <w:rPr>
          <w:rFonts w:ascii="Times New Roman" w:cs="Times New Roman" w:eastAsia="Times New Roman" w:hAnsi="Times New Roman"/>
          <w:b/>
          <w:bCs/>
          <w:sz w:val="24"/>
          <w:szCs w:val="24"/>
        </w:rPr>
        <w:t xml:space="preserve">(iii) </w:t>
      </w:r>
      <w:r>
        <w:rPr>
          <w:rFonts w:ascii="Times New Roman" w:cs="Times New Roman" w:eastAsia="Times New Roman" w:hAnsi="Times New Roman"/>
          <w:sz w:val="24"/>
          <w:szCs w:val="24"/>
        </w:rPr>
        <w:t xml:space="preserve">Whether the Plaintiff was entitled to interest at 6% per annum (as awarded by the Trial Court) or at the reduced rate of 4% per annum (as modified by the High Court).</w:t>
      </w:r>
    </w:p>
    <w:p>
      <w:pPr>
        <w:spacing w:after="180"/>
        <w:ind w:left="720"/>
        <w:jc w:val="both"/>
      </w:pPr>
      <w:r>
        <w:rPr>
          <w:rFonts w:ascii="Times New Roman" w:cs="Times New Roman" w:eastAsia="Times New Roman" w:hAnsi="Times New Roman"/>
          <w:b/>
          <w:bCs/>
          <w:sz w:val="24"/>
          <w:szCs w:val="24"/>
        </w:rPr>
        <w:t xml:space="preserve">(iv) </w:t>
      </w:r>
      <w:r>
        <w:rPr>
          <w:rFonts w:ascii="Times New Roman" w:cs="Times New Roman" w:eastAsia="Times New Roman" w:hAnsi="Times New Roman"/>
          <w:sz w:val="24"/>
          <w:szCs w:val="24"/>
        </w:rPr>
        <w:t xml:space="preserve">Whether interest by way of restitution under Section 144 CPC was payable on the sum of Rs. 30,000/- deposited as rent by Defendant 3 and subsequently withdrawn by him following the High Court's reversal of the decree.</w:t>
      </w:r>
    </w:p>
    <w:p>
      <w:pPr>
        <w:spacing w:after="120" w:before="240"/>
        <w:jc w:val="left"/>
      </w:pPr>
      <w:r>
        <w:rPr>
          <w:rFonts w:ascii="Times New Roman" w:cs="Times New Roman" w:eastAsia="Times New Roman" w:hAnsi="Times New Roman"/>
          <w:b/>
          <w:bCs/>
          <w:sz w:val="26"/>
          <w:szCs w:val="26"/>
          <w:u w:val="single"/>
        </w:rPr>
        <w:t xml:space="preserve">V. Decision and Significance</w:t>
      </w:r>
    </w:p>
    <w:p>
      <w:pPr>
        <w:spacing w:after="180"/>
        <w:jc w:val="both"/>
      </w:pPr>
      <w:r>
        <w:rPr>
          <w:rFonts w:ascii="Times New Roman" w:cs="Times New Roman" w:eastAsia="Times New Roman" w:hAnsi="Times New Roman"/>
          <w:sz w:val="24"/>
          <w:szCs w:val="24"/>
        </w:rPr>
        <w:t xml:space="preserve">The Supreme Court, by a common judgment authored by Sarkaria J., partly allowed the Plaintiff's appeal and dismissed Lucy Kochuvareed's appeal (with a minor concession). The Court settled several important principles of civil procedure:</w:t>
      </w:r>
    </w:p>
    <w:p>
      <w:pPr>
        <w:spacing w:after="180"/>
        <w:jc w:val="both"/>
      </w:pPr>
      <w:r>
        <w:rPr>
          <w:rFonts w:ascii="Times New Roman" w:cs="Times New Roman" w:eastAsia="Times New Roman" w:hAnsi="Times New Roman"/>
          <w:b/>
          <w:bCs/>
          <w:sz w:val="24"/>
          <w:szCs w:val="24"/>
        </w:rPr>
        <w:t xml:space="preserve">On mesne profits and actual possession: </w:t>
      </w:r>
      <w:r>
        <w:rPr>
          <w:rFonts w:ascii="Times New Roman" w:cs="Times New Roman" w:eastAsia="Times New Roman" w:hAnsi="Times New Roman"/>
          <w:sz w:val="24"/>
          <w:szCs w:val="24"/>
        </w:rPr>
        <w:t xml:space="preserve">Liability for mesne profits under Section 2(12) CPC attaches to the person in wrongful actual possession. Since Defendant 3 was found by concurrent findings to be in sole, actual, and exclusive possession of the suit property from March 1951 to March 1959, he alone was liable. The belated argument that he was in merely derivative possession under Defendant 2 was rejected as a complete reversal of the stand taken before the courts below.</w:t>
      </w:r>
    </w:p>
    <w:p>
      <w:pPr>
        <w:spacing w:after="180"/>
        <w:jc w:val="both"/>
      </w:pPr>
      <w:r>
        <w:rPr>
          <w:rFonts w:ascii="Times New Roman" w:cs="Times New Roman" w:eastAsia="Times New Roman" w:hAnsi="Times New Roman"/>
          <w:b/>
          <w:bCs/>
          <w:sz w:val="24"/>
          <w:szCs w:val="24"/>
        </w:rPr>
        <w:t xml:space="preserve">On Order XX Rule 12(1)(c) CPC: </w:t>
      </w:r>
      <w:r>
        <w:rPr>
          <w:rFonts w:ascii="Times New Roman" w:cs="Times New Roman" w:eastAsia="Times New Roman" w:hAnsi="Times New Roman"/>
          <w:sz w:val="24"/>
          <w:szCs w:val="24"/>
        </w:rPr>
        <w:t xml:space="preserve">The word "decree" in Sub-clause (iii) of Rule 12(1)(c) refers to the final appellate decree, not the Trial Court's decree. The three-year ceiling therefore ran from April 22, 1958 (the Supreme Court's decree). Since possession was actually delivered on March 29, 1959 — within three years of that decree — the courts below were fully within the law in awarding mesne profits for the entire period from March 1951 to March 1959.</w:t>
      </w:r>
    </w:p>
    <w:p>
      <w:pPr>
        <w:spacing w:after="180"/>
        <w:jc w:val="both"/>
      </w:pPr>
      <w:r>
        <w:rPr>
          <w:rFonts w:ascii="Times New Roman" w:cs="Times New Roman" w:eastAsia="Times New Roman" w:hAnsi="Times New Roman"/>
          <w:b/>
          <w:bCs/>
          <w:sz w:val="24"/>
          <w:szCs w:val="24"/>
        </w:rPr>
        <w:t xml:space="preserve">On interest and restitution: </w:t>
      </w:r>
      <w:r>
        <w:rPr>
          <w:rFonts w:ascii="Times New Roman" w:cs="Times New Roman" w:eastAsia="Times New Roman" w:hAnsi="Times New Roman"/>
          <w:sz w:val="24"/>
          <w:szCs w:val="24"/>
        </w:rPr>
        <w:t xml:space="preserve">The Trial Court's rate of 6% per annum was restored. Interest on the Rs. 30,000/- rent deposit (withdrawn by Defendant 3 during the period the decree was reversed) was held to be properly awarded by the Trial Court as restitution under Section 144 CPC, and the High Court's disallowance thereof was set aside.</w:t>
      </w:r>
    </w:p>
    <w:p>
      <w:pPr>
        <w:spacing w:after="180"/>
        <w:jc w:val="both"/>
      </w:pPr>
      <w:r>
        <w:rPr>
          <w:rFonts w:ascii="Times New Roman" w:cs="Times New Roman" w:eastAsia="Times New Roman" w:hAnsi="Times New Roman"/>
          <w:sz w:val="24"/>
          <w:szCs w:val="24"/>
        </w:rPr>
        <w:t xml:space="preserve">The case is frequently cited in Indian civil procedure for its authoritative exposition on the meaning of 'actual possession' for mesne profits under Section 2(12) CPC, and on the computation of the limitation period for mesne profits under Order XX Rule 12(1)(c) CPC.</w:t>
      </w:r>
    </w:p>
    <w:p>
      <w:pPr>
        <w:pBdr>
          <w:bottom w:val="single" w:color="000000" w:sz="4" w:space="1"/>
        </w:pBdr>
        <w:spacing w:after="200"/>
      </w:pPr>
      <w:r>
        <w:t xml:space="preserve"/>
      </w:r>
    </w:p>
    <w:p>
      <w:pPr>
        <w:spacing w:before="200"/>
        <w:jc w:val="center"/>
      </w:pPr>
      <w:r>
        <w:rPr>
          <w:rFonts w:ascii="Times New Roman" w:cs="Times New Roman" w:eastAsia="Times New Roman" w:hAnsi="Times New Roman"/>
          <w:i/>
          <w:iCs/>
          <w:sz w:val="22"/>
          <w:szCs w:val="22"/>
        </w:rPr>
        <w:t xml:space="preserve">— End of Introduction —</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2026-05-21T20:08:06.717Z</dcterms:created>
  <dcterms:modified xsi:type="dcterms:W3CDTF">2026-05-21T20:08:06.741Z</dcterms:modified>
</cp:coreProperties>
</file>

<file path=docProps/custom.xml><?xml version="1.0" encoding="utf-8"?>
<Properties xmlns="http://schemas.openxmlformats.org/officeDocument/2006/custom-properties" xmlns:vt="http://schemas.openxmlformats.org/officeDocument/2006/docPropsVTypes"/>
</file>