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Устав</w:t>
      </w:r>
      <w:r>
        <w:t xml:space="preserve"> </w:t>
      </w:r>
      <w:r>
        <w:t xml:space="preserve">«Новая</w:t>
      </w:r>
      <w:r>
        <w:t xml:space="preserve"> </w:t>
      </w:r>
      <w:r>
        <w:t xml:space="preserve">ассоциация</w:t>
      </w:r>
      <w:r>
        <w:t xml:space="preserve"> </w:t>
      </w:r>
      <w:r>
        <w:t xml:space="preserve">знатоков»</w:t>
      </w:r>
    </w:p>
    <w:p>
      <w:pPr>
        <w:pStyle w:val="Heading1"/>
      </w:pPr>
      <w:bookmarkStart w:id="20" w:name="общие-положения"/>
      <w:r>
        <w:t xml:space="preserve">Общие положения</w:t>
      </w:r>
      <w:bookmarkEnd w:id="20"/>
    </w:p>
    <w:p>
      <w:pPr>
        <w:pStyle w:val="Compact"/>
        <w:numPr>
          <w:numId w:val="1001"/>
          <w:ilvl w:val="0"/>
        </w:numPr>
      </w:pPr>
      <w:r>
        <w:t xml:space="preserve">Новая ассоциация знатоков, далее именуемая «Организация», создана и действует в соответствии со ст. 246 и последующими статьями Закона о физических и юридических лицах Княжества Лихтенштейн.</w:t>
      </w:r>
      <w:r>
        <w:t xml:space="preserve"> </w:t>
      </w:r>
      <w:r>
        <w:t xml:space="preserve">[рекомендация для переводчиков: «НАЗВАНИЕ ОРГАНИЗАЦИИ (nachstehend: der Verein) ist ein Verein im Sinne von Art. 246 ff. des Personen- und Gesellschaftsrechts (PGR)» или «Unter den Namen НАЗВАНИЕ ОРГАНИЗАЦИИ (nachstehend: der Verein) besteht ein Verein im Sinne von Art. 246 ff. des Personen- und Gesellschaftsrechts (PGR)»]</w:t>
      </w:r>
    </w:p>
    <w:p>
      <w:pPr>
        <w:pStyle w:val="Compact"/>
        <w:numPr>
          <w:numId w:val="1001"/>
          <w:ilvl w:val="0"/>
        </w:numPr>
      </w:pPr>
      <w:r>
        <w:t xml:space="preserve">Полное название организации на немецком языке — Neue Verein Znatokov, сокращенное название на немецком языке — NVZ, полное название на русском языке — Новая ассоциация знатоков, сокращенное название на русском языке — НАЗ.</w:t>
      </w:r>
    </w:p>
    <w:p>
      <w:pPr>
        <w:pStyle w:val="Compact"/>
        <w:numPr>
          <w:numId w:val="1001"/>
          <w:ilvl w:val="0"/>
        </w:numPr>
      </w:pPr>
      <w:r>
        <w:t xml:space="preserve">Местопребывание организации — Triesen. Местопребывание может быть изменено решением общего собрания.</w:t>
      </w:r>
    </w:p>
    <w:p>
      <w:pPr>
        <w:pStyle w:val="Compact"/>
        <w:numPr>
          <w:numId w:val="1001"/>
          <w:ilvl w:val="0"/>
        </w:numPr>
      </w:pPr>
      <w:r>
        <w:t xml:space="preserve">Организация не преследует коммерческих целей.</w:t>
      </w:r>
      <w:r>
        <w:t xml:space="preserve"> </w:t>
      </w:r>
      <w:r>
        <w:t xml:space="preserve">[рекомендация для переводчиков: «Die Tätigkeit des Vereins ist nicht auf Gewinn ausgerichtet»]</w:t>
      </w:r>
    </w:p>
    <w:p>
      <w:pPr>
        <w:pStyle w:val="Compact"/>
        <w:numPr>
          <w:numId w:val="1001"/>
          <w:ilvl w:val="0"/>
        </w:numPr>
      </w:pPr>
      <w:r>
        <w:t xml:space="preserve">Организация не участвует в политической деятельности.</w:t>
      </w:r>
    </w:p>
    <w:p>
      <w:pPr>
        <w:pStyle w:val="Compact"/>
        <w:numPr>
          <w:numId w:val="1001"/>
          <w:ilvl w:val="0"/>
        </w:numPr>
      </w:pPr>
      <w:r>
        <w:t xml:space="preserve">Для достижения уставных целей организация может использовать следующие ресурсы: членские взносы (если они будут установлены общим собранием), доходы от собственных мероприятий, субсидии, доходы по договорам об оказании услуг, гранты и пожертвования всех типов.</w:t>
      </w:r>
      <w:r>
        <w:t xml:space="preserve"> </w:t>
      </w:r>
      <w:r>
        <w:t xml:space="preserve">[рекомендация для переводчиков: «Zur Verfolgung des Vereinszweckes verfügt der Verein über folgende Mittel: Mitgliederbeiträge (перевести «если они будут установлены общим собранием»), Erträge aus eigenen Veranstaltungen, Subventionen, Erträge aus Leistungsvereinbarungen, Spenden und Zuwendungen aller Art»]</w:t>
      </w:r>
    </w:p>
    <w:p>
      <w:pPr>
        <w:pStyle w:val="Compact"/>
        <w:numPr>
          <w:numId w:val="1001"/>
          <w:ilvl w:val="0"/>
        </w:numPr>
      </w:pPr>
      <w:r>
        <w:t xml:space="preserve">Организация соблюдает принципы конфиденциальности и охраны персональных данных и действует в этой области в соответствии с национальным и международным законодательством.</w:t>
      </w:r>
    </w:p>
    <w:p>
      <w:pPr>
        <w:pStyle w:val="Compact"/>
        <w:numPr>
          <w:numId w:val="1001"/>
          <w:ilvl w:val="0"/>
        </w:numPr>
      </w:pPr>
      <w:r>
        <w:t xml:space="preserve">Официальные языки организации - немецкий и русский. Документы, связанные с деятельностью организации как юридического лица, ведутся на немецком языке или имеют немецкоязычную версию. В случае несоответствий между немецким и русским текстом или различий в их толковании преимущественную силу имеет текст на немецком языке.</w:t>
      </w:r>
    </w:p>
    <w:p>
      <w:pPr>
        <w:pStyle w:val="Heading1"/>
      </w:pPr>
      <w:bookmarkStart w:id="21" w:name="цели-и-задачи"/>
      <w:r>
        <w:t xml:space="preserve">Цели и задачи</w:t>
      </w:r>
      <w:bookmarkEnd w:id="21"/>
    </w:p>
    <w:p>
      <w:pPr>
        <w:pStyle w:val="Heading2"/>
      </w:pPr>
      <w:bookmarkStart w:id="22" w:name="цели-организации"/>
      <w:r>
        <w:t xml:space="preserve">Цели организации</w:t>
      </w:r>
      <w:bookmarkEnd w:id="22"/>
    </w:p>
    <w:p>
      <w:pPr>
        <w:pStyle w:val="Compact"/>
        <w:numPr>
          <w:numId w:val="1002"/>
          <w:ilvl w:val="0"/>
        </w:numPr>
      </w:pPr>
      <w:r>
        <w:t xml:space="preserve">Развитие и популяризация существующих интеллектуальных игр и создание новых. Под интеллектуальными играми здесь и далее понимаются командные или индивидуальные соревнования по поиску ответов на специально подготовленные вопросы с ограничением времени и/или на скорость.</w:t>
      </w:r>
    </w:p>
    <w:p>
      <w:pPr>
        <w:pStyle w:val="Compact"/>
        <w:numPr>
          <w:numId w:val="1002"/>
          <w:ilvl w:val="0"/>
        </w:numPr>
      </w:pPr>
      <w:r>
        <w:t xml:space="preserve">Проведение соревнований по интеллектуальным играм в соответствии со спортивными принципами.</w:t>
      </w:r>
    </w:p>
    <w:p>
      <w:pPr>
        <w:pStyle w:val="Heading2"/>
      </w:pPr>
      <w:bookmarkStart w:id="23" w:name="задачи-организации"/>
      <w:r>
        <w:t xml:space="preserve">Задачи организации</w:t>
      </w:r>
      <w:bookmarkEnd w:id="23"/>
    </w:p>
    <w:p>
      <w:pPr>
        <w:pStyle w:val="Compact"/>
        <w:numPr>
          <w:numId w:val="1003"/>
          <w:ilvl w:val="0"/>
        </w:numPr>
      </w:pPr>
      <w:r>
        <w:t xml:space="preserve">Определение, кодификация и совершенствование правил игровых дисциплин и соревнований.</w:t>
      </w:r>
    </w:p>
    <w:p>
      <w:pPr>
        <w:pStyle w:val="Compact"/>
        <w:numPr>
          <w:numId w:val="1003"/>
          <w:ilvl w:val="0"/>
        </w:numPr>
      </w:pPr>
      <w:r>
        <w:t xml:space="preserve">Участие в проведении турниров по интеллектуальным играм регионального, национального и международного уровня.</w:t>
      </w:r>
    </w:p>
    <w:p>
      <w:pPr>
        <w:pStyle w:val="Compact"/>
        <w:numPr>
          <w:numId w:val="1003"/>
          <w:ilvl w:val="0"/>
        </w:numPr>
      </w:pPr>
      <w:r>
        <w:t xml:space="preserve">Проведение мероприятий, направленных на пропаганду интеллектуальных игр, расширение географии движения, привлечение новых участников.</w:t>
      </w:r>
    </w:p>
    <w:p>
      <w:pPr>
        <w:pStyle w:val="Compact"/>
        <w:numPr>
          <w:numId w:val="1003"/>
          <w:ilvl w:val="0"/>
        </w:numPr>
      </w:pPr>
      <w:r>
        <w:t xml:space="preserve">Обеспечение спортивности проводимых соревнований, что подразумевает соответствие правилам, отсутствие дискриминации при допуске к соревнованиям, контроль за соблюдением правил участниками.</w:t>
      </w:r>
    </w:p>
    <w:p>
      <w:pPr>
        <w:pStyle w:val="Compact"/>
        <w:numPr>
          <w:numId w:val="1003"/>
          <w:ilvl w:val="0"/>
        </w:numPr>
      </w:pPr>
      <w:r>
        <w:t xml:space="preserve">Организационная, информационная, методическая и техническая поддержка организаторов турниров, игроков, авторов и редакторов игровых заданий, судей, ведущих, тренеров команд.</w:t>
      </w:r>
    </w:p>
    <w:p>
      <w:pPr>
        <w:pStyle w:val="Compact"/>
        <w:numPr>
          <w:numId w:val="1003"/>
          <w:ilvl w:val="0"/>
        </w:numPr>
      </w:pPr>
      <w:r>
        <w:t xml:space="preserve">Определение и контроль за соблюдением норм игровой этики.</w:t>
      </w:r>
    </w:p>
    <w:p>
      <w:pPr>
        <w:pStyle w:val="Compact"/>
        <w:numPr>
          <w:numId w:val="1003"/>
          <w:ilvl w:val="0"/>
        </w:numPr>
      </w:pPr>
      <w:r>
        <w:t xml:space="preserve">Информационное обеспечение соревнований, ведение игровой статистики, создание и поддержка ресурсов для хранения игровых материалов и результатов соревнований, информации об истории движения.</w:t>
      </w:r>
    </w:p>
    <w:p>
      <w:pPr>
        <w:pStyle w:val="Heading1"/>
      </w:pPr>
      <w:bookmarkStart w:id="24" w:name="заключительные-положения"/>
      <w:r>
        <w:t xml:space="preserve">Заключительные положения</w:t>
      </w:r>
      <w:bookmarkEnd w:id="24"/>
    </w:p>
    <w:p>
      <w:pPr>
        <w:pStyle w:val="Compact"/>
        <w:numPr>
          <w:numId w:val="1004"/>
          <w:ilvl w:val="0"/>
        </w:numPr>
      </w:pPr>
      <w:r>
        <w:t xml:space="preserve">Решение об изменении устава может быть принято только общим собранием при поддержке не менее 2/3 участников заседания.</w:t>
      </w:r>
      <w:r>
        <w:t xml:space="preserve"> </w:t>
      </w:r>
      <w:r>
        <w:t xml:space="preserve">[рекомендация для переводчиков: «Eine Änderung der Statuten kann nur von der Mitgliederversammlung mit 2/3-Mehrheit der anwesenden Stimmen beschlossen werden»]</w:t>
      </w:r>
    </w:p>
    <w:p>
      <w:pPr>
        <w:pStyle w:val="Compact"/>
        <w:numPr>
          <w:numId w:val="1004"/>
          <w:ilvl w:val="0"/>
        </w:numPr>
      </w:pPr>
      <w:r>
        <w:t xml:space="preserve">Решение о ликвидации организации может быть принято только общим собранием при поддержке не менее 3/4 участников заседания [варианты: 2/3 участников заседания, если они составляют большинство членов организации; 2/3 членов организации] .</w:t>
      </w:r>
      <w:r>
        <w:t xml:space="preserve"> </w:t>
      </w:r>
      <w:r>
        <w:t xml:space="preserve">[рекомендация для переводчиков: «Eine Auflösung des Vereines kann nur von der Mitgliederversammlung mit 3/4-Mehrheit der anwesenden Stimmen beschlossen werden» [варианты: mit 2/3-Mehrheit… wenn diese 2/3-Mehrheit zugleich einer absoluten Mehrheit aller Vereinsmitglieder entspricht; mit 2/3-Mehrheit der Vereinsmitglieder]</w:t>
      </w:r>
    </w:p>
    <w:p>
      <w:pPr>
        <w:pStyle w:val="Compact"/>
        <w:numPr>
          <w:numId w:val="1004"/>
          <w:ilvl w:val="0"/>
        </w:numPr>
      </w:pPr>
      <w:r>
        <w:t xml:space="preserve">В случае ликвидации организации ее имущество распределяется согласно решению общего собрания.</w:t>
      </w:r>
    </w:p>
    <w:p>
      <w:pPr>
        <w:pStyle w:val="Compact"/>
        <w:numPr>
          <w:numId w:val="1004"/>
          <w:ilvl w:val="0"/>
        </w:numPr>
      </w:pPr>
      <w:r>
        <w:t xml:space="preserve">Устав составлен на двух языках: немецком и русском. Юридическую силу имеет текст на немецком языке. В случае несоответствий между немецким и русским текстом или различий в их толковании преимущественную силу имеет текст на немецком языке.</w:t>
      </w:r>
    </w:p>
    <w:p>
      <w:pPr>
        <w:pStyle w:val="Compact"/>
        <w:numPr>
          <w:numId w:val="1004"/>
          <w:ilvl w:val="0"/>
        </w:numPr>
      </w:pPr>
      <w:r>
        <w:t xml:space="preserve">Устав принят учредительным собранием организации 11 апреля 2021 года и вступил в силу начиная с этой даты.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Устав «Новая ассоциация знатоков»</dc:title>
  <dc:creator/>
  <cp:keywords/>
  <dcterms:created xsi:type="dcterms:W3CDTF">2021-04-06T13:27:56Z</dcterms:created>
  <dcterms:modified xsi:type="dcterms:W3CDTF">2021-04-06T13:27:56Z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