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Устав</w:t>
      </w:r>
      <w:r>
        <w:t xml:space="preserve"> </w:t>
      </w:r>
      <w:r>
        <w:t xml:space="preserve">организации</w:t>
      </w:r>
      <w:r>
        <w:t xml:space="preserve"> </w:t>
      </w:r>
      <w:r>
        <w:t xml:space="preserve">«Международная</w:t>
      </w:r>
      <w:r>
        <w:t xml:space="preserve"> </w:t>
      </w:r>
      <w:r>
        <w:t xml:space="preserve">ассоциация</w:t>
      </w:r>
      <w:r>
        <w:t xml:space="preserve"> </w:t>
      </w:r>
      <w:r>
        <w:t xml:space="preserve">интеллектуальных</w:t>
      </w:r>
      <w:r>
        <w:t xml:space="preserve"> </w:t>
      </w:r>
      <w:r>
        <w:t xml:space="preserve">игр»</w:t>
      </w:r>
    </w:p>
    <w:p>
      <w:pPr>
        <w:pStyle w:val="Heading1"/>
      </w:pPr>
      <w:bookmarkStart w:id="20" w:name="общие-положения"/>
      <w:r>
        <w:t xml:space="preserve">Общие положения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Международная ассоциация интеллектуальных игр, далее именуемая «Организация», создана и действует в соответствии со ст. 246 и последующими статьями Закона о физических и юридических лицах Княжества Лихтенштейн.</w:t>
      </w:r>
    </w:p>
    <w:p>
      <w:pPr>
        <w:pStyle w:val="Compact"/>
        <w:numPr>
          <w:numId w:val="1001"/>
          <w:ilvl w:val="0"/>
        </w:numPr>
      </w:pPr>
      <w:r>
        <w:t xml:space="preserve">Полное название Организации на немецком языке — Internationale Assoziation für Intellektuelle Spiele, сокращенное название на немецком языке — IAIS, полное название на русском языке — Международная ассоциация интеллектуальных игр, сокращенное название на русском языке — МАИИ.</w:t>
      </w:r>
    </w:p>
    <w:p>
      <w:pPr>
        <w:pStyle w:val="Compact"/>
        <w:numPr>
          <w:numId w:val="1001"/>
          <w:ilvl w:val="0"/>
        </w:numPr>
      </w:pPr>
      <w:r>
        <w:t xml:space="preserve">Местопребывание Организации — Тризен. Местопребывание может быть изменено решением Общего собрания.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преследует коммерческих целей.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участвует в политической деятельности.</w:t>
      </w:r>
    </w:p>
    <w:p>
      <w:pPr>
        <w:pStyle w:val="Compact"/>
        <w:numPr>
          <w:numId w:val="1001"/>
          <w:ilvl w:val="0"/>
        </w:numPr>
      </w:pPr>
      <w:r>
        <w:t xml:space="preserve">Для достижения уставных целей Организация может использовать следующие ресурсы: членские взносы (если они будут установлены Общим собранием), доходы от собственных мероприятий, субсидии, доходы по договорам об оказании услуг, гранты и пожертвования всех типов.</w:t>
      </w:r>
    </w:p>
    <w:p>
      <w:pPr>
        <w:pStyle w:val="Compact"/>
        <w:numPr>
          <w:numId w:val="1001"/>
          <w:ilvl w:val="0"/>
        </w:numPr>
      </w:pPr>
      <w:r>
        <w:t xml:space="preserve">Организация соблюдает принципы конфиденциальности и охраны персональных данных и действует в этой области в соответствии с национальным и международным законодательством.</w:t>
      </w:r>
    </w:p>
    <w:p>
      <w:pPr>
        <w:pStyle w:val="Compact"/>
        <w:numPr>
          <w:numId w:val="1001"/>
          <w:ilvl w:val="0"/>
        </w:numPr>
      </w:pPr>
      <w:r>
        <w:t xml:space="preserve">Официальные языки Организации — немецкий и русский. Документы, связанные с деятельностью Организации как юридического лица, ведутся на немецком языке или имеют немецкоязычную версию.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Heading1"/>
      </w:pPr>
      <w:bookmarkStart w:id="21" w:name="цели-и-задачи"/>
      <w:r>
        <w:t xml:space="preserve">Цели и задачи</w:t>
      </w:r>
      <w:bookmarkEnd w:id="21"/>
    </w:p>
    <w:p>
      <w:pPr>
        <w:pStyle w:val="Heading2"/>
      </w:pPr>
      <w:bookmarkStart w:id="22" w:name="цели-организации"/>
      <w:r>
        <w:t xml:space="preserve">Цели организации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Развитие и популяризация существующих интеллектуальных игр и создание новых. Под интеллектуальными играми здесь и далее понимаются командные или индивидуальные соревнования по поиску ответов на специально подготовленные вопросы с ограничением времени и/или на скорость.</w:t>
      </w:r>
    </w:p>
    <w:p>
      <w:pPr>
        <w:pStyle w:val="Compact"/>
        <w:numPr>
          <w:numId w:val="1002"/>
          <w:ilvl w:val="0"/>
        </w:numPr>
      </w:pPr>
      <w:r>
        <w:t xml:space="preserve">Развитие интеллектуального творчества участников, поддержка авторов и редакторов игровых заданий.</w:t>
      </w:r>
    </w:p>
    <w:p>
      <w:pPr>
        <w:pStyle w:val="Compact"/>
        <w:numPr>
          <w:numId w:val="1002"/>
          <w:ilvl w:val="0"/>
        </w:numPr>
      </w:pPr>
      <w:r>
        <w:t xml:space="preserve">Развитие детского и молодёжного интеллектуального движения, поддержка тренеров и организаторов детских и молодёжных соревнований.</w:t>
      </w:r>
    </w:p>
    <w:p>
      <w:pPr>
        <w:pStyle w:val="Compact"/>
        <w:numPr>
          <w:numId w:val="1002"/>
          <w:ilvl w:val="0"/>
        </w:numPr>
      </w:pPr>
      <w:r>
        <w:t xml:space="preserve">Проведение соревнований по интеллектуальным играм в соответствии со спортивными принципами.</w:t>
      </w:r>
    </w:p>
    <w:p>
      <w:pPr>
        <w:pStyle w:val="Compact"/>
        <w:numPr>
          <w:numId w:val="1002"/>
          <w:ilvl w:val="0"/>
        </w:numPr>
      </w:pPr>
      <w:r>
        <w:t xml:space="preserve">Повышение доступности интеллектуальных игр для жителей разных стран, носителей разных языков, лиц с ограниченными возможностями и т.д.</w:t>
      </w:r>
    </w:p>
    <w:p>
      <w:pPr>
        <w:pStyle w:val="Heading2"/>
      </w:pPr>
      <w:bookmarkStart w:id="23" w:name="задачи-организации"/>
      <w:r>
        <w:t xml:space="preserve">Задачи организации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Определение, кодификация и совершенствование правил игровых дисциплин и соревнований.</w:t>
      </w:r>
    </w:p>
    <w:p>
      <w:pPr>
        <w:pStyle w:val="Compact"/>
        <w:numPr>
          <w:numId w:val="1003"/>
          <w:ilvl w:val="0"/>
        </w:numPr>
      </w:pPr>
      <w:r>
        <w:t xml:space="preserve">Участие в проведении турниров по интеллектуальным играм регионального, национального и международного уровня.</w:t>
      </w:r>
    </w:p>
    <w:p>
      <w:pPr>
        <w:pStyle w:val="Compact"/>
        <w:numPr>
          <w:numId w:val="1003"/>
          <w:ilvl w:val="0"/>
        </w:numPr>
      </w:pPr>
      <w:r>
        <w:t xml:space="preserve">Проведение мероприятий, направленных на пропаганду интеллектуальных игр, расширение географии движения, привлечение новых участников.</w:t>
      </w:r>
    </w:p>
    <w:p>
      <w:pPr>
        <w:pStyle w:val="Compact"/>
        <w:numPr>
          <w:numId w:val="1003"/>
          <w:ilvl w:val="0"/>
        </w:numPr>
      </w:pPr>
      <w:r>
        <w:t xml:space="preserve">Обеспечение спортивности проводимых соревнований, что подразумевает соответствие правилам, отсутствие дискриминации при допуске к соревнованиям, контроль за соблюдением правил участниками.</w:t>
      </w:r>
    </w:p>
    <w:p>
      <w:pPr>
        <w:pStyle w:val="Compact"/>
        <w:numPr>
          <w:numId w:val="1003"/>
          <w:ilvl w:val="0"/>
        </w:numPr>
      </w:pPr>
      <w:r>
        <w:t xml:space="preserve">Организационная, информационная, методическая и техническая поддержка организаторов турниров, игроков, авторов и редакторов игровых заданий, судей, ведущих, тренеров команд.</w:t>
      </w:r>
    </w:p>
    <w:p>
      <w:pPr>
        <w:pStyle w:val="Compact"/>
        <w:numPr>
          <w:numId w:val="1003"/>
          <w:ilvl w:val="0"/>
        </w:numPr>
      </w:pPr>
      <w:r>
        <w:t xml:space="preserve">Определение норм игровой этики и контроль за их соблюдением.</w:t>
      </w:r>
    </w:p>
    <w:p>
      <w:pPr>
        <w:pStyle w:val="Compact"/>
        <w:numPr>
          <w:numId w:val="1003"/>
          <w:ilvl w:val="0"/>
        </w:numPr>
      </w:pPr>
      <w:r>
        <w:t xml:space="preserve">Информационное обеспечение соревнований, ведение игровой статистики, создание и поддержка ресурсов для хранения игровых материалов и результатов соревнований, информации об истории движения.</w:t>
      </w:r>
    </w:p>
    <w:p>
      <w:pPr>
        <w:pStyle w:val="Heading1"/>
      </w:pPr>
      <w:bookmarkStart w:id="24" w:name="членство-в-организации"/>
      <w:r>
        <w:t xml:space="preserve">Членство в организации</w:t>
      </w:r>
      <w:bookmarkEnd w:id="24"/>
    </w:p>
    <w:p>
      <w:pPr>
        <w:pStyle w:val="Heading2"/>
      </w:pPr>
      <w:bookmarkStart w:id="25" w:name="общие-положения-1"/>
      <w:r>
        <w:t xml:space="preserve">Общие положения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Членство в Организации — индивидуальное.</w:t>
      </w:r>
    </w:p>
    <w:p>
      <w:pPr>
        <w:pStyle w:val="Compact"/>
        <w:numPr>
          <w:numId w:val="1004"/>
          <w:ilvl w:val="0"/>
        </w:numPr>
      </w:pPr>
      <w:r>
        <w:t xml:space="preserve">Реестр членов Организации ведёт Исполнительный комитет (далее - «Исполком») с правом делегирования этой задачи другому органу.</w:t>
      </w:r>
    </w:p>
    <w:p>
      <w:pPr>
        <w:pStyle w:val="Compact"/>
        <w:numPr>
          <w:numId w:val="1004"/>
          <w:ilvl w:val="0"/>
        </w:numPr>
      </w:pPr>
      <w:r>
        <w:t xml:space="preserve">Полномочия принимать и исключать членов Организации принадлежат Общему собранию, но могут быть делегированы другому органу.</w:t>
      </w:r>
    </w:p>
    <w:p>
      <w:pPr>
        <w:pStyle w:val="Heading2"/>
      </w:pPr>
      <w:bookmarkStart w:id="26" w:name="вступление-в-организацию"/>
      <w:r>
        <w:t xml:space="preserve">Вступление в Организацию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Вступление в Организацию происходит на основании заявления, поданного в письменном виде или по электронной почте.</w:t>
      </w:r>
    </w:p>
    <w:p>
      <w:pPr>
        <w:pStyle w:val="Compact"/>
        <w:numPr>
          <w:numId w:val="1005"/>
          <w:ilvl w:val="0"/>
        </w:numPr>
      </w:pPr>
      <w:r>
        <w:t xml:space="preserve">Решение об отказе в приёме в Организацию может быть принято в течение 14 суток Общим собранием или уполномоченным им органом. При отсутствии такого решения заявитель становится членом Организации.</w:t>
      </w:r>
    </w:p>
    <w:p>
      <w:pPr>
        <w:pStyle w:val="Compact"/>
        <w:numPr>
          <w:numId w:val="1005"/>
          <w:ilvl w:val="0"/>
        </w:numPr>
      </w:pPr>
      <w:r>
        <w:t xml:space="preserve">Общее собрание может утвердить формальные критерии, соответствие заявителя которым влечёт за собой невозможность отказа в приёме.</w:t>
      </w:r>
    </w:p>
    <w:p>
      <w:pPr>
        <w:pStyle w:val="Compact"/>
        <w:numPr>
          <w:numId w:val="1005"/>
          <w:ilvl w:val="0"/>
        </w:numPr>
      </w:pPr>
      <w:r>
        <w:t xml:space="preserve">Член Организации, пропустивший 3 Общих собрания подряд, не считается действительным членом и не учитывается при расчёте кворума до момента своего участия в Общем собрании.</w:t>
      </w:r>
    </w:p>
    <w:p>
      <w:pPr>
        <w:pStyle w:val="Heading2"/>
      </w:pPr>
      <w:bookmarkStart w:id="27" w:name="прекращение-членства"/>
      <w:r>
        <w:t xml:space="preserve">Прекращение членства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Для добровольного выхода из Организации достаточно уведомления, поданного в письменном виде или по электронной почте. Членство считается автоматически прекращённым с момента получения заявления.</w:t>
      </w:r>
    </w:p>
    <w:p>
      <w:pPr>
        <w:pStyle w:val="Compact"/>
        <w:numPr>
          <w:numId w:val="1006"/>
          <w:ilvl w:val="0"/>
        </w:numPr>
      </w:pPr>
      <w:r>
        <w:t xml:space="preserve">В случае, если Организация накладывает на своего члена дисциплинарные санкции, возможно приостановление его членства на срок действия санкций. Под приостановлением членства подразумевается невозможность участия в Общих собраниях и работе органов Организации. Членство может быть приостановлено Общим собранием или органом, которому Общее собрание делегировало это полномочие.</w:t>
      </w:r>
    </w:p>
    <w:p>
      <w:pPr>
        <w:pStyle w:val="Compact"/>
        <w:numPr>
          <w:numId w:val="1006"/>
          <w:ilvl w:val="0"/>
        </w:numPr>
      </w:pPr>
      <w:r>
        <w:t xml:space="preserve">Основанием для исключения из Организации могут быть:</w:t>
      </w:r>
    </w:p>
    <w:p>
      <w:pPr>
        <w:pStyle w:val="Compact"/>
        <w:numPr>
          <w:numId w:val="1007"/>
          <w:ilvl w:val="1"/>
        </w:numPr>
      </w:pPr>
      <w:r>
        <w:t xml:space="preserve">Решение Общего собрания.</w:t>
      </w:r>
    </w:p>
    <w:p>
      <w:pPr>
        <w:pStyle w:val="Compact"/>
        <w:numPr>
          <w:numId w:val="1007"/>
          <w:ilvl w:val="1"/>
        </w:numPr>
      </w:pPr>
      <w:r>
        <w:t xml:space="preserve">Неуплата членских взносов (если они будут установлены Общим собранием).</w:t>
      </w:r>
    </w:p>
    <w:p>
      <w:pPr>
        <w:pStyle w:val="Compact"/>
        <w:numPr>
          <w:numId w:val="1007"/>
          <w:ilvl w:val="1"/>
        </w:numPr>
      </w:pPr>
      <w:r>
        <w:t xml:space="preserve">Неучастие в перерегистрации членов (если эта процедура будет установлена Общим собранием).</w:t>
      </w:r>
    </w:p>
    <w:p>
      <w:pPr>
        <w:pStyle w:val="Compact"/>
        <w:numPr>
          <w:numId w:val="1006"/>
          <w:ilvl w:val="0"/>
        </w:numPr>
      </w:pPr>
      <w:r>
        <w:t xml:space="preserve">При исключении по решению Общего собрания повторный приём в Организацию возможен только по решению Общего собрания.</w:t>
      </w:r>
    </w:p>
    <w:p>
      <w:pPr>
        <w:pStyle w:val="Heading2"/>
      </w:pPr>
      <w:bookmarkStart w:id="28" w:name="права-и-обязанности-членов"/>
      <w:r>
        <w:t xml:space="preserve">Права и обязанности членов</w:t>
      </w:r>
      <w:bookmarkEnd w:id="28"/>
    </w:p>
    <w:p>
      <w:pPr>
        <w:pStyle w:val="Compact"/>
        <w:numPr>
          <w:numId w:val="1008"/>
          <w:ilvl w:val="0"/>
        </w:numPr>
      </w:pPr>
      <w:r>
        <w:t xml:space="preserve">Члены Организации имеют право:</w:t>
      </w:r>
    </w:p>
    <w:p>
      <w:pPr>
        <w:pStyle w:val="Compact"/>
        <w:numPr>
          <w:numId w:val="1009"/>
          <w:ilvl w:val="1"/>
        </w:numPr>
      </w:pPr>
      <w:r>
        <w:t xml:space="preserve">Обращаться в органы Организации с личными инициативами, касающимися деятельности Организации.</w:t>
      </w:r>
    </w:p>
    <w:p>
      <w:pPr>
        <w:pStyle w:val="Compact"/>
        <w:numPr>
          <w:numId w:val="1009"/>
          <w:ilvl w:val="1"/>
        </w:numPr>
      </w:pPr>
      <w:r>
        <w:t xml:space="preserve">Создавать инициативные группы для созыва Общего собрания, внесения вопросов в повестку Общего собрания и выдвижения других коллективных инициатив. Актом инициативной группы считается любое обращение, подписанное не менее 10 % от количества действительных членов Организации.</w:t>
      </w:r>
    </w:p>
    <w:p>
      <w:pPr>
        <w:pStyle w:val="Compact"/>
        <w:numPr>
          <w:numId w:val="1009"/>
          <w:ilvl w:val="1"/>
        </w:numPr>
      </w:pPr>
      <w:r>
        <w:t xml:space="preserve">Получать от органов Организации информацию о принятых решениях: мотивировку, порядок принятия, поимённые результаты голосований.</w:t>
      </w:r>
    </w:p>
    <w:p>
      <w:pPr>
        <w:pStyle w:val="Compact"/>
        <w:numPr>
          <w:numId w:val="1008"/>
          <w:ilvl w:val="0"/>
        </w:numPr>
      </w:pPr>
      <w:r>
        <w:t xml:space="preserve">Члены Организации обязаны:</w:t>
      </w:r>
    </w:p>
    <w:p>
      <w:pPr>
        <w:pStyle w:val="Compact"/>
        <w:numPr>
          <w:numId w:val="1010"/>
          <w:ilvl w:val="1"/>
        </w:numPr>
      </w:pPr>
      <w:r>
        <w:t xml:space="preserve">Соблюдать положения Устава, а также иных нормативных документов Организации.</w:t>
      </w:r>
    </w:p>
    <w:p>
      <w:pPr>
        <w:pStyle w:val="Compact"/>
        <w:numPr>
          <w:numId w:val="1010"/>
          <w:ilvl w:val="1"/>
        </w:numPr>
      </w:pPr>
      <w:r>
        <w:t xml:space="preserve">Выполнять решения органов Организации.</w:t>
      </w:r>
    </w:p>
    <w:p>
      <w:pPr>
        <w:pStyle w:val="Compact"/>
        <w:numPr>
          <w:numId w:val="1010"/>
          <w:ilvl w:val="1"/>
        </w:numPr>
      </w:pPr>
      <w:r>
        <w:t xml:space="preserve">Своевременно уплачивать членские взносы, если они установлены Общим собранием.</w:t>
      </w:r>
    </w:p>
    <w:p>
      <w:pPr>
        <w:pStyle w:val="Heading1"/>
      </w:pPr>
      <w:bookmarkStart w:id="29" w:name="структура-и-органы"/>
      <w:r>
        <w:t xml:space="preserve">Структура и органы</w:t>
      </w:r>
      <w:bookmarkEnd w:id="29"/>
    </w:p>
    <w:p>
      <w:pPr>
        <w:pStyle w:val="Heading2"/>
      </w:pPr>
      <w:bookmarkStart w:id="30" w:name="структура"/>
      <w:r>
        <w:t xml:space="preserve">Структура</w:t>
      </w:r>
      <w:bookmarkEnd w:id="30"/>
    </w:p>
    <w:p>
      <w:pPr>
        <w:pStyle w:val="Compact"/>
        <w:numPr>
          <w:numId w:val="1011"/>
          <w:ilvl w:val="0"/>
        </w:numPr>
      </w:pPr>
      <w:r>
        <w:t xml:space="preserve">Органами организации являются общее собрание, исполнительный комитет, рабочие группы, контрольно-ревизионная комиссия.</w:t>
      </w:r>
    </w:p>
    <w:p>
      <w:pPr>
        <w:pStyle w:val="Compact"/>
        <w:numPr>
          <w:numId w:val="1011"/>
          <w:ilvl w:val="0"/>
        </w:numPr>
      </w:pPr>
      <w:r>
        <w:t xml:space="preserve">В состав выборных органов могут быть избраны как члены организации, так и лица, в ней не состоящие.</w:t>
      </w:r>
    </w:p>
    <w:p>
      <w:pPr>
        <w:pStyle w:val="Heading2"/>
      </w:pPr>
      <w:bookmarkStart w:id="31" w:name="общее-собрание"/>
      <w:r>
        <w:t xml:space="preserve">Общее собрание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Высшим органом Организации является Общее собрание. Решения Общего собрания имеют приоритет по отношению к решениям любых других органов. Общее собрание может отменить решение любого другого органа.</w:t>
      </w:r>
    </w:p>
    <w:p>
      <w:pPr>
        <w:pStyle w:val="Compact"/>
        <w:numPr>
          <w:numId w:val="1012"/>
          <w:ilvl w:val="0"/>
        </w:numPr>
      </w:pPr>
      <w:r>
        <w:t xml:space="preserve">Общее собрание проводится очно или в форме онлайн-конференции с применением технологий, позволяющих идентифицировать личность участника. При очном собрании должны быть обеспечены онлайн-трансляция и возможность дистанционного голосования.</w:t>
      </w:r>
    </w:p>
    <w:p>
      <w:pPr>
        <w:pStyle w:val="Compact"/>
        <w:numPr>
          <w:numId w:val="1012"/>
          <w:ilvl w:val="0"/>
        </w:numPr>
      </w:pPr>
      <w:r>
        <w:t xml:space="preserve">Созыв Общего собрания возможен по инициативе любого органа или инициативной группы. Если в течение 1 месяца после подачи заявки Исполком не определит дату собрания, определить дату может инициатор созыва.</w:t>
      </w:r>
    </w:p>
    <w:p>
      <w:pPr>
        <w:pStyle w:val="Compact"/>
        <w:numPr>
          <w:numId w:val="1012"/>
          <w:ilvl w:val="0"/>
        </w:numPr>
      </w:pPr>
      <w:r>
        <w:t xml:space="preserve">Члены Организации приглашаются на Общее собрание в письменной или электронной форме не позднее, чем за 21 сутки до заседания.</w:t>
      </w:r>
    </w:p>
    <w:p>
      <w:pPr>
        <w:pStyle w:val="Compact"/>
        <w:numPr>
          <w:numId w:val="1012"/>
          <w:ilvl w:val="0"/>
        </w:numPr>
      </w:pPr>
      <w:r>
        <w:t xml:space="preserve">Повестка Общего собрания формируется и публикуется Исполкомом не позднее, чем за 14 суток до заседания. Правом внесения вопросов в повестку обладают все органы, а также инициативные группы. В последнем случае вопрос может быть внесен в повестку и после её публикации.</w:t>
      </w:r>
    </w:p>
    <w:p>
      <w:pPr>
        <w:pStyle w:val="Compact"/>
        <w:numPr>
          <w:numId w:val="1012"/>
          <w:ilvl w:val="0"/>
        </w:numPr>
      </w:pPr>
      <w:r>
        <w:t xml:space="preserve">Кворум для Общего собрания составляет 25 % членов Организации, независимо от того, проводится ли заседание очно или онлайн. Передача права голоса не допускается.</w:t>
      </w:r>
    </w:p>
    <w:p>
      <w:pPr>
        <w:pStyle w:val="Compact"/>
        <w:numPr>
          <w:numId w:val="1012"/>
          <w:ilvl w:val="0"/>
        </w:numPr>
      </w:pPr>
      <w:r>
        <w:t xml:space="preserve">Решения Общего собрания, кроме описанных в пп.</w:t>
      </w:r>
      <w:r>
        <w:t xml:space="preserve"> </w:t>
      </w:r>
      <w:hyperlink w:anchor="ref5_1">
        <w:r>
          <w:rPr>
            <w:rStyle w:val="Hyperlink"/>
          </w:rPr>
          <w:t xml:space="preserve">5.1</w:t>
        </w:r>
      </w:hyperlink>
      <w:r>
        <w:t xml:space="preserve"> </w:t>
      </w:r>
      <w:r>
        <w:t xml:space="preserve">и</w:t>
      </w:r>
      <w:r>
        <w:t xml:space="preserve"> </w:t>
      </w:r>
      <w:hyperlink w:anchor="ref5_2">
        <w:r>
          <w:rPr>
            <w:rStyle w:val="Hyperlink"/>
          </w:rPr>
          <w:t xml:space="preserve">5.2</w:t>
        </w:r>
      </w:hyperlink>
      <w:r>
        <w:t xml:space="preserve">, принимаются простым большинством голосов.</w:t>
      </w:r>
    </w:p>
    <w:p>
      <w:pPr>
        <w:pStyle w:val="Compact"/>
        <w:numPr>
          <w:numId w:val="1012"/>
          <w:ilvl w:val="0"/>
        </w:numPr>
      </w:pPr>
      <w:r>
        <w:t xml:space="preserve">К вопросам исключительной компетенции Общего собрания относятся:</w:t>
      </w:r>
    </w:p>
    <w:p>
      <w:pPr>
        <w:pStyle w:val="Compact"/>
        <w:numPr>
          <w:numId w:val="1013"/>
          <w:ilvl w:val="1"/>
        </w:numPr>
      </w:pPr>
      <w:r>
        <w:t xml:space="preserve">Утверждение Устава и внесение изменений в него.</w:t>
      </w:r>
    </w:p>
    <w:p>
      <w:pPr>
        <w:pStyle w:val="Compact"/>
        <w:numPr>
          <w:numId w:val="1013"/>
          <w:ilvl w:val="1"/>
        </w:numPr>
      </w:pPr>
      <w:r>
        <w:t xml:space="preserve">Утверждение документов, регулирующих правила интеллектуальных игр.</w:t>
      </w:r>
    </w:p>
    <w:p>
      <w:pPr>
        <w:pStyle w:val="Compact"/>
        <w:numPr>
          <w:numId w:val="1013"/>
          <w:ilvl w:val="1"/>
        </w:numPr>
      </w:pPr>
      <w:r>
        <w:t xml:space="preserve">Выборы членов Исполкома, Рабочих групп, Контрольно-ревизионной комиссии.</w:t>
      </w:r>
    </w:p>
    <w:p>
      <w:pPr>
        <w:pStyle w:val="Compact"/>
        <w:numPr>
          <w:numId w:val="1013"/>
          <w:ilvl w:val="1"/>
        </w:numPr>
      </w:pPr>
      <w:r>
        <w:t xml:space="preserve">Досрочное прекращение полномочий других органов.</w:t>
      </w:r>
    </w:p>
    <w:p>
      <w:pPr>
        <w:pStyle w:val="Compact"/>
        <w:numPr>
          <w:numId w:val="1013"/>
          <w:ilvl w:val="1"/>
        </w:numPr>
      </w:pPr>
      <w:r>
        <w:t xml:space="preserve">Создание и ликвидация Рабочих групп (кроме временных), утверждение документов, регламентирующих их деятельность.</w:t>
      </w:r>
    </w:p>
    <w:p>
      <w:pPr>
        <w:pStyle w:val="Compact"/>
        <w:numPr>
          <w:numId w:val="1013"/>
          <w:ilvl w:val="1"/>
        </w:numPr>
      </w:pPr>
      <w:r>
        <w:t xml:space="preserve">Создание и ликвидация дополнительных органов, не перечисленных в п.</w:t>
      </w:r>
      <w:r>
        <w:t xml:space="preserve"> </w:t>
      </w:r>
      <w:hyperlink w:anchor="ref_p1_4_1_1">
        <w:r>
          <w:rPr>
            <w:rStyle w:val="Hyperlink"/>
          </w:rPr>
          <w:t xml:space="preserve">4.1.1</w:t>
        </w:r>
      </w:hyperlink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Утверждение отчётов других органов об их деятельности.</w:t>
      </w:r>
    </w:p>
    <w:p>
      <w:pPr>
        <w:pStyle w:val="Compact"/>
        <w:numPr>
          <w:numId w:val="1013"/>
          <w:ilvl w:val="1"/>
        </w:numPr>
      </w:pPr>
      <w:r>
        <w:t xml:space="preserve">Установление и отмена членских взносов.</w:t>
      </w:r>
    </w:p>
    <w:p>
      <w:pPr>
        <w:pStyle w:val="Compact"/>
        <w:numPr>
          <w:numId w:val="1013"/>
          <w:ilvl w:val="1"/>
        </w:numPr>
      </w:pPr>
      <w:r>
        <w:t xml:space="preserve">Ликвидация Организации.</w:t>
      </w:r>
    </w:p>
    <w:p>
      <w:pPr>
        <w:pStyle w:val="Heading2"/>
      </w:pPr>
      <w:bookmarkStart w:id="32" w:name="исполнительный-комитет"/>
      <w:r>
        <w:t xml:space="preserve">Исполнительный комитет</w:t>
      </w:r>
      <w:bookmarkEnd w:id="32"/>
    </w:p>
    <w:p>
      <w:pPr>
        <w:pStyle w:val="Compact"/>
        <w:numPr>
          <w:numId w:val="1014"/>
          <w:ilvl w:val="0"/>
        </w:numPr>
      </w:pPr>
      <w:r>
        <w:t xml:space="preserve">Исполком является органом, обеспечивающим повседневную работу Организации.</w:t>
      </w:r>
    </w:p>
    <w:p>
      <w:pPr>
        <w:pStyle w:val="Compact"/>
        <w:numPr>
          <w:numId w:val="1014"/>
          <w:ilvl w:val="0"/>
        </w:numPr>
      </w:pPr>
      <w:r>
        <w:t xml:space="preserve">Срок полномочий членов Исполкома - 2 года.</w:t>
      </w:r>
    </w:p>
    <w:p>
      <w:pPr>
        <w:pStyle w:val="Compact"/>
        <w:numPr>
          <w:numId w:val="1014"/>
          <w:ilvl w:val="0"/>
        </w:numPr>
      </w:pPr>
      <w:r>
        <w:t xml:space="preserve">Количество членов Исполкома определяется Общим собранием, но не может быть менее 5 и более 15. При уменьшении количества членов Исполкома за пределы нижней границы на ближайшем Общем собрании проводятся дополнительные выборы для заполнения вакантных мест в Исполкоме.</w:t>
      </w:r>
    </w:p>
    <w:p>
      <w:pPr>
        <w:pStyle w:val="Compact"/>
        <w:numPr>
          <w:numId w:val="1014"/>
          <w:ilvl w:val="0"/>
        </w:numPr>
      </w:pPr>
      <w:r>
        <w:t xml:space="preserve">Исполком:</w:t>
      </w:r>
    </w:p>
    <w:p>
      <w:pPr>
        <w:pStyle w:val="Compact"/>
        <w:numPr>
          <w:numId w:val="1015"/>
          <w:ilvl w:val="1"/>
        </w:numPr>
      </w:pPr>
      <w:r>
        <w:t xml:space="preserve">Определяет даты Общих собраний, формирует и публикует их повестку.</w:t>
      </w:r>
    </w:p>
    <w:p>
      <w:pPr>
        <w:pStyle w:val="Compact"/>
        <w:numPr>
          <w:numId w:val="1015"/>
          <w:ilvl w:val="1"/>
        </w:numPr>
      </w:pPr>
      <w:r>
        <w:t xml:space="preserve">Организует проведение Общих собраний.</w:t>
      </w:r>
    </w:p>
    <w:p>
      <w:pPr>
        <w:pStyle w:val="Compact"/>
        <w:numPr>
          <w:numId w:val="1015"/>
          <w:ilvl w:val="1"/>
        </w:numPr>
      </w:pPr>
      <w:r>
        <w:t xml:space="preserve">Организует взаимодействие между Рабочими группами.</w:t>
      </w:r>
    </w:p>
    <w:p>
      <w:pPr>
        <w:pStyle w:val="Compact"/>
        <w:numPr>
          <w:numId w:val="1015"/>
          <w:ilvl w:val="1"/>
        </w:numPr>
      </w:pPr>
      <w:r>
        <w:t xml:space="preserve">Может создавать временные Рабочие группы.</w:t>
      </w:r>
    </w:p>
    <w:p>
      <w:pPr>
        <w:pStyle w:val="Compact"/>
        <w:numPr>
          <w:numId w:val="1015"/>
          <w:ilvl w:val="1"/>
        </w:numPr>
      </w:pPr>
      <w:r>
        <w:t xml:space="preserve">Ведёт реестр членов организации.</w:t>
      </w:r>
    </w:p>
    <w:p>
      <w:pPr>
        <w:pStyle w:val="Compact"/>
        <w:numPr>
          <w:numId w:val="1015"/>
          <w:ilvl w:val="1"/>
        </w:numPr>
      </w:pPr>
      <w:r>
        <w:t xml:space="preserve">Распоряжается денежными средствами и имуществом Организации.</w:t>
      </w:r>
    </w:p>
    <w:p>
      <w:pPr>
        <w:pStyle w:val="Compact"/>
        <w:numPr>
          <w:numId w:val="1015"/>
          <w:ilvl w:val="1"/>
        </w:numPr>
      </w:pPr>
      <w:r>
        <w:t xml:space="preserve">Готовит отчёты о своей деятельности для Общего собрания. Периодичность отчетов устанавливается Общим собранием.</w:t>
      </w:r>
    </w:p>
    <w:p>
      <w:pPr>
        <w:pStyle w:val="Compact"/>
        <w:numPr>
          <w:numId w:val="1015"/>
          <w:ilvl w:val="1"/>
        </w:numPr>
      </w:pPr>
      <w:r>
        <w:t xml:space="preserve">Может решать другие вопросы, не отнесенные к исключительной компетенции Общего собрания.</w:t>
      </w:r>
    </w:p>
    <w:p>
      <w:pPr>
        <w:pStyle w:val="Compact"/>
        <w:numPr>
          <w:numId w:val="1014"/>
          <w:ilvl w:val="0"/>
        </w:numPr>
      </w:pPr>
      <w:r>
        <w:t xml:space="preserve">Лица, которые могут представлять Организацию перед органами власти, банками и иными организациями, определяются Исполкомом. Содержание договоров, подписанных уполномоченными лицами, должно получить предварительное согласование Исполкома. Для распоряжения банковским счетом Организации достаточно подписи двух уполномоченных Исполкомом лиц.</w:t>
      </w:r>
    </w:p>
    <w:p>
      <w:pPr>
        <w:pStyle w:val="Heading2"/>
      </w:pPr>
      <w:bookmarkStart w:id="33" w:name="рабочие-группы"/>
      <w:r>
        <w:t xml:space="preserve">Рабочие группы</w:t>
      </w:r>
      <w:bookmarkEnd w:id="33"/>
    </w:p>
    <w:p>
      <w:pPr>
        <w:pStyle w:val="Compact"/>
        <w:numPr>
          <w:numId w:val="1016"/>
          <w:ilvl w:val="0"/>
        </w:numPr>
      </w:pPr>
      <w:r>
        <w:t xml:space="preserve">Рабочие группы являются органами, созданными для реализации конкретных направлений деятельности Организации.</w:t>
      </w:r>
    </w:p>
    <w:p>
      <w:pPr>
        <w:pStyle w:val="Compact"/>
        <w:numPr>
          <w:numId w:val="1016"/>
          <w:ilvl w:val="0"/>
        </w:numPr>
      </w:pPr>
      <w:r>
        <w:t xml:space="preserve">Рабочие группы создаются и ликвидируются по решению Общего собрания.</w:t>
      </w:r>
    </w:p>
    <w:p>
      <w:pPr>
        <w:pStyle w:val="Compact"/>
        <w:numPr>
          <w:numId w:val="1016"/>
          <w:ilvl w:val="0"/>
        </w:numPr>
      </w:pPr>
      <w:r>
        <w:t xml:space="preserve">Сроки полномочий и персональный состав членов каждой Рабочей группы определяются Общим собранием. После начала работы группа может кооптировать в свой состав дополнительных членов. Каждое решение о кооптации должно быть рассмотрено и может быть отменено ближайшим Общим собранием.</w:t>
      </w:r>
    </w:p>
    <w:p>
      <w:pPr>
        <w:pStyle w:val="Compact"/>
        <w:numPr>
          <w:numId w:val="1016"/>
          <w:ilvl w:val="0"/>
        </w:numPr>
      </w:pPr>
      <w:r>
        <w:t xml:space="preserve">В период между Общими собраниями по решению Исполкома могут быть созданы временные Рабочие группы с временным составом членов. Ближайшее Общее собрание должно утвердить или отменить решение Исполкома. В случае утверждения Общее собрание формирует постоянный состав группы, в случае отмены — решает вопрос о действительности принятых временной группой решений.</w:t>
      </w:r>
    </w:p>
    <w:p>
      <w:pPr>
        <w:pStyle w:val="Compact"/>
        <w:numPr>
          <w:numId w:val="1016"/>
          <w:ilvl w:val="0"/>
        </w:numPr>
      </w:pPr>
      <w:r>
        <w:t xml:space="preserve">Одно и то же лицо может быть одновременно членом Исполкома и Рабочей группы. Одно и то же лицо может быть одновременно членом нескольких Рабочих групп.</w:t>
      </w:r>
    </w:p>
    <w:p>
      <w:pPr>
        <w:pStyle w:val="Compact"/>
        <w:numPr>
          <w:numId w:val="1016"/>
          <w:ilvl w:val="0"/>
        </w:numPr>
      </w:pPr>
      <w:r>
        <w:t xml:space="preserve">Рабочие группы:</w:t>
      </w:r>
    </w:p>
    <w:p>
      <w:pPr>
        <w:pStyle w:val="Compact"/>
        <w:numPr>
          <w:numId w:val="1017"/>
          <w:ilvl w:val="1"/>
        </w:numPr>
      </w:pPr>
      <w:r>
        <w:t xml:space="preserve">Занимаются анализом вопросов, связанных с правилами игр, проведением соревнований, информационным обеспечением деятельности Организации, соблюдением игровой этики, бюджетом Организации, взаимодействием с другими организациями и т. д.</w:t>
      </w:r>
    </w:p>
    <w:p>
      <w:pPr>
        <w:pStyle w:val="Compact"/>
        <w:numPr>
          <w:numId w:val="1017"/>
          <w:ilvl w:val="1"/>
        </w:numPr>
      </w:pPr>
      <w:r>
        <w:t xml:space="preserve">Разрабатывают проекты внутренних нормативных документов Организации для рассмотрения Общим собранием.</w:t>
      </w:r>
    </w:p>
    <w:p>
      <w:pPr>
        <w:pStyle w:val="Compact"/>
        <w:numPr>
          <w:numId w:val="1017"/>
          <w:ilvl w:val="1"/>
        </w:numPr>
      </w:pPr>
      <w:r>
        <w:t xml:space="preserve">Готовят отчёты о своей деятельности для Общего собрания. Периодичность отчётов устанавливается Общим собранием.</w:t>
      </w:r>
    </w:p>
    <w:p>
      <w:pPr>
        <w:pStyle w:val="Compact"/>
        <w:numPr>
          <w:numId w:val="1017"/>
          <w:ilvl w:val="1"/>
        </w:numPr>
      </w:pPr>
      <w:r>
        <w:t xml:space="preserve">Могут инициировать созыв Общего собрания.</w:t>
      </w:r>
    </w:p>
    <w:p>
      <w:pPr>
        <w:pStyle w:val="Compact"/>
        <w:numPr>
          <w:numId w:val="1017"/>
          <w:ilvl w:val="1"/>
        </w:numPr>
      </w:pPr>
      <w:r>
        <w:t xml:space="preserve">Могут вносить вопросы в повестку Общего собрания.</w:t>
      </w:r>
    </w:p>
    <w:p>
      <w:pPr>
        <w:pStyle w:val="Compact"/>
        <w:numPr>
          <w:numId w:val="1017"/>
          <w:ilvl w:val="1"/>
        </w:numPr>
      </w:pPr>
      <w:r>
        <w:t xml:space="preserve">Могут решать другие вопросы, не отнесенные к исключительной компетенции Общего собрания.</w:t>
      </w:r>
    </w:p>
    <w:p>
      <w:pPr>
        <w:pStyle w:val="Heading2"/>
      </w:pPr>
      <w:bookmarkStart w:id="34" w:name="контрольно-ревизионная-комиссия"/>
      <w:r>
        <w:t xml:space="preserve">Контрольно-ревизионная комиссия</w:t>
      </w:r>
      <w:bookmarkEnd w:id="34"/>
    </w:p>
    <w:p>
      <w:pPr>
        <w:pStyle w:val="Compact"/>
        <w:numPr>
          <w:numId w:val="1018"/>
          <w:ilvl w:val="0"/>
        </w:numPr>
      </w:pPr>
      <w:r>
        <w:t xml:space="preserve">Контрольно-ревизионная комиссия является постоянно действующим органом, оценивающим и контролирующим работу других органов.</w:t>
      </w:r>
    </w:p>
    <w:p>
      <w:pPr>
        <w:pStyle w:val="Compact"/>
        <w:numPr>
          <w:numId w:val="1018"/>
          <w:ilvl w:val="0"/>
        </w:numPr>
      </w:pPr>
      <w:r>
        <w:t xml:space="preserve">Срок полномочий членов Контрольно-ревизионной комиссии — 2 года.</w:t>
      </w:r>
    </w:p>
    <w:p>
      <w:pPr>
        <w:pStyle w:val="Compact"/>
        <w:numPr>
          <w:numId w:val="1018"/>
          <w:ilvl w:val="0"/>
        </w:numPr>
      </w:pPr>
      <w:r>
        <w:t xml:space="preserve">Количество членов Контрольно-ревизионной комиссии определяется Общим собранием, но не может быть менее 3.</w:t>
      </w:r>
    </w:p>
    <w:p>
      <w:pPr>
        <w:pStyle w:val="Compact"/>
        <w:numPr>
          <w:numId w:val="1018"/>
          <w:ilvl w:val="0"/>
        </w:numPr>
      </w:pPr>
      <w:r>
        <w:t xml:space="preserve">Член Контрольно-ревизионной комиссии не может быть одновременно членом Исполкома или любой Рабочей группы.</w:t>
      </w:r>
    </w:p>
    <w:p>
      <w:pPr>
        <w:pStyle w:val="Compact"/>
        <w:numPr>
          <w:numId w:val="1018"/>
          <w:ilvl w:val="0"/>
        </w:numPr>
      </w:pPr>
      <w:r>
        <w:t xml:space="preserve">Контрольно-ревизионная комиссия:</w:t>
      </w:r>
    </w:p>
    <w:p>
      <w:pPr>
        <w:pStyle w:val="Compact"/>
        <w:numPr>
          <w:numId w:val="1019"/>
          <w:ilvl w:val="1"/>
        </w:numPr>
      </w:pPr>
      <w:r>
        <w:t xml:space="preserve">Контролирует соблюдение другими органами Устава.</w:t>
      </w:r>
    </w:p>
    <w:p>
      <w:pPr>
        <w:pStyle w:val="Compact"/>
        <w:numPr>
          <w:numId w:val="1019"/>
          <w:ilvl w:val="1"/>
        </w:numPr>
      </w:pPr>
      <w:r>
        <w:t xml:space="preserve">Контролирует исполнение другими органами решений Общего собрания.</w:t>
      </w:r>
    </w:p>
    <w:p>
      <w:pPr>
        <w:pStyle w:val="Compact"/>
        <w:numPr>
          <w:numId w:val="1019"/>
          <w:ilvl w:val="1"/>
        </w:numPr>
      </w:pPr>
      <w:r>
        <w:t xml:space="preserve">Проверяет расходование финансовых средств Организации.</w:t>
      </w:r>
    </w:p>
    <w:p>
      <w:pPr>
        <w:pStyle w:val="Compact"/>
        <w:numPr>
          <w:numId w:val="1019"/>
          <w:ilvl w:val="1"/>
        </w:numPr>
      </w:pPr>
      <w:r>
        <w:t xml:space="preserve">Проверяет соответствие договоров, заключённых от лица Организации, её интересам.</w:t>
      </w:r>
    </w:p>
    <w:p>
      <w:pPr>
        <w:pStyle w:val="Compact"/>
        <w:numPr>
          <w:numId w:val="1019"/>
          <w:ilvl w:val="1"/>
        </w:numPr>
      </w:pPr>
      <w:r>
        <w:t xml:space="preserve">Готовит отчёты о своей деятельности для Общего собрания. Периодичность отчётов устанавливается Общим собранием.</w:t>
      </w:r>
    </w:p>
    <w:p>
      <w:pPr>
        <w:pStyle w:val="Compact"/>
        <w:numPr>
          <w:numId w:val="1019"/>
          <w:ilvl w:val="1"/>
        </w:numPr>
      </w:pPr>
      <w:r>
        <w:t xml:space="preserve">Может инициировать созыв Общего собрания.</w:t>
      </w:r>
    </w:p>
    <w:p>
      <w:pPr>
        <w:pStyle w:val="Compact"/>
        <w:numPr>
          <w:numId w:val="1019"/>
          <w:ilvl w:val="1"/>
        </w:numPr>
      </w:pPr>
      <w:r>
        <w:t xml:space="preserve">Может вносить вопросы в повестку Общего собрания.</w:t>
      </w:r>
    </w:p>
    <w:p>
      <w:pPr>
        <w:pStyle w:val="Heading2"/>
      </w:pPr>
      <w:bookmarkStart w:id="35" w:name="территориальные-объединения"/>
      <w:r>
        <w:t xml:space="preserve">Территориальные объединения</w:t>
      </w:r>
      <w:bookmarkEnd w:id="35"/>
    </w:p>
    <w:p>
      <w:pPr>
        <w:pStyle w:val="Compact"/>
        <w:numPr>
          <w:numId w:val="1020"/>
          <w:ilvl w:val="0"/>
        </w:numPr>
      </w:pPr>
      <w:r>
        <w:t xml:space="preserve">Для кооординации деятельности Организации в определённом государстве или регионе могут быть созданы территориальные объединения членов Организации, статус и полномочия которых определяются Общим собранием.</w:t>
      </w:r>
    </w:p>
    <w:p>
      <w:pPr>
        <w:pStyle w:val="Heading1"/>
      </w:pPr>
      <w:bookmarkStart w:id="36" w:name="заключительные-положения"/>
      <w:r>
        <w:t xml:space="preserve">Заключительные положения</w:t>
      </w:r>
      <w:bookmarkEnd w:id="36"/>
    </w:p>
    <w:p>
      <w:pPr>
        <w:pStyle w:val="Compact"/>
        <w:numPr>
          <w:numId w:val="1021"/>
          <w:ilvl w:val="0"/>
        </w:numPr>
      </w:pPr>
      <w:r>
        <w:t xml:space="preserve">Решение об изменении Устава может быть принято только Общим собранием при поддержке не менее 2/3 участников заседания при кворуме 50 %.</w:t>
      </w:r>
    </w:p>
    <w:p>
      <w:pPr>
        <w:pStyle w:val="Compact"/>
        <w:numPr>
          <w:numId w:val="1021"/>
          <w:ilvl w:val="0"/>
        </w:numPr>
      </w:pPr>
      <w:r>
        <w:t xml:space="preserve">Решение о ликвидации Организации может быть принято только Общим собранием при поддержке не менее 2/3 действительных членов Организации.</w:t>
      </w:r>
    </w:p>
    <w:p>
      <w:pPr>
        <w:pStyle w:val="Compact"/>
        <w:numPr>
          <w:numId w:val="1021"/>
          <w:ilvl w:val="0"/>
        </w:numPr>
      </w:pPr>
      <w:r>
        <w:t xml:space="preserve">В случае ликвидации Организации её имущество распределяется согласно решению Общего собрания.</w:t>
      </w:r>
    </w:p>
    <w:p>
      <w:pPr>
        <w:pStyle w:val="Compact"/>
        <w:numPr>
          <w:numId w:val="1021"/>
          <w:ilvl w:val="0"/>
        </w:numPr>
      </w:pPr>
      <w:r>
        <w:t xml:space="preserve">Устав составлен на двух языках: немецком и русском. Юридическую силу имеет текст на немецком языке.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Compact"/>
        <w:numPr>
          <w:numId w:val="1021"/>
          <w:ilvl w:val="0"/>
        </w:numPr>
      </w:pPr>
      <w:r>
        <w:t xml:space="preserve">Устав принят Учредительным собранием Организации 11 апреля 2021 года и вступил в силу начиная с этой даты.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организации «Международная ассоциация интеллектуальных игр»</dc:title>
  <dc:creator/>
  <cp:keywords/>
  <dcterms:created xsi:type="dcterms:W3CDTF">2021-04-11T17:56:59Z</dcterms:created>
  <dcterms:modified xsi:type="dcterms:W3CDTF">2021-04-11T17:56:59Z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