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</w:rPr>
        <w:t>JOS</w:t>
      </w:r>
      <w:r>
        <w:rPr>
          <w:rFonts w:hAnsi="Helvetica" w:hint="default"/>
          <w:b w:val="1"/>
          <w:bCs w:val="1"/>
          <w:sz w:val="24"/>
          <w:szCs w:val="24"/>
          <w:rtl w:val="0"/>
          <w:lang w:val="pt-PT"/>
        </w:rPr>
        <w:t xml:space="preserve">É </w:t>
      </w:r>
      <w:r>
        <w:rPr>
          <w:rFonts w:ascii="Helvetica"/>
          <w:b w:val="1"/>
          <w:bCs w:val="1"/>
          <w:sz w:val="24"/>
          <w:szCs w:val="24"/>
          <w:rtl w:val="0"/>
          <w:lang w:val="pt-PT"/>
        </w:rPr>
        <w:t>ANTONIO DE LA PE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Ñ</w:t>
      </w:r>
      <w:r>
        <w:rPr>
          <w:rFonts w:ascii="Helvetica"/>
          <w:b w:val="1"/>
          <w:bCs w:val="1"/>
          <w:sz w:val="24"/>
          <w:szCs w:val="24"/>
          <w:rtl w:val="0"/>
        </w:rPr>
        <w:t xml:space="preserve">A </w:t>
      </w:r>
    </w:p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  <w:r>
        <w:rPr>
          <w:rFonts w:ascii="Times New Roman"/>
          <w:color w:val="7e7e7e"/>
          <w:sz w:val="23"/>
          <w:szCs w:val="23"/>
          <w:rtl w:val="0"/>
          <w:lang w:val="es-ES_tradnl"/>
        </w:rPr>
        <w:t>Su trabajo ha destacado por contribuir a la comprensi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 xml:space="preserve">n de las 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lgebras mansas y la estructura de las categor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as de m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dulos asociadas por medio de las formas cuadr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ticas, por el que se le otorg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el Premio twas de la Academia de Ciencias del Tercer Mundo. En a</w:t>
      </w:r>
      <w:r>
        <w:rPr>
          <w:rFonts w:hAnsi="Times New Roman" w:hint="default"/>
          <w:color w:val="7e7e7e"/>
          <w:sz w:val="23"/>
          <w:szCs w:val="23"/>
          <w:rtl w:val="0"/>
          <w:lang w:val="es-ES_tradnl"/>
        </w:rPr>
        <w:t>ñ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os recientes ha incursionado en la teor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espectral de gr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ficas y aplicaciones en qu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mico-matem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pt-PT"/>
        </w:rPr>
        <w:t xml:space="preserve">ticas, 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rea acerca de la cual ha publicado alrededor de 30 art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culos en revistas arbitradas, y en la que destaca la obtenci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nl-NL"/>
        </w:rPr>
        <w:t>n de f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rmulas estructurales para mol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culas de hidrocarburos en tres dimensiones.</w:t>
      </w: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