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>Centro de Investigaci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 xml:space="preserve">n 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es-ES_tradnl"/>
        </w:rPr>
        <w:t xml:space="preserve">en 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>Matem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ticas (CIMAT)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ab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 xml:space="preserve">n: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  <w:t>Jos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 xml:space="preserve">é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es-ES_tradnl"/>
        </w:rPr>
        <w:t>Antonio de la Pe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  <w:t>a</w:t>
        <w:tab/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u w:color="000000"/>
          <w:rtl w:val="0"/>
        </w:rPr>
        <w:br w:type="textWrapping"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El Centro de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 xml:space="preserve">n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 xml:space="preserve"> Matem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ticas surge a inicio de la 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cada de los ochenta, en medio de un contexto de desarrollo nacional el cual apuntaba hacia una descentralizaci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rupturas de instituciones con el Estado. Fue en Guanajuato, en el 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o 1980, cuando un grupo de acad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micos de la UNAM cre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una instituci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dedicada a la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 b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sica en el campo de las matem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ticas y al crecimiento de esta ciencia como 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rea de formaci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a nivel de educaci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 xml:space="preserve">n superior.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En marzo del 2011 el Dr. Jos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é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Antonio de la Pe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asumi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el cargo de director general del CIMAT. Sostuvo este cargo durante seis 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os, hasta enero del 2017. Durante este periodo el CIMAT creci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y se fortaleci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en diversas 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reas, ampliando su cobertura geogr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fica a otros estados y aumentando la plantilla de investigadores. Del 5 al 9 de agosto del 2013, organizado por el CIMAT, se llev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cabo el Primer Congreso de las Am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ricas en Guanajuato, el cual  reuni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 a casi mil matem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ticos de todo el continente. </w:t>
        <w:tab/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Actualmente, El Centro de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n en Matem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ticas AC es un centro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blico de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integrado al Sistema de Centros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blicos CONACYT, dedicado a la generaci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n, transmisi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y aplicaci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 xml:space="preserve">n de conocimientos especializados en las 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reas de matem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ticas, estad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stica y ciencias de la computaci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 xml:space="preserve">n.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