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both"/>
        <w:rPr>
          <w:rFonts w:ascii="Times New Roman"/>
          <w:color w:val="7e7e7e"/>
          <w:sz w:val="23"/>
          <w:szCs w:val="23"/>
          <w:rtl w:val="0"/>
        </w:rPr>
      </w:pP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MANUEL MART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Í</w:t>
      </w:r>
      <w:r>
        <w:rPr>
          <w:rFonts w:ascii="Helvetica"/>
          <w:b w:val="1"/>
          <w:bCs w:val="1"/>
          <w:sz w:val="24"/>
          <w:szCs w:val="24"/>
          <w:rtl w:val="0"/>
        </w:rPr>
        <w:t>NEZ BAEZ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miembro y presidente (1940 a 1942) de la Academia Nacional de Medicina, de la Sociedad Mexicana de Higiene, de la Sociedad Mexicana de Historia Natural y Miembro Honorario de la Academia de Medicina de Nueva York, entre muchos otros honores y distinciones. Escribi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</w:rPr>
        <w:t>adem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 unos 100 art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culos sobre salud 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</w:rPr>
        <w:t>blica, parasitolog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y anatom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a patol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</w:rPr>
        <w:t>gica.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  </w:t>
      </w:r>
      <w:r>
        <w:rPr>
          <w:rFonts w:ascii="Courier" w:cs="Courier" w:hAnsi="Courier" w:eastAsia="Courier"/>
          <w:color w:val="7e7e7e"/>
          <w:sz w:val="23"/>
          <w:szCs w:val="23"/>
          <w:rtl w:val="0"/>
        </w:rPr>
        <w:br w:type="textWrapping"/>
        <w:br w:type="textWrapping"/>
      </w: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La obra de Manuel Mart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nez B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ez se agrupa en torno a tres 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reas: parasitolog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a, salud 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blica y sociolog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>a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dica e historia de la medicina. Su aportaci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fue relevante porque adecu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la realidad de los pa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ses subdesarrollados los conceptos que sobre enfermedades tropicales surgieron en pa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ses ajenos a esa problem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</w:rPr>
        <w:t>tica.</w:t>
      </w:r>
      <w:r>
        <w:rPr>
          <w:rFonts w:hAnsi="Times New Roman" w:hint="default"/>
          <w:color w:val="7e7e7e"/>
          <w:sz w:val="23"/>
          <w:szCs w:val="23"/>
          <w:rtl w:val="0"/>
        </w:rPr>
        <w:t> </w:t>
      </w:r>
      <w:r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