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center"/>
        <w:rPr>
          <w:b w:val="1"/>
          <w:bCs w:val="1"/>
          <w:sz w:val="24"/>
          <w:szCs w:val="24"/>
          <w:rtl w:val="0"/>
        </w:rPr>
      </w:pPr>
      <w:r>
        <w:rPr>
          <w:rFonts w:ascii="Helvetica"/>
          <w:b w:val="1"/>
          <w:bCs w:val="1"/>
          <w:sz w:val="24"/>
          <w:szCs w:val="24"/>
          <w:rtl w:val="0"/>
          <w:lang w:val="pt-PT"/>
        </w:rPr>
        <w:t>DONATO ALARC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Ó</w:t>
      </w:r>
      <w:r>
        <w:rPr>
          <w:rFonts w:ascii="Helvetica"/>
          <w:b w:val="1"/>
          <w:bCs w:val="1"/>
          <w:sz w:val="24"/>
          <w:szCs w:val="24"/>
          <w:rtl w:val="0"/>
        </w:rPr>
        <w:t>N</w:t>
      </w:r>
    </w:p>
    <w:p>
      <w:pPr>
        <w:pStyle w:val="Por omisión"/>
        <w:bidi w:val="0"/>
        <w:ind w:left="0" w:right="522" w:firstLine="0"/>
        <w:jc w:val="center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  <w:r>
        <w:rPr>
          <w:rFonts w:ascii="Times New Roman"/>
          <w:color w:val="7e7e7e"/>
          <w:sz w:val="23"/>
          <w:szCs w:val="23"/>
          <w:rtl w:val="0"/>
          <w:lang w:val="es-ES_tradnl"/>
        </w:rPr>
        <w:t>Fue jefe del Departamento de Inmunolog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a y Reumatolog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a del Instituto Nacional de Ciencias M</w:t>
      </w:r>
      <w:r>
        <w:rPr>
          <w:rFonts w:hAnsi="Times New Roman" w:hint="default"/>
          <w:color w:val="7e7e7e"/>
          <w:sz w:val="23"/>
          <w:szCs w:val="23"/>
          <w:rtl w:val="0"/>
        </w:rPr>
        <w:t>é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dicas y Nutrici</w:t>
      </w:r>
      <w:r>
        <w:rPr>
          <w:rFonts w:hAnsi="Times New Roman" w:hint="default"/>
          <w:color w:val="7e7e7e"/>
          <w:sz w:val="23"/>
          <w:szCs w:val="23"/>
          <w:rtl w:val="0"/>
        </w:rPr>
        <w:t>ó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n "Salvador Zubir</w:t>
      </w:r>
      <w:r>
        <w:rPr>
          <w:rFonts w:hAnsi="Times New Roman" w:hint="default"/>
          <w:color w:val="7e7e7e"/>
          <w:sz w:val="23"/>
          <w:szCs w:val="23"/>
          <w:rtl w:val="0"/>
        </w:rPr>
        <w:t>á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n" (1966-1992), y director general del Instituto (1992-2002); a partir de entonces volvi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ó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 xml:space="preserve">a su puesto de Investigador Titular "C".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Fue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 xml:space="preserve"> profesor visitante en distintas universidades de Estados Unidos de Norteam</w:t>
      </w:r>
      <w:r>
        <w:rPr>
          <w:rFonts w:hAnsi="Times New Roman" w:hint="default"/>
          <w:color w:val="7e7e7e"/>
          <w:sz w:val="23"/>
          <w:szCs w:val="23"/>
          <w:rtl w:val="0"/>
        </w:rPr>
        <w:t>é</w:t>
      </w:r>
      <w:r>
        <w:rPr>
          <w:rFonts w:ascii="Times New Roman"/>
          <w:color w:val="7e7e7e"/>
          <w:sz w:val="23"/>
          <w:szCs w:val="23"/>
          <w:rtl w:val="0"/>
        </w:rPr>
        <w:t>rica, Am</w:t>
      </w:r>
      <w:r>
        <w:rPr>
          <w:rFonts w:hAnsi="Times New Roman" w:hint="default"/>
          <w:color w:val="7e7e7e"/>
          <w:sz w:val="23"/>
          <w:szCs w:val="23"/>
          <w:rtl w:val="0"/>
        </w:rPr>
        <w:t>é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rica Latina, Europa y Asia.</w:t>
      </w:r>
      <w:r>
        <w:rPr>
          <w:rFonts w:hAnsi="Times New Roman" w:hint="default"/>
          <w:color w:val="7e7e7e"/>
          <w:sz w:val="23"/>
          <w:szCs w:val="23"/>
          <w:rtl w:val="0"/>
        </w:rPr>
        <w:t> </w:t>
      </w:r>
      <w:r>
        <w:rPr>
          <w:rFonts w:ascii="Times New Roman"/>
          <w:color w:val="7e7e7e"/>
          <w:sz w:val="23"/>
          <w:szCs w:val="23"/>
          <w:rtl w:val="0"/>
          <w:lang w:val="de-DE"/>
        </w:rPr>
        <w:t>Perteneci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ó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a cincuenta sociedades cient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ficas y fue miembro honorario de 21 de ellas. Fue secretario adjunto de la Academia Nacional de Medicina en 1973, secretario de la Sociedad Mexicana de Reumatolog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 xml:space="preserve">a entre 1974-1976, y presidente de la misma entre 1976-1978. </w:t>
      </w:r>
      <w:r>
        <w:rPr>
          <w:rFonts w:ascii="Times New Roman" w:cs="Times New Roman" w:hAnsi="Times New Roman" w:eastAsia="Times New Roman"/>
          <w:i w:val="1"/>
          <w:iCs w:val="1"/>
          <w:color w:val="7e7e7e"/>
          <w:sz w:val="23"/>
          <w:szCs w:val="23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