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F0" w:rsidRDefault="009650F0" w:rsidP="008A0FE9">
      <w:pPr>
        <w:pStyle w:val="Heading5"/>
      </w:pPr>
      <w:bookmarkStart w:id="0" w:name="_Toc365275026"/>
      <w:r>
        <w:t>Truy cập chức năng Gửi thêm tiền</w:t>
      </w:r>
      <w:r w:rsidR="008A0FE9">
        <w:t xml:space="preserve"> theo từng sổ</w:t>
      </w:r>
    </w:p>
    <w:p w:rsidR="008A0FE9" w:rsidRDefault="008A0FE9" w:rsidP="008A0FE9">
      <w:r>
        <w:t xml:space="preserve">Huy động vốn </w:t>
      </w:r>
      <w:r>
        <w:sym w:font="Wingdings" w:char="F0E0"/>
      </w:r>
      <w:r>
        <w:t xml:space="preserve"> Giao dịch gốc </w:t>
      </w:r>
      <w:r>
        <w:sym w:font="Wingdings" w:char="F0E0"/>
      </w:r>
      <w:r>
        <w:t xml:space="preserve"> Gửi thêm tiền </w:t>
      </w:r>
      <w:r>
        <w:sym w:font="Wingdings" w:char="F0E0"/>
      </w:r>
      <w:r>
        <w:t xml:space="preserve"> Gửi thêm tiền theo từng sổ</w:t>
      </w:r>
    </w:p>
    <w:p w:rsidR="008A0FE9" w:rsidRDefault="00822A32" w:rsidP="008A0FE9">
      <w:r>
        <w:rPr>
          <w:noProof/>
        </w:rPr>
        <w:drawing>
          <wp:inline distT="0" distB="0" distL="0" distR="0" wp14:anchorId="0687B68D" wp14:editId="1F73062F">
            <wp:extent cx="5943600" cy="1082675"/>
            <wp:effectExtent l="0" t="0" r="0" b="317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E9" w:rsidRPr="00D3533C" w:rsidRDefault="008A0FE9" w:rsidP="00AF7FF0">
      <w:pPr>
        <w:pStyle w:val="NumberTable"/>
      </w:pPr>
      <w:bookmarkStart w:id="1" w:name="_Toc345331691"/>
      <w:bookmarkStart w:id="2" w:name="_Toc356170949"/>
      <w:r>
        <w:t>Cây thực đơn truy cập chức năng gửi thêm tiền theo từng sổ</w:t>
      </w:r>
      <w:bookmarkEnd w:id="1"/>
      <w:bookmarkEnd w:id="2"/>
    </w:p>
    <w:p w:rsidR="009650F0" w:rsidRDefault="009650F0" w:rsidP="008A0FE9">
      <w:pPr>
        <w:pStyle w:val="Heading5"/>
      </w:pPr>
      <w:r>
        <w:t xml:space="preserve">Khai báo thông tin </w:t>
      </w:r>
      <w:r w:rsidR="008A0FE9">
        <w:t>gửi thêm tiền theo từng sổ</w:t>
      </w:r>
    </w:p>
    <w:p w:rsidR="009650F0" w:rsidRDefault="009650F0" w:rsidP="008A0FE9">
      <w:pPr>
        <w:pStyle w:val="Bulletlevel1"/>
      </w:pPr>
      <w:r>
        <w:t>Giao diện</w:t>
      </w:r>
    </w:p>
    <w:p w:rsidR="009650F0" w:rsidRDefault="008A0FE9" w:rsidP="008A0FE9">
      <w:r>
        <w:rPr>
          <w:noProof/>
        </w:rPr>
        <w:drawing>
          <wp:inline distT="0" distB="0" distL="0" distR="0" wp14:anchorId="1AC0ED14" wp14:editId="7653CDFC">
            <wp:extent cx="6364605" cy="4351163"/>
            <wp:effectExtent l="0" t="0" r="0" b="0"/>
            <wp:docPr id="717" name="Picture 717" descr="C:\Users\ngocdtm\AppData\Local\Temp\SNAGHTML196c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gocdtm\AppData\Local\Temp\SNAGHTML196c5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E9" w:rsidRDefault="008A0FE9" w:rsidP="00AF7FF0">
      <w:pPr>
        <w:pStyle w:val="NumberTable"/>
      </w:pPr>
      <w:bookmarkStart w:id="3" w:name="_Toc345331692"/>
      <w:bookmarkStart w:id="4" w:name="_Toc356170950"/>
      <w:r>
        <w:t>Gửi thêm tiền theo từng sổ</w:t>
      </w:r>
      <w:bookmarkEnd w:id="3"/>
      <w:bookmarkEnd w:id="4"/>
    </w:p>
    <w:p w:rsidR="009650F0" w:rsidRDefault="009650F0" w:rsidP="008A0F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8A0FE9" w:rsidTr="00680F62">
        <w:tc>
          <w:tcPr>
            <w:tcW w:w="632" w:type="dxa"/>
            <w:hideMark/>
          </w:tcPr>
          <w:p w:rsidR="008A0FE9" w:rsidRDefault="008A0FE9" w:rsidP="00680F6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8A0FE9" w:rsidRDefault="008A0FE9" w:rsidP="00680F6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8A0FE9" w:rsidRDefault="008A0FE9" w:rsidP="00680F6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8A0FE9" w:rsidTr="00680F62">
        <w:tc>
          <w:tcPr>
            <w:tcW w:w="10080" w:type="dxa"/>
            <w:gridSpan w:val="3"/>
          </w:tcPr>
          <w:p w:rsidR="008A0FE9" w:rsidRPr="000B530A" w:rsidRDefault="008A0FE9" w:rsidP="00680F62">
            <w:pPr>
              <w:rPr>
                <w:b/>
                <w:i/>
              </w:rPr>
            </w:pPr>
            <w:r w:rsidRPr="000B530A">
              <w:rPr>
                <w:b/>
                <w:i/>
              </w:rPr>
              <w:t>Thông tin sổ tiền gửi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  <w:bookmarkStart w:id="5" w:name="_Hlk344626591"/>
          </w:p>
        </w:tc>
        <w:tc>
          <w:tcPr>
            <w:tcW w:w="2520" w:type="dxa"/>
          </w:tcPr>
          <w:p w:rsidR="008A0FE9" w:rsidRDefault="008A0FE9" w:rsidP="00680F62">
            <w:r>
              <w:t>Số GD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Số giao dịch là duy nhất và mặc định là không được sửa.</w:t>
            </w:r>
          </w:p>
          <w:p w:rsidR="008A0FE9" w:rsidRDefault="008A0FE9" w:rsidP="008A0FE9">
            <w:pPr>
              <w:pStyle w:val="Bulletlevel1"/>
            </w:pPr>
            <w:r>
              <w:t>Số giao dịch sẽ sự sinh theo quy tắc sinh mã đã được định nghĩa sau khi lưu giao dịch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Số sổ tiền gửi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bookmarkStart w:id="6" w:name="OLE_LINK81"/>
            <w:bookmarkStart w:id="7" w:name="OLE_LINK82"/>
            <w:r>
              <w:t>Tự nhập hoặc chọn trong Thông tin tìm kiếm sổ tiền gửi bằng cách nhấn F3</w:t>
            </w:r>
            <w:r w:rsidRPr="00043CFD">
              <w:t xml:space="preserve"> hoặc </w:t>
            </w:r>
            <w:r>
              <w:t>bấm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1245D2" wp14:editId="400D33C6">
                  <wp:extent cx="314325" cy="228600"/>
                  <wp:effectExtent l="19050" t="0" r="9525" b="0"/>
                  <wp:docPr id="132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t>bên cạnh → chọn sổ trong</w:t>
            </w:r>
            <w:r w:rsidRPr="00043CFD">
              <w:t xml:space="preserve"> danh sách tìm kiếm.</w:t>
            </w:r>
          </w:p>
          <w:bookmarkEnd w:id="6"/>
          <w:bookmarkEnd w:id="7"/>
          <w:p w:rsidR="008A0FE9" w:rsidRDefault="008A0FE9" w:rsidP="008A0FE9">
            <w:pPr>
              <w:pStyle w:val="Bulletlevel1"/>
            </w:pPr>
            <w:r>
              <w:t>Chỉ có những sổ tiền gửi áp dụng sản thuộc các nhóm sản phẩm sau mới được gửi thêm tiền:</w:t>
            </w:r>
          </w:p>
          <w:p w:rsidR="008A0FE9" w:rsidRDefault="008A0FE9" w:rsidP="008A0FE9">
            <w:pPr>
              <w:pStyle w:val="Bulletlevel2"/>
            </w:pPr>
            <w:r>
              <w:t>Tiết kiệm quy định</w:t>
            </w:r>
          </w:p>
          <w:p w:rsidR="008A0FE9" w:rsidRDefault="008A0FE9" w:rsidP="008A0FE9">
            <w:pPr>
              <w:pStyle w:val="Bulletlevel2"/>
            </w:pPr>
            <w:r>
              <w:t>Tiết kiệm không kỳ hạn</w:t>
            </w:r>
          </w:p>
          <w:p w:rsidR="008A0FE9" w:rsidRDefault="008A0FE9" w:rsidP="008A0FE9">
            <w:pPr>
              <w:pStyle w:val="Bulletlevel2"/>
            </w:pPr>
            <w:r>
              <w:t>Tiết kiệm có kỳ hạn trả lãi sau</w:t>
            </w:r>
          </w:p>
          <w:p w:rsidR="008A0FE9" w:rsidRDefault="008A0FE9" w:rsidP="008A0FE9">
            <w:pPr>
              <w:pStyle w:val="Bulletlevel2"/>
            </w:pPr>
            <w:r>
              <w:t>Tiết kiệm có kỳ hạn gửi góp</w:t>
            </w:r>
          </w:p>
          <w:p w:rsidR="008A0FE9" w:rsidRDefault="008A0FE9" w:rsidP="008A0FE9">
            <w:pPr>
              <w:pStyle w:val="Bulletlevel2"/>
            </w:pPr>
            <w:r>
              <w:t>Tiền gửi không kỳ hạn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Số dư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“Số dư” tương ứng với “Số sổ tiền gửi” được chọn tại thời điểm hiện tại và không cho phép sửa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Loại tiền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“Loại tiền” tương ứng với “Số sổ tiền gửi” được chọn tại thời điểm hiện tại và không cho phép sửa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Lãi suất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“Lãi suất” tương ứng với “Số sổ tiền gửi” được chọn tại thời điểm hiện tại và không cho phép sửa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Ngày mở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“Ngày mở” tương ứng với “Số sổ tiền gửi” được chọn tại thời điểm hiện tại và không cho phép sửa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Ngày ĐH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“Ngày ĐH” tương ứng với “Số sổ tiền gửi” được chọn tại thời điểm hiện tại và không cho phép sửa</w:t>
            </w:r>
          </w:p>
        </w:tc>
      </w:tr>
      <w:bookmarkEnd w:id="5"/>
      <w:tr w:rsidR="008A0FE9" w:rsidTr="00680F62">
        <w:tc>
          <w:tcPr>
            <w:tcW w:w="10080" w:type="dxa"/>
            <w:gridSpan w:val="3"/>
          </w:tcPr>
          <w:p w:rsidR="008A0FE9" w:rsidRPr="000B530A" w:rsidRDefault="008A0FE9" w:rsidP="00680F62">
            <w:pPr>
              <w:rPr>
                <w:b/>
                <w:i/>
              </w:rPr>
            </w:pPr>
            <w:r w:rsidRPr="000B530A">
              <w:rPr>
                <w:b/>
                <w:i/>
              </w:rPr>
              <w:t>Thông tin khách hàng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  <w:bookmarkStart w:id="8" w:name="_Hlk344626658"/>
          </w:p>
        </w:tc>
        <w:tc>
          <w:tcPr>
            <w:tcW w:w="2520" w:type="dxa"/>
          </w:tcPr>
          <w:p w:rsidR="008A0FE9" w:rsidRDefault="008A0FE9" w:rsidP="00680F62">
            <w:r>
              <w:t>Mã khách hàng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Mã khách hàng sở hữu sổ tiền gửi</w:t>
            </w:r>
          </w:p>
          <w:p w:rsidR="008A0FE9" w:rsidRDefault="008A0FE9" w:rsidP="008A0FE9">
            <w:pPr>
              <w:pStyle w:val="Bulletlevel1"/>
            </w:pPr>
            <w:r>
              <w:t>Tự động hiển thị “Mã khách hàng” tương ứng với “Số sổ tiền gửi” được chọn.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Tên khách hàng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Tên khách hàng sở hữu sổ tiền.</w:t>
            </w:r>
          </w:p>
          <w:p w:rsidR="008A0FE9" w:rsidRDefault="008A0FE9" w:rsidP="008A0FE9">
            <w:pPr>
              <w:pStyle w:val="Bulletlevel1"/>
            </w:pPr>
            <w:r>
              <w:t>Tự động hiển thị “Tên khách hàng” tương ứng với “Số sổ tiền gửi” được chọn.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Địa chỉ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“Địa chỉ” tương ứng với “Số sổ tiền gửi” được chọn tại thời điểm hiện tại và không cho phép sửa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Số CMND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“Số CMND” tương ứng với “Số sổ tiền gửi” được chọn.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Ngày cấp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“Ngày cấp” CMND tương ứng với “Số sổ tiền gửi” được chọn.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Nơi cấp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“Nơi cấp” CMND tương ứng với “Số sổ tiền gửi” được chọn.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 xml:space="preserve"> SĐT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số điện thoại khách hàng tương ứng với “Số sổ tiền gửi” được chọn.</w:t>
            </w:r>
          </w:p>
        </w:tc>
      </w:tr>
      <w:bookmarkEnd w:id="8"/>
      <w:tr w:rsidR="008A0FE9" w:rsidTr="00680F62">
        <w:tc>
          <w:tcPr>
            <w:tcW w:w="10080" w:type="dxa"/>
            <w:gridSpan w:val="3"/>
          </w:tcPr>
          <w:p w:rsidR="008A0FE9" w:rsidRPr="00FD284B" w:rsidRDefault="008A0FE9" w:rsidP="00680F62">
            <w:pPr>
              <w:rPr>
                <w:b/>
                <w:i/>
              </w:rPr>
            </w:pPr>
            <w:r w:rsidRPr="00FD284B">
              <w:rPr>
                <w:b/>
                <w:i/>
              </w:rPr>
              <w:t>Thông tin giao dịch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  <w:bookmarkStart w:id="9" w:name="_Hlk344626801"/>
          </w:p>
        </w:tc>
        <w:tc>
          <w:tcPr>
            <w:tcW w:w="2520" w:type="dxa"/>
          </w:tcPr>
          <w:p w:rsidR="008A0FE9" w:rsidRDefault="008A0FE9" w:rsidP="00680F62">
            <w:r>
              <w:t>Hình thức GD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Có 3 hình thức giao dịch sau:</w:t>
            </w:r>
          </w:p>
          <w:p w:rsidR="008A0FE9" w:rsidRDefault="008A0FE9" w:rsidP="008A0FE9">
            <w:pPr>
              <w:pStyle w:val="Bulletlevel2"/>
            </w:pPr>
            <w:r>
              <w:t>Tiền mặt: Khách hàng nộp tiền mặt để gửi thêm tiền vào sổ tiền gửi.</w:t>
            </w:r>
          </w:p>
          <w:p w:rsidR="008A0FE9" w:rsidRDefault="008A0FE9" w:rsidP="008A0FE9">
            <w:pPr>
              <w:pStyle w:val="Bulletlevel2"/>
            </w:pPr>
            <w:r>
              <w:t>Chuyển khoản: Khách hàng chuyển tiền từ một tài khoản khác sang.</w:t>
            </w:r>
          </w:p>
          <w:p w:rsidR="008A0FE9" w:rsidRDefault="008A0FE9" w:rsidP="008A0FE9">
            <w:pPr>
              <w:pStyle w:val="Bulletlevel2"/>
            </w:pPr>
            <w:r>
              <w:t>Chuyển khoản và tiền mặt: Khách hàng vừa nộp tiền mặt vừa chuyển tiền từ một tài khoản khác sang.</w:t>
            </w:r>
          </w:p>
          <w:p w:rsidR="008A0FE9" w:rsidRDefault="008A0FE9" w:rsidP="008A0FE9">
            <w:pPr>
              <w:pStyle w:val="Bulletlevel1"/>
            </w:pPr>
            <w:r>
              <w:t>Giá trị mặc định là ‘Tiền Mặt’</w:t>
            </w:r>
          </w:p>
          <w:p w:rsidR="008A0FE9" w:rsidRDefault="008A0FE9" w:rsidP="008A0FE9">
            <w:pPr>
              <w:pStyle w:val="Bulletlevel1"/>
            </w:pPr>
            <w:bookmarkStart w:id="10" w:name="OLE_LINK73"/>
            <w:bookmarkStart w:id="11" w:name="OLE_LINK74"/>
            <w:r>
              <w:t>Chọn hình thức giao dịch trong hộp chọn sau:</w:t>
            </w:r>
          </w:p>
          <w:p w:rsidR="008A0FE9" w:rsidRDefault="008A0FE9" w:rsidP="00680F62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5880C65" wp14:editId="5F5053E2">
                  <wp:extent cx="2562225" cy="838200"/>
                  <wp:effectExtent l="19050" t="0" r="9525" b="0"/>
                  <wp:docPr id="18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bookmarkEnd w:id="11"/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Tổng tiền GD</w:t>
            </w:r>
          </w:p>
        </w:tc>
        <w:tc>
          <w:tcPr>
            <w:tcW w:w="6928" w:type="dxa"/>
          </w:tcPr>
          <w:p w:rsidR="008A0FE9" w:rsidRDefault="008A0FE9" w:rsidP="00AF7FF0">
            <w:pPr>
              <w:pStyle w:val="ListParagraph"/>
              <w:numPr>
                <w:ilvl w:val="0"/>
                <w:numId w:val="56"/>
              </w:numPr>
            </w:pPr>
            <w:r>
              <w:t>Người dùng tự nhập tổng số tiền giao dịch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Số tiền bằng TM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bookmarkStart w:id="12" w:name="OLE_LINK260"/>
            <w:bookmarkStart w:id="13" w:name="OLE_LINK261"/>
            <w:r>
              <w:t>Số tiền bằng tiền mặt</w:t>
            </w:r>
          </w:p>
          <w:p w:rsidR="008A0FE9" w:rsidRDefault="008A0FE9" w:rsidP="008A0FE9">
            <w:pPr>
              <w:pStyle w:val="Bulletlevel1"/>
            </w:pPr>
            <w:r>
              <w:t>Nếu hình thức giao dịch là tiền mặt thì trường thông tin này sẽ hiển thị mặc định bằng tổng tiền giao dịch.</w:t>
            </w:r>
          </w:p>
          <w:p w:rsidR="008A0FE9" w:rsidRDefault="008A0FE9" w:rsidP="008A0FE9">
            <w:pPr>
              <w:pStyle w:val="Bulletlevel1"/>
            </w:pPr>
            <w:r>
              <w:t>Nếu hình thức giao dịch là chuyển khoản thì số tiền bằng tiền mặt =  0</w:t>
            </w:r>
          </w:p>
          <w:p w:rsidR="008A0FE9" w:rsidRDefault="008A0FE9" w:rsidP="008A0FE9">
            <w:pPr>
              <w:pStyle w:val="Bulletlevel1"/>
            </w:pPr>
            <w:r>
              <w:t>Nếu hình thức giao  dịch là tiền mặt và chuyển khoản thì số tiền bằng tiền mặt = tổng tiền giao dịch – số tiền chuyển khoản.</w:t>
            </w:r>
            <w:bookmarkEnd w:id="12"/>
            <w:bookmarkEnd w:id="13"/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Số tiền CK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Số tiền bằng chuyển khoản</w:t>
            </w:r>
          </w:p>
          <w:p w:rsidR="008A0FE9" w:rsidRDefault="008A0FE9" w:rsidP="008A0FE9">
            <w:pPr>
              <w:pStyle w:val="Bulletlevel1"/>
            </w:pPr>
            <w:r>
              <w:t>Nếu hình thức giao dịch là tiền mặt thì số tiền bằng chuyển khoản = 0.</w:t>
            </w:r>
          </w:p>
          <w:p w:rsidR="008A0FE9" w:rsidRDefault="008A0FE9" w:rsidP="008A0FE9">
            <w:pPr>
              <w:pStyle w:val="Bulletlevel1"/>
            </w:pPr>
            <w:r>
              <w:t>Nếu hình thức giao dịch là chuyển khoản thì số tiền bằng chuyển khoản mặc định bằng số tiền giao dịch.</w:t>
            </w:r>
          </w:p>
          <w:p w:rsidR="008A0FE9" w:rsidRDefault="008A0FE9" w:rsidP="008A0FE9">
            <w:pPr>
              <w:pStyle w:val="Bulletlevel1"/>
            </w:pPr>
            <w:r>
              <w:t>Nếu hình thức giao  dịch là tiền mặt và chuyển khoản thì số tiền bằng chuyển khoản = tổng tiền giao dịch – số tiền bằng tiền mặt.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Tài khoản KH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Tài khoản khách hàng.</w:t>
            </w:r>
          </w:p>
          <w:p w:rsidR="008A0FE9" w:rsidRDefault="008A0FE9" w:rsidP="008A0FE9">
            <w:pPr>
              <w:pStyle w:val="Bulletlevel1"/>
            </w:pPr>
            <w:r>
              <w:t>Chọn tài khoản khách hàng khi hình thức giao dịch là chuyển khoản hoặc tiền mặt và chuyển khoản.</w:t>
            </w:r>
          </w:p>
          <w:p w:rsidR="008A0FE9" w:rsidRDefault="008A0FE9" w:rsidP="008A0FE9">
            <w:pPr>
              <w:pStyle w:val="Bulletlevel1"/>
            </w:pPr>
            <w:r>
              <w:t xml:space="preserve">Tự nhập số tài khoản khách hàng hoặc chọn trong Thông tin tài khoản bằng cách nhấn F3 hoặc bấm </w:t>
            </w:r>
            <w:r w:rsidRPr="00F26A1C">
              <w:rPr>
                <w:noProof/>
              </w:rPr>
              <w:drawing>
                <wp:inline distT="0" distB="0" distL="0" distR="0" wp14:anchorId="27AEF319" wp14:editId="7DB0D26E">
                  <wp:extent cx="314325" cy="228600"/>
                  <wp:effectExtent l="19050" t="0" r="9525" b="0"/>
                  <wp:docPr id="13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rồi chọn tài khoản trong Thông tin tìm kiếm tài khoản khách hàng</w:t>
            </w:r>
          </w:p>
          <w:p w:rsidR="008A0FE9" w:rsidRDefault="008A0FE9" w:rsidP="008A0FE9">
            <w:pPr>
              <w:pStyle w:val="Bulletlevel1"/>
            </w:pPr>
            <w:r>
              <w:t>Tên tài khoản khách hàng sẽ tự động hiển thị theo số tài khoản được chọn.</w:t>
            </w:r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Tài khoản nội bộ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bookmarkStart w:id="14" w:name="OLE_LINK77"/>
            <w:bookmarkStart w:id="15" w:name="OLE_LINK78"/>
            <w:r>
              <w:t>Tài khoản nội bộ.</w:t>
            </w:r>
          </w:p>
          <w:p w:rsidR="008A0FE9" w:rsidRDefault="008A0FE9" w:rsidP="008A0FE9">
            <w:pPr>
              <w:pStyle w:val="Bulletlevel1"/>
            </w:pPr>
            <w:r>
              <w:t>Chọn tài khoản nội bộ khi hình thức giao dịch là chuyển khoản hoặc tiền mặt và chuyển khoản.</w:t>
            </w:r>
          </w:p>
          <w:p w:rsidR="008A0FE9" w:rsidRDefault="008A0FE9" w:rsidP="008A0FE9">
            <w:pPr>
              <w:pStyle w:val="Bulletlevel1"/>
            </w:pPr>
            <w:r>
              <w:t xml:space="preserve">Tự nhập số tài khoản nội bộ hoặc chọn trong Thông tin tài khoản bằng cách nhấn F3 hoặc bấm </w:t>
            </w:r>
            <w:r w:rsidRPr="00F26A1C">
              <w:rPr>
                <w:noProof/>
              </w:rPr>
              <w:drawing>
                <wp:inline distT="0" distB="0" distL="0" distR="0" wp14:anchorId="0385C9B0" wp14:editId="3E9724DA">
                  <wp:extent cx="314325" cy="228600"/>
                  <wp:effectExtent l="19050" t="0" r="9525" b="0"/>
                  <wp:docPr id="135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rồi chọn tài khoản trong Thông tin tìm kiếm tài khoản nội bộ.</w:t>
            </w:r>
          </w:p>
          <w:p w:rsidR="008A0FE9" w:rsidRDefault="008A0FE9" w:rsidP="008A0FE9">
            <w:pPr>
              <w:pStyle w:val="Bulletlevel1"/>
            </w:pPr>
            <w:r>
              <w:t>Tên tài khoản sẽ tự động hiển thị theo số tài khoản được chọn.</w:t>
            </w:r>
            <w:bookmarkEnd w:id="14"/>
            <w:bookmarkEnd w:id="15"/>
          </w:p>
        </w:tc>
      </w:tr>
      <w:tr w:rsidR="008A0FE9" w:rsidTr="00680F62">
        <w:tc>
          <w:tcPr>
            <w:tcW w:w="632" w:type="dxa"/>
          </w:tcPr>
          <w:p w:rsidR="008A0FE9" w:rsidRDefault="008A0FE9" w:rsidP="00AF7FF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8A0FE9" w:rsidRDefault="008A0FE9" w:rsidP="00680F62">
            <w:r>
              <w:t>Diễn giải</w:t>
            </w:r>
          </w:p>
        </w:tc>
        <w:tc>
          <w:tcPr>
            <w:tcW w:w="6928" w:type="dxa"/>
          </w:tcPr>
          <w:p w:rsidR="008A0FE9" w:rsidRDefault="008A0FE9" w:rsidP="008A0FE9">
            <w:pPr>
              <w:pStyle w:val="Bulletlevel1"/>
            </w:pPr>
            <w:r>
              <w:t>Tự động hiển thị theo quy tắc sinh diễn giải đã được định nghĩa.</w:t>
            </w:r>
          </w:p>
          <w:p w:rsidR="008A0FE9" w:rsidRDefault="008A0FE9" w:rsidP="008A0FE9">
            <w:pPr>
              <w:pStyle w:val="Bulletlevel1"/>
            </w:pPr>
            <w:r>
              <w:t>Người dùng có thể sửa được</w:t>
            </w:r>
          </w:p>
        </w:tc>
      </w:tr>
    </w:tbl>
    <w:bookmarkEnd w:id="9"/>
    <w:p w:rsidR="009650F0" w:rsidRDefault="009650F0" w:rsidP="008A0FE9">
      <w:pPr>
        <w:pStyle w:val="Heading5"/>
      </w:pPr>
      <w:r>
        <w:t>Lưu giao dịch và in chứng từ</w:t>
      </w:r>
    </w:p>
    <w:p w:rsidR="008A0FE9" w:rsidRDefault="008A0FE9" w:rsidP="008A0FE9">
      <w:pPr>
        <w:pStyle w:val="Bulletlevel1"/>
      </w:pPr>
      <w:bookmarkStart w:id="16" w:name="OLE_LINK17"/>
      <w:bookmarkStart w:id="17" w:name="OLE_LINK18"/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476D96B6" wp14:editId="523BA3F3">
            <wp:extent cx="904875" cy="257175"/>
            <wp:effectExtent l="19050" t="0" r="952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8A0FE9" w:rsidRDefault="008A0FE9" w:rsidP="008A0FE9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550D8754" wp14:editId="030D8A7F">
            <wp:extent cx="1038225" cy="266700"/>
            <wp:effectExtent l="19050" t="0" r="9525" b="0"/>
            <wp:docPr id="15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các chứng từ hạch toán: Phiếu thu nếu hình thức giao dịch là tiền mặt; phiếu kế toán nếu hình thức dịch là chuyển khoản.</w:t>
      </w:r>
    </w:p>
    <w:p w:rsidR="008A0FE9" w:rsidRDefault="008A0FE9" w:rsidP="008A0FE9">
      <w:pPr>
        <w:pStyle w:val="Bulletlevel1"/>
      </w:pPr>
      <w:r>
        <w:rPr>
          <w:noProof/>
        </w:rPr>
        <w:drawing>
          <wp:inline distT="0" distB="0" distL="0" distR="0" wp14:anchorId="3986C99B" wp14:editId="02F1243E">
            <wp:extent cx="1181100" cy="247650"/>
            <wp:effectExtent l="19050" t="0" r="0" b="0"/>
            <wp:docPr id="15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bookmarkEnd w:id="16"/>
    <w:bookmarkEnd w:id="17"/>
    <w:p w:rsidR="009650F0" w:rsidRDefault="009650F0" w:rsidP="00E8112E">
      <w:pPr>
        <w:pStyle w:val="Heading5"/>
      </w:pPr>
      <w:r>
        <w:t>Điều kiện ràng buộc</w:t>
      </w:r>
    </w:p>
    <w:p w:rsidR="00A00AE5" w:rsidRDefault="00A00AE5" w:rsidP="00A00AE5">
      <w:pPr>
        <w:pStyle w:val="Bulletlevel1"/>
      </w:pPr>
      <w:r>
        <w:t>Sổ tiền gửi đã tồn tại</w:t>
      </w:r>
    </w:p>
    <w:p w:rsidR="00A00AE5" w:rsidRDefault="00A00AE5" w:rsidP="00A00AE5">
      <w:pPr>
        <w:pStyle w:val="Bulletlevel1"/>
      </w:pPr>
      <w:r>
        <w:t>Sổ tiền gửi áp dụng sản phẩm cho phép gửi thêm tiền</w:t>
      </w:r>
      <w:bookmarkStart w:id="18" w:name="_GoBack"/>
      <w:bookmarkEnd w:id="18"/>
    </w:p>
    <w:p w:rsidR="00A00AE5" w:rsidRPr="00522E88" w:rsidRDefault="00A00AE5" w:rsidP="00A00AE5">
      <w:pPr>
        <w:pStyle w:val="Bulletlevel1"/>
      </w:pPr>
      <w:r>
        <w:t>Nếu hình thức giao dịch là chuyển khoản thì số dư khả dụng của tài khoản chuyển khoản phải lớn hơn hoặc bằng số tiền gửi thêm vào sổ.</w:t>
      </w:r>
      <w:bookmarkEnd w:id="0"/>
    </w:p>
    <w:sectPr w:rsidR="00A00AE5" w:rsidRPr="00522E88" w:rsidSect="006D00FB">
      <w:headerReference w:type="default" r:id="rId15"/>
      <w:footerReference w:type="default" r:id="rId16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475" w:rsidRDefault="00095475" w:rsidP="00E57131">
      <w:r>
        <w:separator/>
      </w:r>
    </w:p>
    <w:p w:rsidR="00095475" w:rsidRDefault="00095475" w:rsidP="00E57131"/>
    <w:p w:rsidR="00095475" w:rsidRDefault="00095475" w:rsidP="00E57131"/>
    <w:p w:rsidR="00095475" w:rsidRDefault="00095475" w:rsidP="00E57131"/>
    <w:p w:rsidR="00095475" w:rsidRDefault="00095475"/>
  </w:endnote>
  <w:endnote w:type="continuationSeparator" w:id="0">
    <w:p w:rsidR="00095475" w:rsidRDefault="00095475" w:rsidP="00E57131">
      <w:r>
        <w:continuationSeparator/>
      </w:r>
    </w:p>
    <w:p w:rsidR="00095475" w:rsidRDefault="00095475" w:rsidP="00E57131"/>
    <w:p w:rsidR="00095475" w:rsidRDefault="00095475" w:rsidP="00E57131"/>
    <w:p w:rsidR="00095475" w:rsidRDefault="00095475" w:rsidP="00E57131"/>
    <w:p w:rsidR="00095475" w:rsidRDefault="00095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475" w:rsidRDefault="00095475" w:rsidP="00E57131">
      <w:r>
        <w:separator/>
      </w:r>
    </w:p>
    <w:p w:rsidR="00095475" w:rsidRDefault="00095475" w:rsidP="00E57131"/>
    <w:p w:rsidR="00095475" w:rsidRDefault="00095475" w:rsidP="00E57131"/>
    <w:p w:rsidR="00095475" w:rsidRDefault="00095475" w:rsidP="00E57131"/>
    <w:p w:rsidR="00095475" w:rsidRDefault="00095475"/>
  </w:footnote>
  <w:footnote w:type="continuationSeparator" w:id="0">
    <w:p w:rsidR="00095475" w:rsidRDefault="00095475" w:rsidP="00E57131">
      <w:r>
        <w:continuationSeparator/>
      </w:r>
    </w:p>
    <w:p w:rsidR="00095475" w:rsidRDefault="00095475" w:rsidP="00E57131"/>
    <w:p w:rsidR="00095475" w:rsidRDefault="00095475" w:rsidP="00E57131"/>
    <w:p w:rsidR="00095475" w:rsidRDefault="00095475" w:rsidP="00E57131"/>
    <w:p w:rsidR="00095475" w:rsidRDefault="000954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20952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06C64F34"/>
    <w:lvl w:ilvl="0" w:tplc="FD2C3900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630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475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25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2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63566C-7E25-49B8-B074-662C727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1EA2-4EB1-406E-A491-DF63EFF5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3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4663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2014-09-03T08:07:00Z</dcterms:created>
  <dcterms:modified xsi:type="dcterms:W3CDTF">2014-09-03T08:27:00Z</dcterms:modified>
</cp:coreProperties>
</file>