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7F" w:rsidRDefault="00A52D7F" w:rsidP="00A52D7F">
      <w:pPr>
        <w:pStyle w:val="Heading5"/>
      </w:pPr>
      <w:bookmarkStart w:id="0" w:name="_Toc365275026"/>
      <w:r>
        <w:t xml:space="preserve">Truy cập chức năng </w:t>
      </w:r>
      <w:r w:rsidR="001D5684">
        <w:t>Tất toán</w:t>
      </w:r>
      <w:r>
        <w:t xml:space="preserve"> theo từng sổ</w:t>
      </w:r>
    </w:p>
    <w:p w:rsidR="00A52D7F" w:rsidRDefault="001D5684" w:rsidP="00A52D7F">
      <w:r>
        <w:t xml:space="preserve">Huy động vốn </w:t>
      </w:r>
      <w:r>
        <w:sym w:font="Wingdings" w:char="F0E0"/>
      </w:r>
      <w:r>
        <w:t xml:space="preserve"> Giao dịch gốc </w:t>
      </w:r>
      <w:r>
        <w:sym w:font="Wingdings" w:char="F0E0"/>
      </w:r>
      <w:r>
        <w:t xml:space="preserve"> Tất toán</w:t>
      </w:r>
    </w:p>
    <w:p w:rsidR="00A52D7F" w:rsidRDefault="001D5684" w:rsidP="00A52D7F">
      <w:r>
        <w:rPr>
          <w:noProof/>
        </w:rPr>
        <w:drawing>
          <wp:inline distT="0" distB="0" distL="0" distR="0" wp14:anchorId="39B270EF" wp14:editId="0DA35CC4">
            <wp:extent cx="5943600" cy="919480"/>
            <wp:effectExtent l="0" t="0" r="0" b="0"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7F" w:rsidRPr="00D3533C" w:rsidRDefault="00A52D7F" w:rsidP="00DC51CE">
      <w:pPr>
        <w:pStyle w:val="NumberTable"/>
      </w:pPr>
      <w:r>
        <w:t xml:space="preserve">Cây thực đơn truy cập chức năng </w:t>
      </w:r>
      <w:r w:rsidR="001D5684">
        <w:t>Tất toán</w:t>
      </w:r>
      <w:r>
        <w:t xml:space="preserve"> theo từng sổ</w:t>
      </w:r>
    </w:p>
    <w:p w:rsidR="00A52D7F" w:rsidRDefault="00A52D7F" w:rsidP="00A52D7F">
      <w:pPr>
        <w:pStyle w:val="Heading5"/>
      </w:pPr>
      <w:r>
        <w:t xml:space="preserve">Khai báo thông tin </w:t>
      </w:r>
      <w:r w:rsidR="001D5684">
        <w:t>Tất toán</w:t>
      </w:r>
      <w:r>
        <w:t xml:space="preserve"> theo từng sổ</w:t>
      </w:r>
    </w:p>
    <w:p w:rsidR="00A52D7F" w:rsidRDefault="00A52D7F" w:rsidP="00A52D7F">
      <w:pPr>
        <w:pStyle w:val="Bulletlevel1"/>
      </w:pPr>
      <w:r>
        <w:t>Giao diện</w:t>
      </w:r>
    </w:p>
    <w:p w:rsidR="00A52D7F" w:rsidRDefault="001D5684" w:rsidP="00A52D7F">
      <w:r>
        <w:rPr>
          <w:noProof/>
        </w:rPr>
        <w:drawing>
          <wp:inline distT="0" distB="0" distL="0" distR="0" wp14:anchorId="4F2A79CF" wp14:editId="2B8FD34A">
            <wp:extent cx="6364605" cy="4350804"/>
            <wp:effectExtent l="0" t="0" r="0" b="0"/>
            <wp:docPr id="735" name="Picture 735" descr="C:\Users\MINH\AppData\Local\Temp\SNAGHTML500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INH\AppData\Local\Temp\SNAGHTML500c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7F" w:rsidRDefault="001D5684" w:rsidP="00DC51CE">
      <w:pPr>
        <w:pStyle w:val="NumberTable"/>
      </w:pPr>
      <w:r>
        <w:t>Tất toán</w:t>
      </w:r>
      <w:r w:rsidR="00A52D7F">
        <w:t xml:space="preserve"> theo từng sổ</w:t>
      </w:r>
    </w:p>
    <w:p w:rsidR="00A52D7F" w:rsidRDefault="00A52D7F" w:rsidP="00A52D7F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260" w:type="dxa"/>
        <w:tblInd w:w="108" w:type="dxa"/>
        <w:tblLook w:val="04A0" w:firstRow="1" w:lastRow="0" w:firstColumn="1" w:lastColumn="0" w:noHBand="0" w:noVBand="1"/>
      </w:tblPr>
      <w:tblGrid>
        <w:gridCol w:w="632"/>
        <w:gridCol w:w="2248"/>
        <w:gridCol w:w="7380"/>
      </w:tblGrid>
      <w:tr w:rsidR="001D5684" w:rsidTr="001D5684">
        <w:tc>
          <w:tcPr>
            <w:tcW w:w="632" w:type="dxa"/>
            <w:hideMark/>
          </w:tcPr>
          <w:p w:rsidR="001D5684" w:rsidRDefault="001D5684" w:rsidP="001D5684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248" w:type="dxa"/>
            <w:hideMark/>
          </w:tcPr>
          <w:p w:rsidR="001D5684" w:rsidRDefault="001D5684" w:rsidP="001D5684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380" w:type="dxa"/>
            <w:hideMark/>
          </w:tcPr>
          <w:p w:rsidR="001D5684" w:rsidRDefault="001D5684" w:rsidP="001D5684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1D5684" w:rsidTr="001D5684">
        <w:tc>
          <w:tcPr>
            <w:tcW w:w="10260" w:type="dxa"/>
            <w:gridSpan w:val="3"/>
          </w:tcPr>
          <w:p w:rsidR="001D5684" w:rsidRPr="0001418A" w:rsidRDefault="001D5684" w:rsidP="001D5684">
            <w:pPr>
              <w:rPr>
                <w:b/>
                <w:i/>
              </w:rPr>
            </w:pPr>
            <w:r w:rsidRPr="0001418A">
              <w:rPr>
                <w:b/>
                <w:i/>
              </w:rPr>
              <w:t>Thông tin sổ tiền gửi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Số GD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Số giao dịch là duy nhất và mặc định là không được sửa.</w:t>
            </w:r>
          </w:p>
          <w:p w:rsidR="001D5684" w:rsidRDefault="001D5684" w:rsidP="001D5684">
            <w:pPr>
              <w:pStyle w:val="Bulletlevel1"/>
            </w:pPr>
            <w:r>
              <w:t>Số giao dịch sẽ sự sinh theo quy tắc sinh mã đã được định nghĩa sau khi lưu giao dịch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Số sổ tiền gửi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nhập hoặc chọn trong Thông tin tìm kiếm sổ tiền gửi bằng cách nhấn F3 hoặc bấm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A99699" wp14:editId="500347D1">
                  <wp:extent cx="314325" cy="228600"/>
                  <wp:effectExtent l="19050" t="0" r="9525" b="0"/>
                  <wp:docPr id="727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t>bên cạnh → chọn sổ trong danh sách tìm kiếm.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Số dư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“Số dư” tương ứng với “</w:t>
            </w:r>
            <w:r w:rsidR="00A416AD">
              <w:t>Số sổ tiền gửi</w:t>
            </w:r>
            <w:r>
              <w:t>” được chọn tại thời điểm hiện tại và không cho phép sửa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Loại tiền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“Loại tiền” tương ứng với “</w:t>
            </w:r>
            <w:r w:rsidR="00A416AD">
              <w:t>Số sổ tiền gửi</w:t>
            </w:r>
            <w:r>
              <w:t>” được chọn tại thời điểm hiện tại và không cho phép sửa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Lãi suất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“Lãi suất” tương ứng với “</w:t>
            </w:r>
            <w:r w:rsidR="00A416AD">
              <w:t>Số sổ tiền gửi</w:t>
            </w:r>
            <w:r>
              <w:t>” được chọn tại thời điểm hiện tại và không cho phép sửa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Ngày mở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“Ngày mở” tương ứng với “</w:t>
            </w:r>
            <w:r w:rsidR="00A416AD">
              <w:t>Số sổ tiền gửi</w:t>
            </w:r>
            <w:r>
              <w:t>” được chọn tại thời điểm hiện tại và không cho phép sửa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Ngày ĐH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“Ngày ĐH” tương ứng với “</w:t>
            </w:r>
            <w:r w:rsidR="00A416AD">
              <w:t>Số sổ tiền gửi</w:t>
            </w:r>
            <w:r>
              <w:t>” được chọn tại thời điểm hiện tại và không cho phép sửa</w:t>
            </w:r>
          </w:p>
        </w:tc>
      </w:tr>
      <w:tr w:rsidR="001D5684" w:rsidTr="001D5684">
        <w:tc>
          <w:tcPr>
            <w:tcW w:w="10260" w:type="dxa"/>
            <w:gridSpan w:val="3"/>
          </w:tcPr>
          <w:p w:rsidR="001D5684" w:rsidRPr="0001418A" w:rsidRDefault="001D5684" w:rsidP="001D5684">
            <w:pPr>
              <w:rPr>
                <w:b/>
                <w:i/>
              </w:rPr>
            </w:pPr>
            <w:r w:rsidRPr="0001418A">
              <w:rPr>
                <w:b/>
                <w:i/>
              </w:rPr>
              <w:t>Thông tin khách hàng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Mã khách hàng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Mã khách hàng sở hữu sổ tiền gửi</w:t>
            </w:r>
          </w:p>
          <w:p w:rsidR="001D5684" w:rsidRDefault="001D5684" w:rsidP="001D5684">
            <w:pPr>
              <w:pStyle w:val="Bulletlevel1"/>
            </w:pPr>
            <w:r>
              <w:t>Tự động hiển thị “Mã khách hàng” tương ứng với “</w:t>
            </w:r>
            <w:r w:rsidR="00A416AD">
              <w:t>Số sổ tiền gửi</w:t>
            </w:r>
            <w:r>
              <w:t>” được chọn.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Tên khách hàng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Tên khách hàng sở hữu sổ tiền.</w:t>
            </w:r>
          </w:p>
          <w:p w:rsidR="001D5684" w:rsidRDefault="001D5684" w:rsidP="001D5684">
            <w:pPr>
              <w:pStyle w:val="Bulletlevel1"/>
            </w:pPr>
            <w:r>
              <w:t>Tự động hiển thị “Tên khách hàng” tương ứng với “</w:t>
            </w:r>
            <w:r w:rsidR="00A416AD">
              <w:t>Số sổ tiền gửi</w:t>
            </w:r>
            <w:r>
              <w:t>” được chọn.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Địa chỉ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“Địa chỉ” tương ứng với “</w:t>
            </w:r>
            <w:r w:rsidR="00A416AD">
              <w:t>Số sổ tiền gửi</w:t>
            </w:r>
            <w:r>
              <w:t>” được chọn tại thời điểm hiện tại và không cho phép sửa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Số CMND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“Số CMND” tương ứng với “</w:t>
            </w:r>
            <w:r w:rsidR="00A416AD">
              <w:t>Số sổ tiền gửi</w:t>
            </w:r>
            <w:r>
              <w:t>” được chọn.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Ngày cấp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“Ngày cấp” CMND tương ứng với “</w:t>
            </w:r>
            <w:r w:rsidR="00A416AD">
              <w:t>Số sổ tiền gửi</w:t>
            </w:r>
            <w:r>
              <w:t>” được chọn.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Nơi cấp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“Nơi cấp” CMND tương ứng với “</w:t>
            </w:r>
            <w:r w:rsidR="00A416AD">
              <w:t>Số sổ tiền gửi</w:t>
            </w:r>
            <w:r>
              <w:t>” được chọn.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 xml:space="preserve"> SĐT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số điện thoại khách hàng tương ứng với “</w:t>
            </w:r>
            <w:r w:rsidR="00A416AD">
              <w:t>Số sổ tiền gửi</w:t>
            </w:r>
            <w:r>
              <w:t>” được chọn.</w:t>
            </w:r>
          </w:p>
        </w:tc>
      </w:tr>
      <w:tr w:rsidR="001D5684" w:rsidTr="001D5684">
        <w:tc>
          <w:tcPr>
            <w:tcW w:w="10260" w:type="dxa"/>
            <w:gridSpan w:val="3"/>
          </w:tcPr>
          <w:p w:rsidR="001D5684" w:rsidRPr="0001418A" w:rsidRDefault="001D5684" w:rsidP="001D5684">
            <w:pPr>
              <w:rPr>
                <w:b/>
                <w:i/>
              </w:rPr>
            </w:pPr>
            <w:r w:rsidRPr="0001418A">
              <w:rPr>
                <w:b/>
                <w:i/>
              </w:rPr>
              <w:t>Thông tin rút gốc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Số tiền rút gốc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Số tiền rút gốc</w:t>
            </w:r>
          </w:p>
          <w:p w:rsidR="001D5684" w:rsidRDefault="001D5684" w:rsidP="001D5684">
            <w:pPr>
              <w:pStyle w:val="Bulletlevel1"/>
            </w:pPr>
            <w:r>
              <w:t>Số tiền rút gốc bằng số dư của sổ tiền gửi</w:t>
            </w:r>
          </w:p>
          <w:p w:rsidR="001D5684" w:rsidRDefault="001D5684" w:rsidP="001D5684">
            <w:pPr>
              <w:pStyle w:val="Bulletlevel1"/>
            </w:pPr>
            <w:r>
              <w:t>Hệ thống tự động hiển thị khi chọn sổ tiền gửi.</w:t>
            </w:r>
          </w:p>
        </w:tc>
      </w:tr>
      <w:tr w:rsidR="001D5684" w:rsidTr="001D5684">
        <w:tc>
          <w:tcPr>
            <w:tcW w:w="10260" w:type="dxa"/>
            <w:gridSpan w:val="3"/>
          </w:tcPr>
          <w:p w:rsidR="001D5684" w:rsidRPr="0001418A" w:rsidRDefault="001D5684" w:rsidP="001D5684">
            <w:pPr>
              <w:rPr>
                <w:b/>
                <w:i/>
              </w:rPr>
            </w:pPr>
            <w:r w:rsidRPr="0001418A">
              <w:rPr>
                <w:b/>
                <w:i/>
              </w:rPr>
              <w:t>Thông tin rút lãi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Số tháng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Số tháng tính lãi</w:t>
            </w:r>
          </w:p>
          <w:p w:rsidR="001D5684" w:rsidRDefault="001D5684" w:rsidP="001D5684">
            <w:pPr>
              <w:pStyle w:val="Bulletlevel1"/>
            </w:pPr>
            <w:r>
              <w:t>Hệ thống tự động tính số tháng tròn tháng khi chọn sổ tiền gửi; có thể sửa lại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Lãi suất tròn tháng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Lãi suất tương ứng với số tháng tính lãi</w:t>
            </w:r>
          </w:p>
          <w:p w:rsidR="001D5684" w:rsidRDefault="001D5684" w:rsidP="001D5684">
            <w:pPr>
              <w:pStyle w:val="Bulletlevel1"/>
            </w:pPr>
            <w:r>
              <w:t>Hệ thống tự động hiển thị khi chọn sổ tiền gửi; có thể sửa lại.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Tiền lãi tròn tháng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tính lãi căn cứ vào số dư sổ tiền gửi, số tháng tính lãi, lãi suất tròn tháng và tự động hiển thị.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Số ngày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Số ngày lẻ tháng</w:t>
            </w:r>
          </w:p>
          <w:p w:rsidR="001D5684" w:rsidRDefault="001D5684" w:rsidP="001D5684">
            <w:pPr>
              <w:pStyle w:val="Bulletlevel1"/>
            </w:pPr>
            <w:r>
              <w:t>Hệ thống tự động tính số ngày lẻ tháng tháng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Lãi suất lẻ ngày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Lãi suất tương ứng với số ngày lẻ tháng</w:t>
            </w:r>
          </w:p>
          <w:p w:rsidR="001D5684" w:rsidRDefault="001D5684" w:rsidP="001D5684">
            <w:pPr>
              <w:pStyle w:val="Bulletlevel1"/>
            </w:pPr>
            <w:r>
              <w:t>Tự động hiển thị tương ứng với số sổ tiết kiệm và có thể sửa</w:t>
            </w:r>
          </w:p>
          <w:p w:rsidR="001D5684" w:rsidRDefault="001D5684" w:rsidP="001D5684">
            <w:pPr>
              <w:pStyle w:val="Bulletlevel1"/>
            </w:pPr>
            <w:r>
              <w:t>Lãi suất ngày lẻ tự động hiển thị theo mã lãi suất của sản phẩm tiền gửi không kỳ hạn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Tiền lãi lẻ ngày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tính lãi căn cứ vào số dư sổ tiền gửi, số ngày lẻ tháng, lãi suất lẻ ngày và tự động hiển thị.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Tổng tiền rút lãi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Hệ thống tự tính và hiển thị</w:t>
            </w:r>
          </w:p>
          <w:p w:rsidR="001D5684" w:rsidRDefault="001D5684" w:rsidP="001D5684">
            <w:pPr>
              <w:pStyle w:val="Bulletlevel1"/>
            </w:pPr>
            <w:r>
              <w:t>Tổng tiền rút lãi = Tiền lãi tròn tháng + Tiền lãi lẻ ngày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Lãi đã DC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Lãi đã dự chi là tổng số tiền lãi đã dự chi của sổ tiền gửi từ thời điểm mở sổ đến thời điểm rút gốc</w:t>
            </w:r>
          </w:p>
          <w:p w:rsidR="001D5684" w:rsidRDefault="001D5684" w:rsidP="001D5684">
            <w:pPr>
              <w:pStyle w:val="Bulletlevel1"/>
            </w:pPr>
            <w:r>
              <w:t>Hệ thống tự động hiển thị</w:t>
            </w:r>
          </w:p>
        </w:tc>
      </w:tr>
      <w:tr w:rsidR="001D5684" w:rsidTr="001D5684">
        <w:tc>
          <w:tcPr>
            <w:tcW w:w="10260" w:type="dxa"/>
            <w:gridSpan w:val="3"/>
          </w:tcPr>
          <w:p w:rsidR="001D5684" w:rsidRPr="0001418A" w:rsidRDefault="001D5684" w:rsidP="001D5684">
            <w:pPr>
              <w:rPr>
                <w:b/>
                <w:i/>
              </w:rPr>
            </w:pPr>
            <w:r w:rsidRPr="0001418A">
              <w:rPr>
                <w:b/>
                <w:i/>
              </w:rPr>
              <w:t>Thông tin giao dịch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Hình thức GD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Có 2 hình thức giao dịch sau:</w:t>
            </w:r>
          </w:p>
          <w:p w:rsidR="001D5684" w:rsidRDefault="001D5684" w:rsidP="001D5684">
            <w:pPr>
              <w:pStyle w:val="Bulletlevel2"/>
            </w:pPr>
            <w:r>
              <w:t>Tiền mặt: Khách hàng nộp tiền mặt để gửi thêm tiền vào sổ tiền gửi.</w:t>
            </w:r>
          </w:p>
          <w:p w:rsidR="001D5684" w:rsidRDefault="001D5684" w:rsidP="001D5684">
            <w:pPr>
              <w:pStyle w:val="Bulletlevel2"/>
            </w:pPr>
            <w:r>
              <w:t>Chuyển khoản: Khách hàng chuyển tiền từ một tài khoản khác sang.</w:t>
            </w:r>
          </w:p>
          <w:p w:rsidR="001D5684" w:rsidRDefault="001D5684" w:rsidP="001D5684">
            <w:pPr>
              <w:pStyle w:val="Bulletlevel1"/>
            </w:pPr>
            <w:r>
              <w:t>Giá trị mặc định là ‘Tiền Mặt’</w:t>
            </w:r>
          </w:p>
          <w:p w:rsidR="001D5684" w:rsidRDefault="001D5684" w:rsidP="001D5684">
            <w:pPr>
              <w:pStyle w:val="Bulletlevel1"/>
            </w:pPr>
            <w:r>
              <w:t>Chọn hình thức giao dịch trong hộp chọn sau:</w:t>
            </w:r>
          </w:p>
          <w:p w:rsidR="001D5684" w:rsidRDefault="001D5684" w:rsidP="001D5684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8E70DC5" wp14:editId="4308072C">
                  <wp:extent cx="2562225" cy="666750"/>
                  <wp:effectExtent l="19050" t="0" r="9525" b="0"/>
                  <wp:docPr id="191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Tổng tiền GD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Tổng tiền giao dịch = Số tiền rút gốc + tổng tiền rút lãi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Số tiền bằng TM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Số tiền bằng tiền mặt</w:t>
            </w:r>
          </w:p>
          <w:p w:rsidR="001D5684" w:rsidRDefault="001D5684" w:rsidP="001D5684">
            <w:pPr>
              <w:pStyle w:val="Bulletlevel1"/>
            </w:pPr>
            <w:r>
              <w:t>Nếu hình thức giao dịch là tiền mặt thì trường thông tin này sẽ hiển thị mặc định bằng tổng tiền giao dịch.</w:t>
            </w:r>
          </w:p>
          <w:p w:rsidR="001D5684" w:rsidRDefault="001D5684" w:rsidP="001D5684">
            <w:pPr>
              <w:pStyle w:val="Bulletlevel1"/>
            </w:pPr>
            <w:r>
              <w:t>Nếu hình thức giao dịch là chuyển khoản thì số tiền bằng tiền mặt bằng  0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Số tiền CK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Số tiền bằng chuyển khoản</w:t>
            </w:r>
          </w:p>
          <w:p w:rsidR="001D5684" w:rsidRDefault="001D5684" w:rsidP="001D5684">
            <w:pPr>
              <w:pStyle w:val="Bulletlevel1"/>
            </w:pPr>
            <w:r>
              <w:t>Nếu hình thức giao dịch là tiền mặt thì số tiền bằng chuyển khoản bằng 0.</w:t>
            </w:r>
          </w:p>
          <w:p w:rsidR="001D5684" w:rsidRDefault="001D5684" w:rsidP="001D5684">
            <w:pPr>
              <w:pStyle w:val="Bulletlevel1"/>
            </w:pPr>
            <w:r>
              <w:t>Nếu hình thức giao dịch là chuyển khoản thì số tiền bằng chuyển khoản mặc định bằng số tiền giao dịch.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TK khách hàng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Tài khoản khách hàng.</w:t>
            </w:r>
          </w:p>
          <w:p w:rsidR="001D5684" w:rsidRDefault="001D5684" w:rsidP="001D5684">
            <w:pPr>
              <w:pStyle w:val="Bulletlevel1"/>
            </w:pPr>
            <w:r>
              <w:t>Chọn tài khoản khách hàng khi hình thức giao dịch là chuyển khoản hoặc tiền mặt và chuyển khoản.</w:t>
            </w:r>
          </w:p>
          <w:p w:rsidR="001D5684" w:rsidRDefault="001D5684" w:rsidP="001D5684">
            <w:pPr>
              <w:pStyle w:val="Bulletlevel1"/>
            </w:pPr>
            <w:r>
              <w:t xml:space="preserve">Tự nhập số tài khoản khách hàng hoặc chọn trong Thông tin tài khoản bằng cách nhấn F3 hoặc bấm </w:t>
            </w:r>
            <w:r>
              <w:rPr>
                <w:noProof/>
              </w:rPr>
              <w:drawing>
                <wp:inline distT="0" distB="0" distL="0" distR="0" wp14:anchorId="2607FD33" wp14:editId="1B895BAE">
                  <wp:extent cx="314325" cy="228600"/>
                  <wp:effectExtent l="19050" t="0" r="9525" b="0"/>
                  <wp:docPr id="148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rồi chọn tài khoản trong Thông tin tìm kiếm tài khoản khách hàng</w:t>
            </w:r>
          </w:p>
          <w:p w:rsidR="001D5684" w:rsidRDefault="001D5684" w:rsidP="001D5684">
            <w:pPr>
              <w:pStyle w:val="Bulletlevel1"/>
            </w:pPr>
            <w:r>
              <w:t>Tên tài khoản khách hàng sẽ tự động hiển thị theo số tài khoản được chọn.</w:t>
            </w:r>
          </w:p>
        </w:tc>
      </w:tr>
      <w:tr w:rsidR="001D5684" w:rsidTr="001D5684">
        <w:tc>
          <w:tcPr>
            <w:tcW w:w="632" w:type="dxa"/>
          </w:tcPr>
          <w:p w:rsidR="001D5684" w:rsidRDefault="001D5684" w:rsidP="003C06F0">
            <w:pPr>
              <w:pStyle w:val="ListParagraph"/>
              <w:numPr>
                <w:ilvl w:val="0"/>
                <w:numId w:val="81"/>
              </w:numPr>
            </w:pPr>
          </w:p>
        </w:tc>
        <w:tc>
          <w:tcPr>
            <w:tcW w:w="2248" w:type="dxa"/>
          </w:tcPr>
          <w:p w:rsidR="001D5684" w:rsidRDefault="001D5684" w:rsidP="001D5684">
            <w:r>
              <w:t>Diễn giải</w:t>
            </w:r>
          </w:p>
        </w:tc>
        <w:tc>
          <w:tcPr>
            <w:tcW w:w="7380" w:type="dxa"/>
          </w:tcPr>
          <w:p w:rsidR="001D5684" w:rsidRDefault="001D5684" w:rsidP="001D5684">
            <w:pPr>
              <w:pStyle w:val="Bulletlevel1"/>
            </w:pPr>
            <w:r>
              <w:t>Tự động hiển thị theo cấu trúc diễn giải đã được định nghĩa.</w:t>
            </w:r>
          </w:p>
        </w:tc>
      </w:tr>
    </w:tbl>
    <w:p w:rsidR="00A52D7F" w:rsidRDefault="00A52D7F" w:rsidP="00A52D7F"/>
    <w:p w:rsidR="00A52D7F" w:rsidRDefault="00A52D7F" w:rsidP="00A52D7F">
      <w:pPr>
        <w:pStyle w:val="Heading5"/>
      </w:pPr>
      <w:r>
        <w:t>Lưu giao dịch và in chứng từ</w:t>
      </w:r>
    </w:p>
    <w:p w:rsidR="00A52D7F" w:rsidRDefault="00A52D7F" w:rsidP="00A52D7F">
      <w:pPr>
        <w:pStyle w:val="Bulletlevel1"/>
      </w:pPr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7F8EE6FE" wp14:editId="284094BD">
            <wp:extent cx="904875" cy="257175"/>
            <wp:effectExtent l="19050" t="0" r="952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giao dịch.</w:t>
      </w:r>
    </w:p>
    <w:p w:rsidR="00A52D7F" w:rsidRDefault="00A52D7F" w:rsidP="00A52D7F">
      <w:pPr>
        <w:pStyle w:val="Bulletlevel1"/>
      </w:pPr>
      <w:r>
        <w:t xml:space="preserve">Sau khi lưu thông tin giao dịch thành công nhấn </w:t>
      </w:r>
      <w:r>
        <w:rPr>
          <w:noProof/>
        </w:rPr>
        <w:drawing>
          <wp:inline distT="0" distB="0" distL="0" distR="0" wp14:anchorId="5096D0E1" wp14:editId="44D826BF">
            <wp:extent cx="1038225" cy="266700"/>
            <wp:effectExtent l="19050" t="0" r="9525" b="0"/>
            <wp:docPr id="277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xem và in các chứng từ hạch toán: Phiếu chi nếu hình thức giao dịch là tiền mặt; phiếu kế toán nếu hình thức dịch là chuyển khoản.</w:t>
      </w:r>
    </w:p>
    <w:p w:rsidR="00A52D7F" w:rsidRDefault="00A52D7F" w:rsidP="00A52D7F">
      <w:pPr>
        <w:pStyle w:val="Bulletlevel1"/>
      </w:pPr>
      <w:r>
        <w:rPr>
          <w:noProof/>
        </w:rPr>
        <w:drawing>
          <wp:inline distT="0" distB="0" distL="0" distR="0" wp14:anchorId="33535384" wp14:editId="1EB7B889">
            <wp:extent cx="1181100" cy="247650"/>
            <wp:effectExtent l="19050" t="0" r="0" b="0"/>
            <wp:docPr id="278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Lập bảng kê tiền mặt</w:t>
      </w:r>
    </w:p>
    <w:p w:rsidR="00A52D7F" w:rsidRDefault="00A52D7F" w:rsidP="008E2030">
      <w:pPr>
        <w:pStyle w:val="Heading5"/>
      </w:pPr>
      <w:bookmarkStart w:id="1" w:name="_GoBack"/>
      <w:bookmarkEnd w:id="1"/>
      <w:r>
        <w:t>Điều kiện ràng buộc</w:t>
      </w:r>
    </w:p>
    <w:p w:rsidR="00A52D7F" w:rsidRDefault="00A52D7F" w:rsidP="00A52D7F">
      <w:pPr>
        <w:pStyle w:val="Bulletlevel1"/>
      </w:pPr>
      <w:r>
        <w:t>Sổ tiền gửi đã tồn tại</w:t>
      </w:r>
    </w:p>
    <w:p w:rsidR="001D5684" w:rsidRDefault="001D5684" w:rsidP="00215F40">
      <w:pPr>
        <w:pStyle w:val="Bulletlevel1"/>
      </w:pPr>
      <w:r>
        <w:t>Sổ tiền gửi đ</w:t>
      </w:r>
      <w:r w:rsidR="00A52D7F">
        <w:t xml:space="preserve">ến </w:t>
      </w:r>
      <w:r>
        <w:t>hạn tất toán</w:t>
      </w:r>
      <w:r w:rsidR="00215F40">
        <w:t xml:space="preserve"> hoặc </w:t>
      </w:r>
      <w:r>
        <w:t>cho phép tất toán trước hạn</w:t>
      </w:r>
      <w:bookmarkEnd w:id="0"/>
    </w:p>
    <w:sectPr w:rsidR="001D5684" w:rsidSect="006D00FB">
      <w:headerReference w:type="default" r:id="rId15"/>
      <w:footerReference w:type="default" r:id="rId16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EAD" w:rsidRDefault="00FE7EAD" w:rsidP="00E57131">
      <w:r>
        <w:separator/>
      </w:r>
    </w:p>
    <w:p w:rsidR="00FE7EAD" w:rsidRDefault="00FE7EAD" w:rsidP="00E57131"/>
    <w:p w:rsidR="00FE7EAD" w:rsidRDefault="00FE7EAD" w:rsidP="00E57131"/>
    <w:p w:rsidR="00FE7EAD" w:rsidRDefault="00FE7EAD" w:rsidP="00E57131"/>
    <w:p w:rsidR="00FE7EAD" w:rsidRDefault="00FE7EAD"/>
  </w:endnote>
  <w:endnote w:type="continuationSeparator" w:id="0">
    <w:p w:rsidR="00FE7EAD" w:rsidRDefault="00FE7EAD" w:rsidP="00E57131">
      <w:r>
        <w:continuationSeparator/>
      </w:r>
    </w:p>
    <w:p w:rsidR="00FE7EAD" w:rsidRDefault="00FE7EAD" w:rsidP="00E57131"/>
    <w:p w:rsidR="00FE7EAD" w:rsidRDefault="00FE7EAD" w:rsidP="00E57131"/>
    <w:p w:rsidR="00FE7EAD" w:rsidRDefault="00FE7EAD" w:rsidP="00E57131"/>
    <w:p w:rsidR="00FE7EAD" w:rsidRDefault="00FE7E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CE6E43" w:rsidRDefault="00964EB6" w:rsidP="00964EB6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FE7EAD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964EB6" w:rsidRDefault="0096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EAD" w:rsidRDefault="00FE7EAD" w:rsidP="00E57131">
      <w:r>
        <w:separator/>
      </w:r>
    </w:p>
    <w:p w:rsidR="00FE7EAD" w:rsidRDefault="00FE7EAD" w:rsidP="00E57131"/>
    <w:p w:rsidR="00FE7EAD" w:rsidRDefault="00FE7EAD" w:rsidP="00E57131"/>
    <w:p w:rsidR="00FE7EAD" w:rsidRDefault="00FE7EAD" w:rsidP="00E57131"/>
    <w:p w:rsidR="00FE7EAD" w:rsidRDefault="00FE7EAD"/>
  </w:footnote>
  <w:footnote w:type="continuationSeparator" w:id="0">
    <w:p w:rsidR="00FE7EAD" w:rsidRDefault="00FE7EAD" w:rsidP="00E57131">
      <w:r>
        <w:continuationSeparator/>
      </w:r>
    </w:p>
    <w:p w:rsidR="00FE7EAD" w:rsidRDefault="00FE7EAD" w:rsidP="00E57131"/>
    <w:p w:rsidR="00FE7EAD" w:rsidRDefault="00FE7EAD" w:rsidP="00E57131"/>
    <w:p w:rsidR="00FE7EAD" w:rsidRDefault="00FE7EAD" w:rsidP="00E57131"/>
    <w:p w:rsidR="00FE7EAD" w:rsidRDefault="00FE7E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964EB6" w:rsidRDefault="00964EB6" w:rsidP="00964EB6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343136" wp14:editId="4A508A6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1EBEB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1C31F6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52661D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5A958ED"/>
    <w:multiLevelType w:val="hybridMultilevel"/>
    <w:tmpl w:val="705A8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68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>
    <w:nsid w:val="0A022F2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5">
    <w:nsid w:val="0EB611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48193D"/>
    <w:multiLevelType w:val="hybridMultilevel"/>
    <w:tmpl w:val="D1486BFE"/>
    <w:lvl w:ilvl="0" w:tplc="27E86E0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3010E3"/>
    <w:multiLevelType w:val="hybridMultilevel"/>
    <w:tmpl w:val="87D68544"/>
    <w:lvl w:ilvl="0" w:tplc="265CDB1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F80FB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>
    <w:nsid w:val="20121D69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1413BE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5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6">
    <w:nsid w:val="2AE53F61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5E2D4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C801D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A35E9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32">
    <w:nsid w:val="323566C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8B7090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24428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9">
    <w:nsid w:val="3BBE30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E30043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3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6045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7D0FD3"/>
    <w:multiLevelType w:val="hybridMultilevel"/>
    <w:tmpl w:val="A5BA7446"/>
    <w:lvl w:ilvl="0" w:tplc="6C5EE8A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61A3F"/>
    <w:multiLevelType w:val="hybridMultilevel"/>
    <w:tmpl w:val="0BA28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026FB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3C2C3A"/>
    <w:multiLevelType w:val="hybridMultilevel"/>
    <w:tmpl w:val="D53AC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ECA53E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2D414F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743E7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A04C7B"/>
    <w:multiLevelType w:val="hybridMultilevel"/>
    <w:tmpl w:val="CB8A1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905602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05FC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0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45168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C72478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63">
    <w:nsid w:val="5CB71BCD"/>
    <w:multiLevelType w:val="hybridMultilevel"/>
    <w:tmpl w:val="EFA4E662"/>
    <w:lvl w:ilvl="0" w:tplc="E2348878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EDA1E5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5607E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146115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4E2F2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63B37D3"/>
    <w:multiLevelType w:val="hybridMultilevel"/>
    <w:tmpl w:val="D43CAD94"/>
    <w:lvl w:ilvl="0" w:tplc="E488E2F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7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7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72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F820B2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6">
    <w:nsid w:val="73B818F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D02618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41F9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8B43A5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2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A9462A1"/>
    <w:multiLevelType w:val="hybridMultilevel"/>
    <w:tmpl w:val="FDCC1548"/>
    <w:lvl w:ilvl="0" w:tplc="259C2D5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7D2E22"/>
    <w:multiLevelType w:val="hybridMultilevel"/>
    <w:tmpl w:val="722EE1B4"/>
    <w:lvl w:ilvl="0" w:tplc="04090009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22286F"/>
    <w:multiLevelType w:val="hybridMultilevel"/>
    <w:tmpl w:val="72102946"/>
    <w:lvl w:ilvl="0" w:tplc="04090009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21"/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0"/>
  </w:num>
  <w:num w:numId="8">
    <w:abstractNumId w:val="56"/>
  </w:num>
  <w:num w:numId="9">
    <w:abstractNumId w:val="81"/>
  </w:num>
  <w:num w:numId="10">
    <w:abstractNumId w:val="71"/>
  </w:num>
  <w:num w:numId="11">
    <w:abstractNumId w:val="82"/>
  </w:num>
  <w:num w:numId="12">
    <w:abstractNumId w:val="73"/>
  </w:num>
  <w:num w:numId="13">
    <w:abstractNumId w:val="3"/>
  </w:num>
  <w:num w:numId="14">
    <w:abstractNumId w:val="25"/>
  </w:num>
  <w:num w:numId="15">
    <w:abstractNumId w:val="34"/>
  </w:num>
  <w:num w:numId="16">
    <w:abstractNumId w:val="50"/>
  </w:num>
  <w:num w:numId="17">
    <w:abstractNumId w:val="42"/>
  </w:num>
  <w:num w:numId="18">
    <w:abstractNumId w:val="75"/>
  </w:num>
  <w:num w:numId="19">
    <w:abstractNumId w:val="40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37"/>
  </w:num>
  <w:num w:numId="25">
    <w:abstractNumId w:val="20"/>
  </w:num>
  <w:num w:numId="26">
    <w:abstractNumId w:val="31"/>
  </w:num>
  <w:num w:numId="27">
    <w:abstractNumId w:val="24"/>
  </w:num>
  <w:num w:numId="28">
    <w:abstractNumId w:val="33"/>
  </w:num>
  <w:num w:numId="29">
    <w:abstractNumId w:val="62"/>
  </w:num>
  <w:num w:numId="3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14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28"/>
  </w:num>
  <w:num w:numId="40">
    <w:abstractNumId w:val="27"/>
  </w:num>
  <w:num w:numId="41">
    <w:abstractNumId w:val="18"/>
  </w:num>
  <w:num w:numId="42">
    <w:abstractNumId w:val="63"/>
  </w:num>
  <w:num w:numId="43">
    <w:abstractNumId w:val="47"/>
  </w:num>
  <w:num w:numId="44">
    <w:abstractNumId w:val="85"/>
  </w:num>
  <w:num w:numId="45">
    <w:abstractNumId w:val="7"/>
  </w:num>
  <w:num w:numId="46">
    <w:abstractNumId w:val="17"/>
  </w:num>
  <w:num w:numId="47">
    <w:abstractNumId w:val="61"/>
  </w:num>
  <w:num w:numId="48">
    <w:abstractNumId w:val="65"/>
  </w:num>
  <w:num w:numId="49">
    <w:abstractNumId w:val="16"/>
  </w:num>
  <w:num w:numId="50">
    <w:abstractNumId w:val="10"/>
  </w:num>
  <w:num w:numId="51">
    <w:abstractNumId w:val="54"/>
  </w:num>
  <w:num w:numId="52">
    <w:abstractNumId w:val="58"/>
  </w:num>
  <w:num w:numId="53">
    <w:abstractNumId w:val="26"/>
  </w:num>
  <w:num w:numId="54">
    <w:abstractNumId w:val="39"/>
  </w:num>
  <w:num w:numId="55">
    <w:abstractNumId w:val="53"/>
  </w:num>
  <w:num w:numId="56">
    <w:abstractNumId w:val="49"/>
  </w:num>
  <w:num w:numId="57">
    <w:abstractNumId w:val="23"/>
  </w:num>
  <w:num w:numId="58">
    <w:abstractNumId w:val="59"/>
  </w:num>
  <w:num w:numId="59">
    <w:abstractNumId w:val="32"/>
  </w:num>
  <w:num w:numId="60">
    <w:abstractNumId w:val="80"/>
  </w:num>
  <w:num w:numId="61">
    <w:abstractNumId w:val="60"/>
  </w:num>
  <w:num w:numId="62">
    <w:abstractNumId w:val="57"/>
  </w:num>
  <w:num w:numId="63">
    <w:abstractNumId w:val="72"/>
  </w:num>
  <w:num w:numId="64">
    <w:abstractNumId w:val="46"/>
  </w:num>
  <w:num w:numId="65">
    <w:abstractNumId w:val="8"/>
  </w:num>
  <w:num w:numId="66">
    <w:abstractNumId w:val="45"/>
  </w:num>
  <w:num w:numId="67">
    <w:abstractNumId w:val="78"/>
  </w:num>
  <w:num w:numId="68">
    <w:abstractNumId w:val="30"/>
  </w:num>
  <w:num w:numId="69">
    <w:abstractNumId w:val="19"/>
  </w:num>
  <w:num w:numId="70">
    <w:abstractNumId w:val="13"/>
  </w:num>
  <w:num w:numId="71">
    <w:abstractNumId w:val="68"/>
  </w:num>
  <w:num w:numId="72">
    <w:abstractNumId w:val="29"/>
  </w:num>
  <w:num w:numId="73">
    <w:abstractNumId w:val="66"/>
  </w:num>
  <w:num w:numId="74">
    <w:abstractNumId w:val="64"/>
  </w:num>
  <w:num w:numId="75">
    <w:abstractNumId w:val="48"/>
  </w:num>
  <w:num w:numId="76">
    <w:abstractNumId w:val="22"/>
  </w:num>
  <w:num w:numId="77">
    <w:abstractNumId w:val="11"/>
  </w:num>
  <w:num w:numId="78">
    <w:abstractNumId w:val="83"/>
  </w:num>
  <w:num w:numId="79">
    <w:abstractNumId w:val="52"/>
  </w:num>
  <w:num w:numId="80">
    <w:abstractNumId w:val="76"/>
  </w:num>
  <w:num w:numId="81">
    <w:abstractNumId w:val="55"/>
  </w:num>
  <w:num w:numId="82">
    <w:abstractNumId w:val="51"/>
  </w:num>
  <w:num w:numId="83">
    <w:abstractNumId w:val="79"/>
  </w:num>
  <w:num w:numId="84">
    <w:abstractNumId w:val="74"/>
  </w:num>
  <w:num w:numId="85">
    <w:abstractNumId w:val="84"/>
  </w:num>
  <w:num w:numId="86">
    <w:abstractNumId w:val="67"/>
  </w:num>
  <w:num w:numId="87">
    <w:abstractNumId w:val="41"/>
  </w:num>
  <w:num w:numId="88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D3E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5BE4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0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31A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57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DB0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030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4EB6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1EBE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1528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E7EAD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593DE1-4E52-4A31-A7EF-6A1EC62C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9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51698-F4A7-4FCC-B42B-8DFB4511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>1</vt:lpstr>
      <vt:lpstr>TIẾT KIỆM </vt:lpstr>
      <vt:lpstr>    Đăng ký sản phẩm</vt:lpstr>
      <vt:lpstr>        Đăng ký sản phẩm</vt:lpstr>
      <vt:lpstr>        Danh sách sản phẩm</vt:lpstr>
      <vt:lpstr>    Mở sổ tiết kiệm</vt:lpstr>
      <vt:lpstr>        Mở sổ tiết kiệm </vt:lpstr>
      <vt:lpstr>        Danh sách sổ tiền gửi </vt:lpstr>
      <vt:lpstr>    Gửi thêm tiền</vt:lpstr>
      <vt:lpstr>        Gửi thêm tiền theo từng sổ</vt:lpstr>
      <vt:lpstr>        Gửi thêm tiền theo danh sách</vt:lpstr>
      <vt:lpstr>    Rút gốc một phần</vt:lpstr>
      <vt:lpstr>        Rút gốc một phần theo từng sổ</vt:lpstr>
      <vt:lpstr>        Rút gốc một phần theo danh sách</vt:lpstr>
      <vt:lpstr>    Trả lãi</vt:lpstr>
      <vt:lpstr>        Trả lãi theo từng sổ</vt:lpstr>
      <vt:lpstr>        Trả lãi theo danh sách</vt:lpstr>
      <vt:lpstr>    Dự chi</vt:lpstr>
      <vt:lpstr>        Các thao tác thực hiện</vt:lpstr>
      <vt:lpstr>        Điều kiện ràng buộc</vt:lpstr>
      <vt:lpstr>    Lãi nhập gốc</vt:lpstr>
      <vt:lpstr>        Lãi nhập gốc theo tứng sổ</vt:lpstr>
      <vt:lpstr>        Lãi nhập gốc theo danh sách</vt:lpstr>
      <vt:lpstr>    Phân bổ chi phí</vt:lpstr>
      <vt:lpstr>        Các thao tác thực hiện</vt:lpstr>
      <vt:lpstr>        Điều kiện ràng buộc</vt:lpstr>
      <vt:lpstr>    Phong tỏa/ giải tỏa tài khoản</vt:lpstr>
      <vt:lpstr>        Phong tỏa tài khoản</vt:lpstr>
      <vt:lpstr>        Giải tỏa tài khoản</vt:lpstr>
      <vt:lpstr>        Danh sách giao dịch phong tỏa/ giải tỏa tài khoản</vt:lpstr>
      <vt:lpstr>    Tất toán</vt:lpstr>
      <vt:lpstr>        Tất toán theo từng sổ</vt:lpstr>
      <vt:lpstr>        Tất toán theo danh sách</vt:lpstr>
      <vt:lpstr>    Thay đổi lãi suất</vt:lpstr>
      <vt:lpstr>        Thay đổi lãi suất</vt:lpstr>
      <vt:lpstr>        Danh sách giao dịch thay đổi lãi suất</vt:lpstr>
    </vt:vector>
  </TitlesOfParts>
  <Company>Hewlett-Packard Company</Company>
  <LinksUpToDate>false</LinksUpToDate>
  <CharactersWithSpaces>4738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2014-09-04T03:36:00Z</dcterms:created>
  <dcterms:modified xsi:type="dcterms:W3CDTF">2014-09-04T03:37:00Z</dcterms:modified>
</cp:coreProperties>
</file>