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3C7" w:rsidRDefault="004533C2" w:rsidP="00D463C7">
      <w:pPr>
        <w:pStyle w:val="Heading5"/>
      </w:pPr>
      <w:r>
        <w:t>T</w:t>
      </w:r>
      <w:r w:rsidR="00D463C7">
        <w:t>ruy cập chức năng</w:t>
      </w:r>
    </w:p>
    <w:p w:rsidR="004533C2" w:rsidRPr="004533C2" w:rsidRDefault="004533C2" w:rsidP="004533C2">
      <w:pPr>
        <w:pStyle w:val="Heading6"/>
      </w:pPr>
      <w:r>
        <w:t>Cách 1</w:t>
      </w:r>
    </w:p>
    <w:p w:rsidR="00D463C7" w:rsidRDefault="004533C2" w:rsidP="004533C2">
      <w:r>
        <w:t>Tín dụng</w:t>
      </w:r>
      <w:r w:rsidR="00D463C7">
        <w:t xml:space="preserve"> vi mô </w:t>
      </w:r>
      <w:r w:rsidR="00D463C7">
        <w:sym w:font="Wingdings" w:char="F0E0"/>
      </w:r>
      <w:r w:rsidR="00D463C7">
        <w:t xml:space="preserve"> Khế ước </w:t>
      </w:r>
      <w:r w:rsidR="00D463C7">
        <w:sym w:font="Wingdings" w:char="F0E0"/>
      </w:r>
      <w:r w:rsidR="00D463C7">
        <w:t>Lập khế ước</w:t>
      </w:r>
    </w:p>
    <w:p w:rsidR="00D463C7" w:rsidRDefault="004533C2" w:rsidP="00D463C7">
      <w:pPr>
        <w:jc w:val="center"/>
      </w:pPr>
      <w:r>
        <w:rPr>
          <w:noProof/>
        </w:rPr>
        <w:drawing>
          <wp:inline distT="0" distB="0" distL="0" distR="0" wp14:anchorId="788680B4" wp14:editId="02AEF525">
            <wp:extent cx="6364605" cy="861695"/>
            <wp:effectExtent l="19050" t="19050" r="1714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64605" cy="861695"/>
                    </a:xfrm>
                    <a:prstGeom prst="rect">
                      <a:avLst/>
                    </a:prstGeom>
                    <a:ln>
                      <a:solidFill>
                        <a:schemeClr val="accent1"/>
                      </a:solidFill>
                    </a:ln>
                  </pic:spPr>
                </pic:pic>
              </a:graphicData>
            </a:graphic>
          </wp:inline>
        </w:drawing>
      </w:r>
    </w:p>
    <w:p w:rsidR="00D463C7" w:rsidRDefault="00D463C7" w:rsidP="00D463C7">
      <w:pPr>
        <w:pStyle w:val="NumberTable"/>
      </w:pPr>
      <w:r>
        <w:t>Truy cập chức năng Lập khế ước</w:t>
      </w:r>
    </w:p>
    <w:p w:rsidR="00D463C7" w:rsidRDefault="00D463C7" w:rsidP="00D463C7">
      <w:pPr>
        <w:pStyle w:val="Heading6"/>
      </w:pPr>
      <w:r>
        <w:t>Cách 2</w:t>
      </w:r>
    </w:p>
    <w:p w:rsidR="00D463C7" w:rsidRDefault="004533C2" w:rsidP="004533C2">
      <w:r>
        <w:t xml:space="preserve">Tín dụng </w:t>
      </w:r>
      <w:r w:rsidR="00D463C7">
        <w:t xml:space="preserve">vi mô </w:t>
      </w:r>
      <w:r w:rsidR="00D463C7">
        <w:sym w:font="Wingdings" w:char="F0E0"/>
      </w:r>
      <w:r w:rsidR="00D463C7">
        <w:t xml:space="preserve">  Khế ước </w:t>
      </w:r>
      <w:r w:rsidR="00D463C7">
        <w:sym w:font="Wingdings" w:char="F0E0"/>
      </w:r>
      <w:r w:rsidR="00D463C7">
        <w:t xml:space="preserve">  Danh sách khế ước </w:t>
      </w:r>
      <w:r w:rsidR="00D463C7">
        <w:sym w:font="Wingdings" w:char="F0E0"/>
      </w:r>
      <w:r w:rsidR="00D463C7">
        <w:t xml:space="preserve"> Thêm</w:t>
      </w:r>
    </w:p>
    <w:p w:rsidR="00D463C7" w:rsidRDefault="004533C2" w:rsidP="00D463C7">
      <w:pPr>
        <w:pStyle w:val="Heading5"/>
      </w:pPr>
      <w:r>
        <w:t>Khai báo thông tin khế ước</w:t>
      </w:r>
    </w:p>
    <w:p w:rsidR="00D463C7" w:rsidRDefault="00D463C7" w:rsidP="00D463C7">
      <w:pPr>
        <w:pStyle w:val="Heading6"/>
      </w:pPr>
      <w:r>
        <w:t xml:space="preserve">Thẻ Thông tin </w:t>
      </w:r>
      <w:r w:rsidR="004533C2">
        <w:t>khế ước</w:t>
      </w:r>
    </w:p>
    <w:p w:rsidR="00403A07" w:rsidRPr="00403A07" w:rsidRDefault="00403A07" w:rsidP="00403A07">
      <w:pPr>
        <w:pStyle w:val="Bulletlevel1"/>
      </w:pPr>
      <w:r>
        <w:t>Giao diện</w:t>
      </w:r>
    </w:p>
    <w:p w:rsidR="00D463C7" w:rsidRDefault="004533C2" w:rsidP="00D463C7">
      <w:r>
        <w:rPr>
          <w:noProof/>
        </w:rPr>
        <w:drawing>
          <wp:inline distT="0" distB="0" distL="0" distR="0" wp14:anchorId="1E566CF3" wp14:editId="641AA984">
            <wp:extent cx="6364605" cy="3391971"/>
            <wp:effectExtent l="19050" t="19050" r="17145" b="18415"/>
            <wp:docPr id="23" name="Picture 23" descr="C:\Users\GiangDTC\AppData\Local\Temp\SNAGHTMLdd08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angDTC\AppData\Local\Temp\SNAGHTMLdd087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3391971"/>
                    </a:xfrm>
                    <a:prstGeom prst="rect">
                      <a:avLst/>
                    </a:prstGeom>
                    <a:noFill/>
                    <a:ln>
                      <a:solidFill>
                        <a:schemeClr val="tx1">
                          <a:lumMod val="50000"/>
                          <a:lumOff val="50000"/>
                        </a:schemeClr>
                      </a:solidFill>
                    </a:ln>
                  </pic:spPr>
                </pic:pic>
              </a:graphicData>
            </a:graphic>
          </wp:inline>
        </w:drawing>
      </w:r>
    </w:p>
    <w:p w:rsidR="00D463C7" w:rsidRDefault="00D463C7" w:rsidP="004533C2">
      <w:pPr>
        <w:pStyle w:val="NumberTable"/>
      </w:pPr>
      <w:r>
        <w:t>Khế ước - Thông tin chung</w:t>
      </w:r>
    </w:p>
    <w:p w:rsidR="00403A07" w:rsidRDefault="00403A07" w:rsidP="00403A07">
      <w:pPr>
        <w:pStyle w:val="Bulletlevel1"/>
      </w:pPr>
      <w:r>
        <w:t>Nhập thông tin:</w:t>
      </w:r>
    </w:p>
    <w:tbl>
      <w:tblPr>
        <w:tblStyle w:val="TableGrid"/>
        <w:tblW w:w="9988" w:type="dxa"/>
        <w:tblInd w:w="108" w:type="dxa"/>
        <w:tblLook w:val="04A0" w:firstRow="1" w:lastRow="0" w:firstColumn="1" w:lastColumn="0" w:noHBand="0" w:noVBand="1"/>
      </w:tblPr>
      <w:tblGrid>
        <w:gridCol w:w="720"/>
        <w:gridCol w:w="2520"/>
        <w:gridCol w:w="6748"/>
      </w:tblGrid>
      <w:tr w:rsidR="00D463C7" w:rsidRPr="00ED7498" w:rsidTr="004533C2">
        <w:tc>
          <w:tcPr>
            <w:tcW w:w="720" w:type="dxa"/>
          </w:tcPr>
          <w:p w:rsidR="00D463C7" w:rsidRPr="00ED7498" w:rsidRDefault="00D463C7" w:rsidP="004533C2">
            <w:pPr>
              <w:jc w:val="center"/>
              <w:rPr>
                <w:b/>
              </w:rPr>
            </w:pPr>
            <w:r w:rsidRPr="00ED7498">
              <w:rPr>
                <w:b/>
              </w:rPr>
              <w:t>STT</w:t>
            </w:r>
          </w:p>
        </w:tc>
        <w:tc>
          <w:tcPr>
            <w:tcW w:w="2520" w:type="dxa"/>
          </w:tcPr>
          <w:p w:rsidR="00D463C7" w:rsidRPr="00ED7498" w:rsidRDefault="00D463C7" w:rsidP="004533C2">
            <w:pPr>
              <w:jc w:val="center"/>
              <w:rPr>
                <w:b/>
              </w:rPr>
            </w:pPr>
            <w:r>
              <w:rPr>
                <w:b/>
              </w:rPr>
              <w:t>Tên trường</w:t>
            </w:r>
          </w:p>
        </w:tc>
        <w:tc>
          <w:tcPr>
            <w:tcW w:w="6748" w:type="dxa"/>
          </w:tcPr>
          <w:p w:rsidR="00D463C7" w:rsidRPr="00ED7498" w:rsidRDefault="00D463C7" w:rsidP="004533C2">
            <w:pPr>
              <w:jc w:val="center"/>
              <w:rPr>
                <w:b/>
              </w:rPr>
            </w:pPr>
            <w:r w:rsidRPr="00ED7498">
              <w:rPr>
                <w:b/>
              </w:rPr>
              <w:t>Diễn giải</w:t>
            </w:r>
          </w:p>
        </w:tc>
      </w:tr>
      <w:tr w:rsidR="00D463C7" w:rsidRPr="00ED7498" w:rsidTr="004533C2">
        <w:tc>
          <w:tcPr>
            <w:tcW w:w="9988" w:type="dxa"/>
            <w:gridSpan w:val="3"/>
          </w:tcPr>
          <w:p w:rsidR="00D463C7" w:rsidRPr="004533C2" w:rsidRDefault="00D463C7" w:rsidP="004533C2">
            <w:pPr>
              <w:jc w:val="left"/>
              <w:rPr>
                <w:b/>
              </w:rPr>
            </w:pPr>
            <w:r w:rsidRPr="004533C2">
              <w:rPr>
                <w:b/>
              </w:rPr>
              <w:t>Thông tin chung</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Pr="00DE0E35" w:rsidRDefault="00D463C7" w:rsidP="004533C2">
            <w:r>
              <w:t>Số khế ước</w:t>
            </w:r>
          </w:p>
        </w:tc>
        <w:tc>
          <w:tcPr>
            <w:tcW w:w="6748" w:type="dxa"/>
            <w:vAlign w:val="center"/>
          </w:tcPr>
          <w:p w:rsidR="00D463C7" w:rsidRDefault="00D463C7" w:rsidP="004533C2">
            <w:pPr>
              <w:pStyle w:val="Bulletlevel1"/>
            </w:pPr>
            <w:r>
              <w:t>Số khế ước tự sinh theo quy  tắc sinh mã, và người dùng không được phép sửa.</w:t>
            </w:r>
          </w:p>
          <w:p w:rsidR="00D463C7" w:rsidRPr="00DE0E35" w:rsidRDefault="00D463C7" w:rsidP="004533C2">
            <w:pPr>
              <w:pStyle w:val="Bulletlevel1"/>
            </w:pPr>
            <w:r>
              <w:t>Số khế ước là duy nh</w:t>
            </w:r>
            <w:r w:rsidR="00A60552">
              <w:t>ất trong toàn hệ thống</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Ngày lập khế ước</w:t>
            </w:r>
          </w:p>
        </w:tc>
        <w:tc>
          <w:tcPr>
            <w:tcW w:w="6748" w:type="dxa"/>
            <w:vAlign w:val="center"/>
          </w:tcPr>
          <w:p w:rsidR="00D463C7" w:rsidRDefault="00D463C7" w:rsidP="004533C2">
            <w:pPr>
              <w:pStyle w:val="Bulletlevel1"/>
            </w:pPr>
            <w:r>
              <w:t>Mặc định là ngày làm việc, người dùng có thể sửa bằng cách nhập trực tiếp từ bàn phím theo định dạng dd/mm/yyyy hoặc chọn từ lịch.</w:t>
            </w:r>
          </w:p>
          <w:p w:rsidR="00D463C7" w:rsidRPr="00F14553" w:rsidRDefault="00D463C7" w:rsidP="00A60552">
            <w:pPr>
              <w:pStyle w:val="Bulletlevel1"/>
              <w:rPr>
                <w:rFonts w:eastAsiaTheme="minorHAnsi"/>
                <w:color w:val="244061" w:themeColor="accent1" w:themeShade="80"/>
              </w:rPr>
            </w:pPr>
            <w:r w:rsidRPr="007A1610">
              <w:t xml:space="preserve">Ngày nhập khế ước </w:t>
            </w:r>
            <w:r w:rsidRPr="007A1610">
              <w:rPr>
                <w:rFonts w:hint="eastAsia"/>
              </w:rPr>
              <w:t>≥</w:t>
            </w:r>
            <w:r w:rsidRPr="007A1610">
              <w:t xml:space="preserve"> Ngày lập</w:t>
            </w:r>
            <w:r w:rsidR="00A60552">
              <w:t xml:space="preserve"> đơn xin vay vốn</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Số hợp đồng</w:t>
            </w:r>
          </w:p>
        </w:tc>
        <w:tc>
          <w:tcPr>
            <w:tcW w:w="6748" w:type="dxa"/>
            <w:vAlign w:val="center"/>
          </w:tcPr>
          <w:p w:rsidR="00D463C7" w:rsidRDefault="00D463C7" w:rsidP="004533C2">
            <w:pPr>
              <w:pStyle w:val="Bulletlevel1"/>
            </w:pPr>
            <w:r>
              <w:t>Người dùng nhập Số hợp đồng từ bàn phím hoặc chọn trong danh sách Hợp đồng ( Danh sách các hợp đồng chưa được giải ngân)</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Khách hàng</w:t>
            </w:r>
          </w:p>
        </w:tc>
        <w:tc>
          <w:tcPr>
            <w:tcW w:w="6748" w:type="dxa"/>
            <w:vAlign w:val="center"/>
          </w:tcPr>
          <w:p w:rsidR="00D463C7" w:rsidRDefault="00D463C7" w:rsidP="004533C2">
            <w:pPr>
              <w:pStyle w:val="Bulletlevel1"/>
            </w:pPr>
            <w:r>
              <w:t>Tự động hiển thị theo mã hợp đồng</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Sản phẩm</w:t>
            </w:r>
          </w:p>
        </w:tc>
        <w:tc>
          <w:tcPr>
            <w:tcW w:w="6748" w:type="dxa"/>
            <w:vAlign w:val="center"/>
          </w:tcPr>
          <w:p w:rsidR="00D463C7" w:rsidRDefault="00D463C7" w:rsidP="004533C2">
            <w:pPr>
              <w:pStyle w:val="Bulletlevel1"/>
            </w:pPr>
            <w:r>
              <w:t>Người dùng nhập mã từ bàn phím hoặc chọn từ danh sách sản phẩm</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Hệ số</w:t>
            </w:r>
          </w:p>
        </w:tc>
        <w:tc>
          <w:tcPr>
            <w:tcW w:w="6748" w:type="dxa"/>
            <w:vAlign w:val="center"/>
          </w:tcPr>
          <w:p w:rsidR="00D463C7" w:rsidRDefault="00D463C7" w:rsidP="004533C2">
            <w:pPr>
              <w:pStyle w:val="Bulletlevel1"/>
            </w:pPr>
            <w:r>
              <w:t>Hệ số dùng để điêu chỉnh mức vay của khách hàng, dựa vào hệ số có thể điều chỉnh tăng hay giảm mức vay cho phù hợp.</w:t>
            </w:r>
          </w:p>
          <w:p w:rsidR="00D463C7" w:rsidRDefault="00D463C7" w:rsidP="004533C2">
            <w:pPr>
              <w:pStyle w:val="Bulletlevel1"/>
            </w:pPr>
            <w:r>
              <w:t xml:space="preserve">Nếu sản phẩm gán vòng vay vốn thì hệ số bắt buộc phải nhập. </w:t>
            </w:r>
          </w:p>
          <w:p w:rsidR="00D463C7" w:rsidRDefault="00D463C7" w:rsidP="004533C2">
            <w:pPr>
              <w:pStyle w:val="Bulletlevel1"/>
            </w:pPr>
            <w:r>
              <w:t>Giá trị mặc định bằng 1.</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Số tiền giải ngân</w:t>
            </w:r>
          </w:p>
        </w:tc>
        <w:tc>
          <w:tcPr>
            <w:tcW w:w="6748" w:type="dxa"/>
            <w:vAlign w:val="center"/>
          </w:tcPr>
          <w:p w:rsidR="00D463C7" w:rsidRDefault="00D463C7" w:rsidP="004533C2">
            <w:pPr>
              <w:pStyle w:val="Bulletlevel1"/>
            </w:pPr>
            <w:r>
              <w:t>Nếu sản phẩm không gán vòng vay vốn: Người dùng nhập trực tiếp số tiền giải ngân dưới dạng số (hệ thống tự động kiểm tra Hạn mức nếu có)</w:t>
            </w:r>
          </w:p>
          <w:p w:rsidR="00D463C7" w:rsidRDefault="00D463C7" w:rsidP="004533C2">
            <w:pPr>
              <w:pStyle w:val="Bulletlevel1"/>
            </w:pPr>
            <w:r>
              <w:t>Nếu sản phẩm có gán vòng vay vốn</w:t>
            </w:r>
          </w:p>
          <w:p w:rsidR="00D463C7" w:rsidRDefault="00D463C7" w:rsidP="004533C2">
            <w:pPr>
              <w:pStyle w:val="Bulletlevel2"/>
            </w:pPr>
            <w:r>
              <w:t>Vòng vay vốn theo khoảng: Nếu vòng vay vốn có tính chất của gốc vay là theo khoảng giá trị thì người dùng nhập số tiền vay và khi lưu giao dịch hệ thống kiểm tra số tiền người dùng nhập nằm trong khoảng giá trị vòng vay vốn quy định * Hệ số.</w:t>
            </w:r>
          </w:p>
          <w:p w:rsidR="00D463C7" w:rsidRDefault="00D463C7" w:rsidP="004533C2">
            <w:pPr>
              <w:pStyle w:val="Bulletlevel2"/>
            </w:pPr>
            <w:r>
              <w:t>Vòng vay vốn cố định: Nếu số tiền trong vòng vay vốn là cố định thì dựa vào số vòng vay vốn của khách hàng và số tiền quy định trong vòng vay vốn và hệ số. Hệ thống tự động tính ra số tiền vay = số tiền quy định trong vòng vay vốn * Hệ số.</w:t>
            </w:r>
          </w:p>
          <w:p w:rsidR="00D463C7" w:rsidRDefault="00D463C7" w:rsidP="004533C2">
            <w:pPr>
              <w:pStyle w:val="Bulletlevel1"/>
            </w:pPr>
            <w:r>
              <w:t>Ví dụ:</w:t>
            </w:r>
          </w:p>
          <w:p w:rsidR="00D463C7" w:rsidRDefault="00D463C7" w:rsidP="0053306C">
            <w:pPr>
              <w:pStyle w:val="Bulletlevel2"/>
            </w:pPr>
            <w:r>
              <w:t>Tại chức năng Vòng vay vốn có nhóm vòng vay vốn như sau:</w:t>
            </w:r>
          </w:p>
          <w:p w:rsidR="00D463C7" w:rsidRDefault="00D463C7" w:rsidP="0053306C">
            <w:pPr>
              <w:pStyle w:val="Bulletlevel3"/>
            </w:pPr>
            <w:r>
              <w:t xml:space="preserve">Mã V01: </w:t>
            </w:r>
          </w:p>
          <w:p w:rsidR="00D463C7" w:rsidRDefault="00D463C7" w:rsidP="0053306C">
            <w:pPr>
              <w:pStyle w:val="Bulletlevel4"/>
            </w:pPr>
            <w:r>
              <w:t>Vòng 1: Số tiền vay: 10.000.000 thời hạn &lt;= 12 tháng</w:t>
            </w:r>
          </w:p>
          <w:p w:rsidR="00D463C7" w:rsidRDefault="00D463C7" w:rsidP="0053306C">
            <w:pPr>
              <w:pStyle w:val="Bulletlevel4"/>
            </w:pPr>
            <w:r>
              <w:t>Vòng 2: số tiền vay: 12.000.000 thời hạn 12 -24 tháng</w:t>
            </w:r>
          </w:p>
          <w:p w:rsidR="00D463C7" w:rsidRDefault="00D463C7" w:rsidP="0053306C">
            <w:pPr>
              <w:pStyle w:val="Bulletlevel4"/>
            </w:pPr>
            <w:r>
              <w:t>Từ vòng 3 trở lên: Số tiền vay: 15.000.000. Thời hạn từ 24 tháng trở đi.</w:t>
            </w:r>
          </w:p>
          <w:p w:rsidR="00D463C7" w:rsidRDefault="00D463C7" w:rsidP="0053306C">
            <w:pPr>
              <w:pStyle w:val="Bulletlevel2"/>
            </w:pPr>
            <w:r>
              <w:t>Mở sản phẩm cho vay mã SP01, gán nhóm vòng vay vốn V01 vào sản phẩm SP01.</w:t>
            </w:r>
          </w:p>
          <w:p w:rsidR="00D463C7" w:rsidRDefault="00D463C7" w:rsidP="0053306C">
            <w:pPr>
              <w:pStyle w:val="Bulletlevel2"/>
            </w:pPr>
            <w:r>
              <w:t>Tại ngày 1/1/2012, hệ thống đếm số khế ước của khách hàng KH1 dùng sản phẩm SP01 đã tồn tại trong hệ thống là 1.</w:t>
            </w:r>
          </w:p>
          <w:p w:rsidR="00D463C7" w:rsidRDefault="00D463C7" w:rsidP="0053306C">
            <w:pPr>
              <w:pStyle w:val="Bulletlevel2"/>
            </w:pPr>
            <w:r>
              <w:t>Ngày 1/1/2012 khế ước cho khách hàng KH01 với thông tin như sau:</w:t>
            </w:r>
          </w:p>
          <w:p w:rsidR="00D463C7" w:rsidRDefault="00D463C7" w:rsidP="0053306C">
            <w:pPr>
              <w:pStyle w:val="Bulletlevel3"/>
            </w:pPr>
            <w:r>
              <w:t>Sản phẩm SP01</w:t>
            </w:r>
          </w:p>
          <w:p w:rsidR="00D463C7" w:rsidRDefault="00D463C7" w:rsidP="0053306C">
            <w:pPr>
              <w:pStyle w:val="Bulletlevel3"/>
            </w:pPr>
            <w:r>
              <w:t>Hệ số = 2</w:t>
            </w:r>
          </w:p>
          <w:p w:rsidR="00D463C7" w:rsidRDefault="00D463C7" w:rsidP="0053306C">
            <w:pPr>
              <w:pStyle w:val="Bulletlevel4"/>
            </w:pPr>
            <w:r>
              <w:t>Số tiền vay của khách hàng = 12.000.000 * 2 = 24.000.000</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Thời hạn trả nợ</w:t>
            </w:r>
          </w:p>
        </w:tc>
        <w:tc>
          <w:tcPr>
            <w:tcW w:w="6748" w:type="dxa"/>
            <w:vAlign w:val="center"/>
          </w:tcPr>
          <w:p w:rsidR="00D463C7" w:rsidRDefault="00D463C7" w:rsidP="0053306C">
            <w:pPr>
              <w:pStyle w:val="Bulletlevel1"/>
            </w:pPr>
            <w:r>
              <w:t>Nếu sản phẩm không gán vòng vay vốn: Người dùng nhập trực tiếp thời hạn trả nợ từ bàn phím.</w:t>
            </w:r>
          </w:p>
          <w:p w:rsidR="00D463C7" w:rsidRDefault="00D463C7" w:rsidP="0053306C">
            <w:pPr>
              <w:pStyle w:val="Bulletlevel1"/>
            </w:pPr>
            <w:r>
              <w:t>Nếu sản phẩm có gán vòng vay vốn</w:t>
            </w:r>
          </w:p>
          <w:p w:rsidR="00D463C7" w:rsidRDefault="00D463C7" w:rsidP="0053306C">
            <w:pPr>
              <w:pStyle w:val="Bulletlevel2"/>
            </w:pPr>
            <w:r>
              <w:t>Vòng vay vốn theo khoảng: Nếu vòng vay vốn có tính chất của gốc vay là theo khoảng giá trị thì người dùng nhập thời hạn trả nợ và khi lưu giao dịch hệ thống kiểm tra số tiền người dùng nhập nằm trong khoảng giá trị vòng vay vốn quy định * Hệ số.</w:t>
            </w:r>
          </w:p>
          <w:p w:rsidR="00D463C7" w:rsidRDefault="00D463C7" w:rsidP="0053306C">
            <w:pPr>
              <w:pStyle w:val="Bulletlevel2"/>
            </w:pPr>
            <w:r>
              <w:t>Vòng vay vốn cố định: Nếu thời hạn trả nợ trong vòng vay vốn là cố định thì dựa vào số vòng vay vốn của khách hàng và thời hạn quy định trong vòng vay vốn và hệ số. Hệ thống tự động tính ra số tiền vay = Thời hạn trả nợ quy định trong vòng vay vốn * Hệ số.</w:t>
            </w:r>
            <w:r w:rsidR="006C63CB">
              <w:t xml:space="preserve"> Người dùng không được sửa lại.</w:t>
            </w:r>
          </w:p>
          <w:p w:rsidR="00D463C7" w:rsidRDefault="00D463C7" w:rsidP="0053306C">
            <w:pPr>
              <w:pStyle w:val="Bulletlevel1"/>
            </w:pPr>
            <w:r>
              <w:t>Ví dụ: Theo ví dụ trên thời hạn trả nợ sẽ là từ 24 – 48 tháng.</w:t>
            </w:r>
          </w:p>
          <w:p w:rsidR="00D463C7" w:rsidRDefault="00D463C7" w:rsidP="0053306C">
            <w:pPr>
              <w:pStyle w:val="Bulletlevel1"/>
            </w:pPr>
            <w:r>
              <w:t xml:space="preserve">Thời hạn trả nợ được xác định theo: </w:t>
            </w:r>
          </w:p>
          <w:p w:rsidR="00D463C7" w:rsidRDefault="00D463C7" w:rsidP="0053306C">
            <w:pPr>
              <w:pStyle w:val="Bulletlevel2"/>
            </w:pPr>
            <w:r>
              <w:t>Ngày</w:t>
            </w:r>
          </w:p>
          <w:p w:rsidR="00D463C7" w:rsidRDefault="00D463C7" w:rsidP="0053306C">
            <w:pPr>
              <w:pStyle w:val="Bulletlevel2"/>
            </w:pPr>
            <w:r>
              <w:t>Tuần</w:t>
            </w:r>
          </w:p>
          <w:p w:rsidR="00D463C7" w:rsidRDefault="00D463C7" w:rsidP="0053306C">
            <w:pPr>
              <w:pStyle w:val="Bulletlevel2"/>
            </w:pPr>
            <w:r>
              <w:t>Tháng (Mặc định)</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Mục đích sử dụng vốn vay</w:t>
            </w:r>
          </w:p>
        </w:tc>
        <w:tc>
          <w:tcPr>
            <w:tcW w:w="6748" w:type="dxa"/>
            <w:vAlign w:val="center"/>
          </w:tcPr>
          <w:p w:rsidR="00D463C7" w:rsidRDefault="005C77D2" w:rsidP="005C77D2">
            <w:pPr>
              <w:pStyle w:val="Bulletlevel1"/>
            </w:pPr>
            <w:r>
              <w:t>Nếu sản phẩm đã quy định mục đích sử dụng vốn, hệ thống tự</w:t>
            </w:r>
            <w:r w:rsidR="00D463C7">
              <w:t xml:space="preserve"> động hiển thị theo sản phẩm</w:t>
            </w:r>
            <w:r>
              <w:t>.</w:t>
            </w:r>
          </w:p>
          <w:p w:rsidR="005C77D2" w:rsidRDefault="005C77D2" w:rsidP="005C77D2">
            <w:pPr>
              <w:pStyle w:val="Bulletlevel1"/>
            </w:pPr>
            <w:r>
              <w:t>Nếu sản phẩm chưa quy định mục đích sử dụng vốn, người dùng có thể chọn mục đích sử dụng vốn trong hộp lựa chọn</w:t>
            </w:r>
          </w:p>
          <w:p w:rsidR="005C77D2" w:rsidRDefault="005C77D2" w:rsidP="005C77D2">
            <w:r>
              <w:rPr>
                <w:noProof/>
              </w:rPr>
              <w:drawing>
                <wp:inline distT="0" distB="0" distL="0" distR="0" wp14:anchorId="036909FE" wp14:editId="21929474">
                  <wp:extent cx="3323809" cy="1857143"/>
                  <wp:effectExtent l="19050" t="19050" r="10160"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3809" cy="1857143"/>
                          </a:xfrm>
                          <a:prstGeom prst="rect">
                            <a:avLst/>
                          </a:prstGeom>
                          <a:ln>
                            <a:solidFill>
                              <a:schemeClr val="tx1">
                                <a:lumMod val="50000"/>
                                <a:lumOff val="50000"/>
                              </a:schemeClr>
                            </a:solidFill>
                          </a:ln>
                        </pic:spPr>
                      </pic:pic>
                    </a:graphicData>
                  </a:graphic>
                </wp:inline>
              </w:drawing>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356BC7" w:rsidP="00356BC7">
            <w:r>
              <w:t xml:space="preserve">Ngày </w:t>
            </w:r>
            <w:r w:rsidR="00D463C7">
              <w:t>phát vốn</w:t>
            </w:r>
          </w:p>
        </w:tc>
        <w:tc>
          <w:tcPr>
            <w:tcW w:w="6748" w:type="dxa"/>
            <w:vAlign w:val="center"/>
          </w:tcPr>
          <w:p w:rsidR="00D463C7" w:rsidRDefault="00D463C7" w:rsidP="0053306C">
            <w:pPr>
              <w:pStyle w:val="Bulletlevel1"/>
            </w:pPr>
            <w:r>
              <w:t>Mặc định là ngày làm việc, người dùng có thể sửa bằng cách nhập trực tiếp từ bàn phím theo định dạng dd/mm/yyyy hoặc chọn từ lịch.</w:t>
            </w:r>
          </w:p>
          <w:p w:rsidR="00D463C7" w:rsidRDefault="00D463C7" w:rsidP="00356BC7">
            <w:pPr>
              <w:pStyle w:val="Bulletlevel1"/>
            </w:pPr>
            <w:r w:rsidRPr="007A1610">
              <w:t>N</w:t>
            </w:r>
            <w:r>
              <w:t>gày dự kiến phát vốn</w:t>
            </w:r>
            <w:r w:rsidR="00356BC7">
              <w:t xml:space="preserve"> phải thuộc lịch thu phát vốn đã được thiết lập cho ấp của khách hàng.</w:t>
            </w:r>
          </w:p>
        </w:tc>
      </w:tr>
      <w:tr w:rsidR="00D463C7" w:rsidTr="004533C2">
        <w:tc>
          <w:tcPr>
            <w:tcW w:w="9988" w:type="dxa"/>
            <w:gridSpan w:val="3"/>
          </w:tcPr>
          <w:p w:rsidR="00D463C7" w:rsidRPr="0053306C" w:rsidRDefault="00D463C7" w:rsidP="0053306C">
            <w:pPr>
              <w:rPr>
                <w:b/>
              </w:rPr>
            </w:pPr>
            <w:r w:rsidRPr="0053306C">
              <w:rPr>
                <w:b/>
              </w:rPr>
              <w:t>Nguồn vốn giải ngân</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Loại nguồn vốn</w:t>
            </w:r>
          </w:p>
        </w:tc>
        <w:tc>
          <w:tcPr>
            <w:tcW w:w="6748" w:type="dxa"/>
            <w:vAlign w:val="center"/>
          </w:tcPr>
          <w:p w:rsidR="00D463C7" w:rsidRDefault="00D463C7" w:rsidP="0053306C">
            <w:pPr>
              <w:pStyle w:val="Bulletlevel1"/>
            </w:pPr>
            <w:r>
              <w:t>Là nguồn vốn được dùng giải ngân cho khế ước.</w:t>
            </w:r>
          </w:p>
          <w:p w:rsidR="00D463C7" w:rsidRDefault="00D463C7" w:rsidP="0053306C">
            <w:pPr>
              <w:pStyle w:val="Bulletlevel1"/>
            </w:pPr>
            <w:r>
              <w:t>Người dùng lựa chọn một giá trị trong tập giá trị: Vốn của đơn vị, vốn vay, vốn nhận viện trợ ủy thác.</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Hợp đồng</w:t>
            </w:r>
          </w:p>
        </w:tc>
        <w:tc>
          <w:tcPr>
            <w:tcW w:w="6748" w:type="dxa"/>
            <w:vAlign w:val="center"/>
          </w:tcPr>
          <w:p w:rsidR="00D463C7" w:rsidRDefault="00D463C7" w:rsidP="0053306C">
            <w:pPr>
              <w:pStyle w:val="Bulletlevel1"/>
            </w:pPr>
            <w:r>
              <w:t>Là số hợp đồng tương ứng với nguồn vốn giải ngân.</w:t>
            </w:r>
          </w:p>
          <w:p w:rsidR="00D463C7" w:rsidRDefault="00D463C7" w:rsidP="0053306C">
            <w:pPr>
              <w:pStyle w:val="Bulletlevel1"/>
            </w:pPr>
            <w:r>
              <w:t>Nếu Loại nguồn vốn là Vốn vay, vốn nhận viện trợ ủy thác thì Hợp đồng bắt buộc phải nhập</w:t>
            </w:r>
          </w:p>
          <w:p w:rsidR="00D463C7" w:rsidRDefault="00D463C7" w:rsidP="0053306C">
            <w:pPr>
              <w:pStyle w:val="Bulletlevel1"/>
            </w:pPr>
            <w:r>
              <w:t>Nếu loại hợp đồng là vốn đơn vị thì ô hợp đồng để trắng.</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Bên cho vay</w:t>
            </w:r>
          </w:p>
        </w:tc>
        <w:tc>
          <w:tcPr>
            <w:tcW w:w="6748" w:type="dxa"/>
            <w:vAlign w:val="center"/>
          </w:tcPr>
          <w:p w:rsidR="00D463C7" w:rsidRDefault="00D463C7" w:rsidP="0053306C">
            <w:pPr>
              <w:pStyle w:val="Bulletlevel1"/>
            </w:pPr>
            <w:r>
              <w:t>Thông tin tự động hiển thị theo Hợp đồng</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Ngày vay</w:t>
            </w:r>
          </w:p>
        </w:tc>
        <w:tc>
          <w:tcPr>
            <w:tcW w:w="6748" w:type="dxa"/>
            <w:vAlign w:val="center"/>
          </w:tcPr>
          <w:p w:rsidR="00D463C7" w:rsidRDefault="00D463C7" w:rsidP="0053306C">
            <w:pPr>
              <w:pStyle w:val="Bulletlevel1"/>
            </w:pPr>
            <w:r>
              <w:t>Thông tin tự động hiển thị theo Hợp đồng</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Thời hạn</w:t>
            </w:r>
          </w:p>
        </w:tc>
        <w:tc>
          <w:tcPr>
            <w:tcW w:w="6748" w:type="dxa"/>
            <w:vAlign w:val="center"/>
          </w:tcPr>
          <w:p w:rsidR="00D463C7" w:rsidRDefault="00D463C7" w:rsidP="0053306C">
            <w:pPr>
              <w:pStyle w:val="Bulletlevel1"/>
            </w:pPr>
            <w:r>
              <w:t>Thông tin tự động hiển thị theo Hợp đồng</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Số tiền vay</w:t>
            </w:r>
          </w:p>
        </w:tc>
        <w:tc>
          <w:tcPr>
            <w:tcW w:w="6748" w:type="dxa"/>
            <w:vAlign w:val="center"/>
          </w:tcPr>
          <w:p w:rsidR="00D463C7" w:rsidRDefault="00D463C7" w:rsidP="0053306C">
            <w:pPr>
              <w:pStyle w:val="Bulletlevel1"/>
            </w:pPr>
            <w:r>
              <w:t>Là số tiền vay trong hợp đồng.</w:t>
            </w:r>
          </w:p>
          <w:p w:rsidR="00D463C7" w:rsidRDefault="00D463C7" w:rsidP="0053306C">
            <w:pPr>
              <w:pStyle w:val="Bulletlevel1"/>
            </w:pPr>
            <w:r>
              <w:t>Thông tin tự động hiển thị theo Hợp đồng</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Số tiền còn có thể cho vay</w:t>
            </w:r>
          </w:p>
        </w:tc>
        <w:tc>
          <w:tcPr>
            <w:tcW w:w="6748" w:type="dxa"/>
            <w:vAlign w:val="center"/>
          </w:tcPr>
          <w:p w:rsidR="00D463C7" w:rsidRDefault="00D463C7" w:rsidP="0053306C">
            <w:pPr>
              <w:pStyle w:val="Bulletlevel1"/>
            </w:pPr>
            <w:r>
              <w:t>Là số tiền của hợp đồng vay còn có thể sử dụng để giải ngân: Số tiền còn có thể giải ngân = số tiền vay - ∑ số tiền đã giải ngân bằng hợp đồng này.</w:t>
            </w:r>
          </w:p>
          <w:p w:rsidR="00D463C7" w:rsidRDefault="00D463C7" w:rsidP="0053306C">
            <w:pPr>
              <w:pStyle w:val="Bulletlevel1"/>
            </w:pPr>
            <w:r>
              <w:t>Thông tin tự động tính toán và hiển thị theo Hợp đồng</w:t>
            </w:r>
          </w:p>
        </w:tc>
      </w:tr>
      <w:tr w:rsidR="00D463C7" w:rsidTr="004533C2">
        <w:tc>
          <w:tcPr>
            <w:tcW w:w="9988" w:type="dxa"/>
            <w:gridSpan w:val="3"/>
          </w:tcPr>
          <w:p w:rsidR="00D463C7" w:rsidRPr="0053306C" w:rsidRDefault="00D463C7" w:rsidP="0053306C">
            <w:pPr>
              <w:rPr>
                <w:b/>
              </w:rPr>
            </w:pPr>
            <w:r w:rsidRPr="0053306C">
              <w:rPr>
                <w:b/>
              </w:rPr>
              <w:t>Lãi suất</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Mã lãi suất</w:t>
            </w:r>
          </w:p>
        </w:tc>
        <w:tc>
          <w:tcPr>
            <w:tcW w:w="6748" w:type="dxa"/>
            <w:vAlign w:val="center"/>
          </w:tcPr>
          <w:p w:rsidR="00D463C7" w:rsidRDefault="00D463C7" w:rsidP="0053306C">
            <w:pPr>
              <w:pStyle w:val="Bulletlevel1"/>
            </w:pPr>
            <w:r>
              <w:t>Nếu sản phẩm có gán Mã lãi suất hệ thống tự động hiển thị. Người dùng có thể sửa lại lãi suất này.</w:t>
            </w:r>
          </w:p>
          <w:p w:rsidR="00D463C7" w:rsidRDefault="00D463C7" w:rsidP="0053306C">
            <w:pPr>
              <w:pStyle w:val="Bulletlevel1"/>
            </w:pPr>
            <w:r>
              <w:t xml:space="preserve">Nếu sản phẩm không gán lãi suất, người dùng có thể nhập mã từ bàn phím hoặc chọn từ danh sách lãi suất. </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Biên độ</w:t>
            </w:r>
          </w:p>
        </w:tc>
        <w:tc>
          <w:tcPr>
            <w:tcW w:w="6748" w:type="dxa"/>
            <w:vAlign w:val="center"/>
          </w:tcPr>
          <w:p w:rsidR="00D463C7" w:rsidRDefault="00D463C7" w:rsidP="0053306C">
            <w:pPr>
              <w:pStyle w:val="Bulletlevel1"/>
            </w:pPr>
            <w:r>
              <w:t>Nếu sản phẩm có gán biên độ hệ thống tự động hiển thị. Người dùng có thể sửa lại.</w:t>
            </w:r>
          </w:p>
          <w:p w:rsidR="00D463C7" w:rsidRDefault="00D463C7" w:rsidP="0053306C">
            <w:pPr>
              <w:pStyle w:val="Bulletlevel1"/>
            </w:pPr>
            <w:r>
              <w:t>Nếu sản phẩm không gán lãi suất, người dùng tự nhập từ bàn phím.</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Loại lãi suất</w:t>
            </w:r>
          </w:p>
        </w:tc>
        <w:tc>
          <w:tcPr>
            <w:tcW w:w="6748" w:type="dxa"/>
            <w:vAlign w:val="center"/>
          </w:tcPr>
          <w:p w:rsidR="00D463C7" w:rsidRDefault="00D463C7" w:rsidP="0053306C">
            <w:pPr>
              <w:pStyle w:val="Bulletlevel1"/>
            </w:pPr>
            <w:r>
              <w:t>Nếu sản phẩm có gán loại lãi suất hệ thống tự động hiển thị. Người dùng có thể sửa lại.</w:t>
            </w:r>
          </w:p>
          <w:p w:rsidR="00D463C7" w:rsidRDefault="00D463C7" w:rsidP="0053306C">
            <w:pPr>
              <w:pStyle w:val="Bulletlevel1"/>
            </w:pPr>
            <w:r>
              <w:t>Nếu sản phẩm không gán lãi suất, người dùng tích chọn một trong hai giá trị:</w:t>
            </w:r>
          </w:p>
          <w:p w:rsidR="00D463C7" w:rsidRDefault="00D463C7" w:rsidP="0053306C">
            <w:pPr>
              <w:pStyle w:val="Bulletlevel2"/>
            </w:pPr>
            <w:r>
              <w:t>Cố định</w:t>
            </w:r>
          </w:p>
          <w:p w:rsidR="00D463C7" w:rsidRDefault="00D463C7" w:rsidP="0053306C">
            <w:pPr>
              <w:pStyle w:val="Bulletlevel2"/>
            </w:pPr>
            <w:r>
              <w:t>Thả nổi</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Lãi suất</w:t>
            </w:r>
          </w:p>
        </w:tc>
        <w:tc>
          <w:tcPr>
            <w:tcW w:w="6748" w:type="dxa"/>
            <w:vAlign w:val="center"/>
          </w:tcPr>
          <w:p w:rsidR="00D463C7" w:rsidRDefault="00D463C7" w:rsidP="0053306C">
            <w:pPr>
              <w:pStyle w:val="Bulletlevel1"/>
            </w:pPr>
            <w:r>
              <w:t>Nếu sản phẩm không gán lãi suất, người dùng tự nhập từ bàn phím.</w:t>
            </w:r>
          </w:p>
          <w:p w:rsidR="00D463C7" w:rsidRDefault="00D463C7" w:rsidP="0053306C">
            <w:pPr>
              <w:pStyle w:val="Bulletlevel2"/>
            </w:pPr>
            <w:r>
              <w:t xml:space="preserve">Lưu ý đối với loại lãi suất thả nổi, giá trị người dùng nhập chỉ có hiệu lực từ thời điểm mở hợp đồng đến định kỳ đánh giá lại lãi suất gần nhất (đối với loại lãi suất thả nổi có định kỳ đánh giá lại) hoặc đến khi key lãi suất thay đổi. </w:t>
            </w:r>
          </w:p>
          <w:p w:rsidR="00D463C7" w:rsidRDefault="00D463C7" w:rsidP="0053306C">
            <w:pPr>
              <w:pStyle w:val="Bulletlevel3"/>
            </w:pPr>
            <w:r>
              <w:t xml:space="preserve">Đối với loại lãi suất thả nổi có định kỳ đánh giá lại, khi giá trị của mã lãi suất thay đổi, lãi suất của hợp đồng thay đổi vào ngày đánh giá lại lãi suất chứ không phải ngày thay đổi giá trị lãi suất. </w:t>
            </w:r>
          </w:p>
          <w:p w:rsidR="00D463C7" w:rsidRDefault="00D463C7" w:rsidP="0053306C">
            <w:pPr>
              <w:pStyle w:val="Bulletlevel3"/>
            </w:pPr>
            <w:r>
              <w:t>Đối với loại lãi suất thả nổi không có định kỳ đánh giá lại, lãi suất của hợp đồng thay đổi ngay khi giá trị của mã lãi suất thay đổi.</w:t>
            </w:r>
          </w:p>
          <w:p w:rsidR="00D463C7" w:rsidRDefault="00D463C7" w:rsidP="0053306C">
            <w:pPr>
              <w:pStyle w:val="Bulletlevel1"/>
            </w:pPr>
            <w:r>
              <w:t>Nếu sản phẩm có gán lãi suất hệ thống tự động hiển thị: Giá trị của Lãi suất = Giá trị cụ thể quy định trong mã lãi suất + biên độ.</w:t>
            </w:r>
          </w:p>
          <w:p w:rsidR="00D463C7" w:rsidRDefault="00D463C7" w:rsidP="0053306C">
            <w:pPr>
              <w:pStyle w:val="Bulletlevel2"/>
            </w:pPr>
            <w:r>
              <w:t>Nếu mã lãi suất người dùng chọn là đường thẳng =&gt; Giá trị cụ thể quy định trong mã</w:t>
            </w:r>
          </w:p>
          <w:p w:rsidR="00D463C7" w:rsidRDefault="00D463C7" w:rsidP="0053306C">
            <w:pPr>
              <w:pStyle w:val="Bulletlevel2"/>
            </w:pPr>
            <w:r>
              <w:t>Nếu lãi suất người dùng chọn là bậc thang thì từ số tiền vay =&gt; Giá trị cụ thể của lãi suất</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Định kỳ đánh giá lại lãi suất</w:t>
            </w:r>
          </w:p>
        </w:tc>
        <w:tc>
          <w:tcPr>
            <w:tcW w:w="6748" w:type="dxa"/>
            <w:vAlign w:val="center"/>
          </w:tcPr>
          <w:p w:rsidR="00D463C7" w:rsidRDefault="00D463C7" w:rsidP="0053306C">
            <w:pPr>
              <w:pStyle w:val="Bulletlevel1"/>
            </w:pPr>
            <w:r>
              <w:t>Nếu sản phẩm không gán định kỳ đánh giá lại lãi suất, người dùng tự nhập từ bàn phím dạng số.</w:t>
            </w:r>
          </w:p>
          <w:p w:rsidR="00D463C7" w:rsidRDefault="00D463C7" w:rsidP="0053306C">
            <w:pPr>
              <w:pStyle w:val="Bulletlevel1"/>
            </w:pPr>
            <w:r>
              <w:t>Nếu sản phẩm có gán lãi suất hệ thống tự động hiển thị.</w:t>
            </w:r>
          </w:p>
          <w:p w:rsidR="00D463C7" w:rsidRDefault="00D463C7" w:rsidP="0053306C">
            <w:pPr>
              <w:pStyle w:val="Bulletlevel2"/>
            </w:pPr>
            <w:r>
              <w:t>Ngày đầu tiên đánh giá lại bằng Ngày lập hợp đồng + Tần suất được đánh giá lại.</w:t>
            </w:r>
          </w:p>
          <w:p w:rsidR="00D463C7" w:rsidRDefault="00D463C7" w:rsidP="0053306C">
            <w:pPr>
              <w:pStyle w:val="Bulletlevel2"/>
            </w:pPr>
            <w:r>
              <w:t>Nếu người dùng quy định tần suất đánh giá lại, thì khi giá trị của mã lãi suất thay đổi, thì tại ngày đánh giá lại lãi suất, giá trị lãi suất của hợp đồng bằng giá trị trong mã lãi suất + biên độ.</w:t>
            </w:r>
          </w:p>
          <w:p w:rsidR="00D463C7" w:rsidRDefault="00D463C7" w:rsidP="0053306C">
            <w:pPr>
              <w:pStyle w:val="Bulletlevel2"/>
            </w:pPr>
            <w:r>
              <w:t>Nếu không quy định tần suất đánh giá lai thì khi giá trị của mã lãi suất thay đổi, giá trị lãi suất của hợp đồng thay đổi theo = giá trị của mã lãi suất + biên độ.</w:t>
            </w:r>
          </w:p>
          <w:p w:rsidR="00D463C7" w:rsidRDefault="00D463C7" w:rsidP="0053306C">
            <w:pPr>
              <w:pStyle w:val="Bulletlevel1"/>
            </w:pPr>
            <w:r>
              <w:t>Chọn đơn vị thời gian trong Combo box:</w:t>
            </w:r>
          </w:p>
          <w:p w:rsidR="00D463C7" w:rsidRDefault="00D463C7" w:rsidP="0053306C">
            <w:pPr>
              <w:pStyle w:val="Bulletlevel2"/>
            </w:pPr>
            <w:r>
              <w:t>Ngày</w:t>
            </w:r>
          </w:p>
          <w:p w:rsidR="00D463C7" w:rsidRDefault="00D463C7" w:rsidP="0053306C">
            <w:pPr>
              <w:pStyle w:val="Bulletlevel2"/>
            </w:pPr>
            <w:r>
              <w:t>Tuần</w:t>
            </w:r>
          </w:p>
          <w:p w:rsidR="00D463C7" w:rsidRDefault="00D463C7" w:rsidP="0053306C">
            <w:pPr>
              <w:pStyle w:val="Bulletlevel2"/>
            </w:pPr>
            <w:r>
              <w:t>Tháng</w:t>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Hình thức trả gốc</w:t>
            </w:r>
          </w:p>
        </w:tc>
        <w:tc>
          <w:tcPr>
            <w:tcW w:w="6748" w:type="dxa"/>
            <w:vAlign w:val="center"/>
          </w:tcPr>
          <w:p w:rsidR="00D463C7" w:rsidRDefault="00D463C7" w:rsidP="0053306C">
            <w:pPr>
              <w:pStyle w:val="Bulletlevel1"/>
            </w:pPr>
            <w:r>
              <w:t>Chọn một trong các giá trị sau</w:t>
            </w:r>
          </w:p>
          <w:p w:rsidR="00D463C7" w:rsidRDefault="0012697D" w:rsidP="0012697D">
            <w:r>
              <w:rPr>
                <w:noProof/>
              </w:rPr>
              <w:drawing>
                <wp:inline distT="0" distB="0" distL="0" distR="0" wp14:anchorId="35FAB013" wp14:editId="31D52953">
                  <wp:extent cx="3066667" cy="666667"/>
                  <wp:effectExtent l="19050" t="19050" r="19685" b="196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6667" cy="666667"/>
                          </a:xfrm>
                          <a:prstGeom prst="rect">
                            <a:avLst/>
                          </a:prstGeom>
                          <a:ln>
                            <a:solidFill>
                              <a:schemeClr val="tx1">
                                <a:lumMod val="50000"/>
                                <a:lumOff val="50000"/>
                              </a:schemeClr>
                            </a:solidFill>
                          </a:ln>
                        </pic:spPr>
                      </pic:pic>
                    </a:graphicData>
                  </a:graphic>
                </wp:inline>
              </w:drawing>
            </w:r>
          </w:p>
        </w:tc>
      </w:tr>
      <w:tr w:rsidR="00D463C7" w:rsidTr="004533C2">
        <w:tc>
          <w:tcPr>
            <w:tcW w:w="720" w:type="dxa"/>
          </w:tcPr>
          <w:p w:rsidR="00D463C7" w:rsidRDefault="00D463C7" w:rsidP="00BC3ECE">
            <w:pPr>
              <w:pStyle w:val="ListParagraph"/>
              <w:numPr>
                <w:ilvl w:val="0"/>
                <w:numId w:val="44"/>
              </w:numPr>
              <w:jc w:val="center"/>
            </w:pPr>
          </w:p>
        </w:tc>
        <w:tc>
          <w:tcPr>
            <w:tcW w:w="2520" w:type="dxa"/>
            <w:vAlign w:val="center"/>
          </w:tcPr>
          <w:p w:rsidR="00D463C7" w:rsidRDefault="00D463C7" w:rsidP="004533C2">
            <w:r>
              <w:t>Hình thức trả lãi</w:t>
            </w:r>
          </w:p>
        </w:tc>
        <w:tc>
          <w:tcPr>
            <w:tcW w:w="6748" w:type="dxa"/>
            <w:vAlign w:val="center"/>
          </w:tcPr>
          <w:p w:rsidR="00D463C7" w:rsidRDefault="00D463C7" w:rsidP="0053306C">
            <w:pPr>
              <w:pStyle w:val="Bulletlevel1"/>
            </w:pPr>
            <w:r>
              <w:t>Chọn một trong các giá trị sau:</w:t>
            </w:r>
          </w:p>
          <w:p w:rsidR="00D463C7" w:rsidRDefault="0012697D" w:rsidP="0012697D">
            <w:r>
              <w:rPr>
                <w:noProof/>
              </w:rPr>
              <w:drawing>
                <wp:inline distT="0" distB="0" distL="0" distR="0" wp14:anchorId="366F87B6" wp14:editId="1E2C7C25">
                  <wp:extent cx="3085714" cy="857143"/>
                  <wp:effectExtent l="19050" t="19050" r="19685"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5714" cy="857143"/>
                          </a:xfrm>
                          <a:prstGeom prst="rect">
                            <a:avLst/>
                          </a:prstGeom>
                          <a:ln>
                            <a:solidFill>
                              <a:schemeClr val="tx1">
                                <a:lumMod val="50000"/>
                                <a:lumOff val="50000"/>
                              </a:schemeClr>
                            </a:solidFill>
                          </a:ln>
                        </pic:spPr>
                      </pic:pic>
                    </a:graphicData>
                  </a:graphic>
                </wp:inline>
              </w:drawing>
            </w:r>
          </w:p>
        </w:tc>
      </w:tr>
    </w:tbl>
    <w:p w:rsidR="00D463C7" w:rsidRDefault="00D463C7" w:rsidP="00D463C7">
      <w:pPr>
        <w:pStyle w:val="Heading6"/>
      </w:pPr>
      <w:r>
        <w:t>Thẻ Lịch trả nợ</w:t>
      </w:r>
    </w:p>
    <w:p w:rsidR="00D463C7" w:rsidRDefault="00112042" w:rsidP="00403A07">
      <w:pPr>
        <w:pStyle w:val="TOC1"/>
        <w:rPr>
          <w:noProof/>
        </w:rPr>
      </w:pPr>
      <w:r>
        <w:rPr>
          <w:noProof/>
        </w:rPr>
        <w:drawing>
          <wp:inline distT="0" distB="0" distL="0" distR="0" wp14:anchorId="4FA61C5A" wp14:editId="6F610A70">
            <wp:extent cx="6364605" cy="3140075"/>
            <wp:effectExtent l="19050" t="19050" r="17145" b="222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64605" cy="3140075"/>
                    </a:xfrm>
                    <a:prstGeom prst="rect">
                      <a:avLst/>
                    </a:prstGeom>
                    <a:ln>
                      <a:solidFill>
                        <a:schemeClr val="tx1">
                          <a:lumMod val="50000"/>
                          <a:lumOff val="50000"/>
                        </a:schemeClr>
                      </a:solidFill>
                    </a:ln>
                  </pic:spPr>
                </pic:pic>
              </a:graphicData>
            </a:graphic>
          </wp:inline>
        </w:drawing>
      </w:r>
    </w:p>
    <w:p w:rsidR="00D463C7" w:rsidRDefault="00D463C7" w:rsidP="00403A07">
      <w:pPr>
        <w:pStyle w:val="NumberTable"/>
      </w:pPr>
      <w:r>
        <w:t>Lịch trả nợ - Khế ước</w:t>
      </w:r>
    </w:p>
    <w:tbl>
      <w:tblPr>
        <w:tblStyle w:val="TableGrid"/>
        <w:tblW w:w="9900" w:type="dxa"/>
        <w:tblInd w:w="108" w:type="dxa"/>
        <w:tblLook w:val="04A0" w:firstRow="1" w:lastRow="0" w:firstColumn="1" w:lastColumn="0" w:noHBand="0" w:noVBand="1"/>
      </w:tblPr>
      <w:tblGrid>
        <w:gridCol w:w="632"/>
        <w:gridCol w:w="2520"/>
        <w:gridCol w:w="6748"/>
      </w:tblGrid>
      <w:tr w:rsidR="00D463C7" w:rsidRPr="00ED7498" w:rsidTr="004533C2">
        <w:tc>
          <w:tcPr>
            <w:tcW w:w="632" w:type="dxa"/>
            <w:shd w:val="clear" w:color="auto" w:fill="D9D9D9" w:themeFill="background1" w:themeFillShade="D9"/>
          </w:tcPr>
          <w:p w:rsidR="00D463C7" w:rsidRPr="00ED7498" w:rsidRDefault="00D463C7" w:rsidP="004533C2">
            <w:pPr>
              <w:jc w:val="center"/>
              <w:rPr>
                <w:b/>
              </w:rPr>
            </w:pPr>
            <w:r w:rsidRPr="00ED7498">
              <w:rPr>
                <w:b/>
              </w:rPr>
              <w:t>STT</w:t>
            </w:r>
          </w:p>
        </w:tc>
        <w:tc>
          <w:tcPr>
            <w:tcW w:w="2520" w:type="dxa"/>
            <w:shd w:val="clear" w:color="auto" w:fill="D9D9D9" w:themeFill="background1" w:themeFillShade="D9"/>
          </w:tcPr>
          <w:p w:rsidR="00D463C7" w:rsidRPr="00ED7498" w:rsidRDefault="00D463C7" w:rsidP="004533C2">
            <w:pPr>
              <w:jc w:val="center"/>
              <w:rPr>
                <w:b/>
              </w:rPr>
            </w:pPr>
            <w:r>
              <w:rPr>
                <w:b/>
              </w:rPr>
              <w:t>Tên trường</w:t>
            </w:r>
          </w:p>
        </w:tc>
        <w:tc>
          <w:tcPr>
            <w:tcW w:w="6748" w:type="dxa"/>
            <w:shd w:val="clear" w:color="auto" w:fill="D9D9D9" w:themeFill="background1" w:themeFillShade="D9"/>
          </w:tcPr>
          <w:p w:rsidR="00D463C7" w:rsidRPr="00ED7498" w:rsidRDefault="00D463C7" w:rsidP="004533C2">
            <w:pPr>
              <w:jc w:val="center"/>
              <w:rPr>
                <w:b/>
              </w:rPr>
            </w:pPr>
            <w:r w:rsidRPr="00ED7498">
              <w:rPr>
                <w:b/>
              </w:rPr>
              <w:t>Diễn giải</w:t>
            </w:r>
          </w:p>
        </w:tc>
      </w:tr>
      <w:tr w:rsidR="00D463C7" w:rsidRPr="00ED7498" w:rsidTr="004533C2">
        <w:tc>
          <w:tcPr>
            <w:tcW w:w="9900" w:type="dxa"/>
            <w:gridSpan w:val="3"/>
          </w:tcPr>
          <w:p w:rsidR="00D463C7" w:rsidRPr="00002FCE" w:rsidRDefault="00D463C7" w:rsidP="00002FCE">
            <w:pPr>
              <w:jc w:val="left"/>
              <w:rPr>
                <w:b/>
              </w:rPr>
            </w:pPr>
            <w:r w:rsidRPr="00002FCE">
              <w:rPr>
                <w:b/>
              </w:rPr>
              <w:t>Thông tin lập lịch</w:t>
            </w:r>
          </w:p>
        </w:tc>
      </w:tr>
      <w:tr w:rsidR="00D463C7" w:rsidTr="004533C2">
        <w:tc>
          <w:tcPr>
            <w:tcW w:w="632" w:type="dxa"/>
          </w:tcPr>
          <w:p w:rsidR="00D463C7" w:rsidRDefault="00D463C7" w:rsidP="00BC3ECE">
            <w:pPr>
              <w:pStyle w:val="ListParagraph"/>
              <w:numPr>
                <w:ilvl w:val="0"/>
                <w:numId w:val="43"/>
              </w:numPr>
              <w:jc w:val="center"/>
            </w:pPr>
          </w:p>
        </w:tc>
        <w:tc>
          <w:tcPr>
            <w:tcW w:w="2520" w:type="dxa"/>
            <w:vAlign w:val="center"/>
          </w:tcPr>
          <w:p w:rsidR="00D463C7" w:rsidRDefault="00D463C7" w:rsidP="004533C2">
            <w:r>
              <w:t>Nguyên nhân thay đổi lịch trả nợ</w:t>
            </w:r>
          </w:p>
        </w:tc>
        <w:tc>
          <w:tcPr>
            <w:tcW w:w="6748" w:type="dxa"/>
            <w:vAlign w:val="center"/>
          </w:tcPr>
          <w:p w:rsidR="00D463C7" w:rsidRDefault="00D463C7" w:rsidP="008C2253">
            <w:pPr>
              <w:pStyle w:val="Bulletlevel1"/>
            </w:pPr>
            <w:r>
              <w:t>Lập lịch khi lập khế ước không có thông tin này.</w:t>
            </w:r>
          </w:p>
          <w:p w:rsidR="00D463C7" w:rsidRDefault="00D463C7" w:rsidP="008C2253">
            <w:pPr>
              <w:pStyle w:val="Bulletlevel1"/>
            </w:pPr>
            <w:r>
              <w:t>Trong khoảng thời gian kể từ lúc mở khế ước đến lúc tất toán khế ước. Có những nguyên nhân sau dẫn đến thay đổi lịch trả nợ:</w:t>
            </w:r>
          </w:p>
          <w:p w:rsidR="00D463C7" w:rsidRDefault="00D463C7" w:rsidP="008C2253">
            <w:pPr>
              <w:pStyle w:val="Bulletlevel2"/>
            </w:pPr>
            <w:r>
              <w:t>Điều chỉnh lãi suất</w:t>
            </w:r>
          </w:p>
          <w:p w:rsidR="00D463C7" w:rsidRDefault="00D463C7" w:rsidP="008C2253">
            <w:pPr>
              <w:pStyle w:val="Bulletlevel2"/>
            </w:pPr>
            <w:r>
              <w:t>Điều chỉnh kỳ hạn trả nợ</w:t>
            </w:r>
          </w:p>
          <w:p w:rsidR="00D463C7" w:rsidRDefault="00D463C7" w:rsidP="008C2253">
            <w:pPr>
              <w:pStyle w:val="Bulletlevel2"/>
            </w:pPr>
            <w:r>
              <w:t>Nợ quá hạn</w:t>
            </w:r>
          </w:p>
          <w:p w:rsidR="00D463C7" w:rsidRDefault="00D463C7" w:rsidP="008C2253">
            <w:pPr>
              <w:pStyle w:val="Bulletlevel2"/>
            </w:pPr>
            <w:r>
              <w:t>Trả nợ trước hạn</w:t>
            </w:r>
          </w:p>
        </w:tc>
      </w:tr>
      <w:tr w:rsidR="00112042" w:rsidTr="004533C2">
        <w:tc>
          <w:tcPr>
            <w:tcW w:w="632" w:type="dxa"/>
          </w:tcPr>
          <w:p w:rsidR="00112042" w:rsidRDefault="00112042" w:rsidP="00BC3ECE">
            <w:pPr>
              <w:pStyle w:val="ListParagraph"/>
              <w:numPr>
                <w:ilvl w:val="0"/>
                <w:numId w:val="43"/>
              </w:numPr>
              <w:jc w:val="center"/>
            </w:pPr>
          </w:p>
        </w:tc>
        <w:tc>
          <w:tcPr>
            <w:tcW w:w="2520" w:type="dxa"/>
            <w:vAlign w:val="center"/>
          </w:tcPr>
          <w:p w:rsidR="00112042" w:rsidRDefault="00112042" w:rsidP="004533C2">
            <w:r>
              <w:t>Ngày bắt đầu trả nợ</w:t>
            </w:r>
          </w:p>
        </w:tc>
        <w:tc>
          <w:tcPr>
            <w:tcW w:w="6748" w:type="dxa"/>
            <w:vAlign w:val="center"/>
          </w:tcPr>
          <w:p w:rsidR="00112042" w:rsidRDefault="00112042" w:rsidP="008C2253">
            <w:pPr>
              <w:pStyle w:val="Bulletlevel1"/>
            </w:pPr>
            <w:r>
              <w:t>Chọn ngày bắt đầu trả nợ trong lịch,</w:t>
            </w:r>
            <w:r w:rsidR="004F7A1B">
              <w:t xml:space="preserve"> ngày bắt đầu trả nợ phải thuộc ngày thu vốn đã được thiết lập cho ấp tại lịch thu phát vốn.</w:t>
            </w:r>
          </w:p>
        </w:tc>
      </w:tr>
      <w:tr w:rsidR="00D463C7" w:rsidTr="004533C2">
        <w:tc>
          <w:tcPr>
            <w:tcW w:w="9900" w:type="dxa"/>
            <w:gridSpan w:val="3"/>
          </w:tcPr>
          <w:p w:rsidR="00D463C7" w:rsidRPr="004F7A1B" w:rsidRDefault="00D463C7" w:rsidP="004F7A1B">
            <w:pPr>
              <w:rPr>
                <w:b/>
              </w:rPr>
            </w:pPr>
            <w:r w:rsidRPr="004F7A1B">
              <w:rPr>
                <w:b/>
              </w:rPr>
              <w:t>Lập lịch trả gốc</w:t>
            </w:r>
          </w:p>
        </w:tc>
      </w:tr>
      <w:tr w:rsidR="00D463C7" w:rsidTr="004533C2">
        <w:tc>
          <w:tcPr>
            <w:tcW w:w="632" w:type="dxa"/>
          </w:tcPr>
          <w:p w:rsidR="00D463C7" w:rsidRDefault="00D463C7" w:rsidP="00BC3ECE">
            <w:pPr>
              <w:pStyle w:val="ListParagraph"/>
              <w:numPr>
                <w:ilvl w:val="0"/>
                <w:numId w:val="43"/>
              </w:numPr>
              <w:jc w:val="center"/>
            </w:pPr>
          </w:p>
        </w:tc>
        <w:tc>
          <w:tcPr>
            <w:tcW w:w="2520" w:type="dxa"/>
            <w:vAlign w:val="center"/>
          </w:tcPr>
          <w:p w:rsidR="00D463C7" w:rsidRDefault="00D463C7" w:rsidP="004533C2">
            <w:r>
              <w:t>Hình thức trả gốc</w:t>
            </w:r>
          </w:p>
        </w:tc>
        <w:tc>
          <w:tcPr>
            <w:tcW w:w="6748" w:type="dxa"/>
            <w:vAlign w:val="center"/>
          </w:tcPr>
          <w:p w:rsidR="00D463C7" w:rsidRDefault="00D463C7" w:rsidP="009439FE">
            <w:pPr>
              <w:pStyle w:val="Bulletlevel1"/>
            </w:pPr>
            <w:r>
              <w:t>Tự hiển thị theo thông tin nhập tại tab thông tin chung và người dùng không được sửa lại</w:t>
            </w:r>
          </w:p>
        </w:tc>
      </w:tr>
      <w:tr w:rsidR="00D463C7" w:rsidTr="004533C2">
        <w:tc>
          <w:tcPr>
            <w:tcW w:w="632" w:type="dxa"/>
          </w:tcPr>
          <w:p w:rsidR="00D463C7" w:rsidRDefault="00D463C7" w:rsidP="00BC3ECE">
            <w:pPr>
              <w:pStyle w:val="ListParagraph"/>
              <w:numPr>
                <w:ilvl w:val="0"/>
                <w:numId w:val="43"/>
              </w:numPr>
              <w:jc w:val="center"/>
            </w:pPr>
          </w:p>
        </w:tc>
        <w:tc>
          <w:tcPr>
            <w:tcW w:w="2520" w:type="dxa"/>
            <w:vAlign w:val="center"/>
          </w:tcPr>
          <w:p w:rsidR="00D463C7" w:rsidRDefault="00D463C7" w:rsidP="004533C2">
            <w:r>
              <w:t>Ngày bắt đầu trả gốc</w:t>
            </w:r>
          </w:p>
        </w:tc>
        <w:tc>
          <w:tcPr>
            <w:tcW w:w="6748" w:type="dxa"/>
            <w:vAlign w:val="center"/>
          </w:tcPr>
          <w:p w:rsidR="00D463C7" w:rsidRDefault="00D463C7" w:rsidP="009439FE">
            <w:pPr>
              <w:pStyle w:val="Bulletlevel1"/>
            </w:pPr>
            <w:r>
              <w:t>Ngày bắt đầu trả gốc phải  trùng với ngày họp cụm, nhóm Khoảng cách từ ngày giải ngân đến bắt đầu trả gốc phải ≥ Giá trị của tham số Khoảng thời gian tính từ ngày phát vốn đến ngày bắt đầu trả gốc.</w:t>
            </w:r>
          </w:p>
        </w:tc>
      </w:tr>
      <w:tr w:rsidR="004F7A1B" w:rsidTr="004533C2">
        <w:tc>
          <w:tcPr>
            <w:tcW w:w="632" w:type="dxa"/>
          </w:tcPr>
          <w:p w:rsidR="004F7A1B" w:rsidRDefault="004F7A1B" w:rsidP="00BC3ECE">
            <w:pPr>
              <w:pStyle w:val="ListParagraph"/>
              <w:numPr>
                <w:ilvl w:val="0"/>
                <w:numId w:val="43"/>
              </w:numPr>
              <w:jc w:val="center"/>
            </w:pPr>
          </w:p>
        </w:tc>
        <w:tc>
          <w:tcPr>
            <w:tcW w:w="2520" w:type="dxa"/>
            <w:vAlign w:val="center"/>
          </w:tcPr>
          <w:p w:rsidR="004F7A1B" w:rsidRDefault="004F7A1B" w:rsidP="004533C2">
            <w:r>
              <w:t>Số kỳ</w:t>
            </w:r>
          </w:p>
        </w:tc>
        <w:tc>
          <w:tcPr>
            <w:tcW w:w="6748" w:type="dxa"/>
            <w:vAlign w:val="center"/>
          </w:tcPr>
          <w:p w:rsidR="004F7A1B" w:rsidRDefault="004F7A1B" w:rsidP="009439FE">
            <w:pPr>
              <w:pStyle w:val="Bulletlevel1"/>
            </w:pPr>
            <w:r>
              <w:t xml:space="preserve">Nhập </w:t>
            </w:r>
            <w:r w:rsidR="009439FE">
              <w:t>số kỳ để quy định tần suất.</w:t>
            </w:r>
          </w:p>
        </w:tc>
      </w:tr>
      <w:tr w:rsidR="00D463C7" w:rsidTr="004533C2">
        <w:tc>
          <w:tcPr>
            <w:tcW w:w="632" w:type="dxa"/>
          </w:tcPr>
          <w:p w:rsidR="00D463C7" w:rsidRDefault="00D463C7" w:rsidP="00BC3ECE">
            <w:pPr>
              <w:pStyle w:val="ListParagraph"/>
              <w:numPr>
                <w:ilvl w:val="0"/>
                <w:numId w:val="43"/>
              </w:numPr>
              <w:jc w:val="center"/>
            </w:pPr>
          </w:p>
        </w:tc>
        <w:tc>
          <w:tcPr>
            <w:tcW w:w="2520" w:type="dxa"/>
            <w:vAlign w:val="center"/>
          </w:tcPr>
          <w:p w:rsidR="00D463C7" w:rsidRDefault="00D463C7" w:rsidP="004533C2">
            <w:r>
              <w:t>Tần suất</w:t>
            </w:r>
          </w:p>
        </w:tc>
        <w:tc>
          <w:tcPr>
            <w:tcW w:w="6748" w:type="dxa"/>
            <w:vAlign w:val="center"/>
          </w:tcPr>
          <w:p w:rsidR="00D463C7" w:rsidRDefault="00D463C7" w:rsidP="009439FE">
            <w:pPr>
              <w:pStyle w:val="Bulletlevel1"/>
            </w:pPr>
            <w:r>
              <w:t xml:space="preserve">Nếu hình thức trả gốc là định kỳ, người dùng nhập tần suất: có ý nghĩa bao nhiêu kỳ sẽ trả một lần. </w:t>
            </w:r>
          </w:p>
        </w:tc>
      </w:tr>
      <w:tr w:rsidR="00D463C7" w:rsidTr="004533C2">
        <w:tc>
          <w:tcPr>
            <w:tcW w:w="9900" w:type="dxa"/>
            <w:gridSpan w:val="3"/>
          </w:tcPr>
          <w:p w:rsidR="00D463C7" w:rsidRPr="009439FE" w:rsidRDefault="00D463C7" w:rsidP="009439FE">
            <w:pPr>
              <w:rPr>
                <w:b/>
              </w:rPr>
            </w:pPr>
            <w:r w:rsidRPr="009439FE">
              <w:rPr>
                <w:b/>
              </w:rPr>
              <w:t>Lập lịch trả lãi</w:t>
            </w:r>
          </w:p>
        </w:tc>
      </w:tr>
      <w:tr w:rsidR="00D463C7" w:rsidTr="004533C2">
        <w:tc>
          <w:tcPr>
            <w:tcW w:w="632" w:type="dxa"/>
          </w:tcPr>
          <w:p w:rsidR="00D463C7" w:rsidRDefault="00D463C7" w:rsidP="00BC3ECE">
            <w:pPr>
              <w:pStyle w:val="ListParagraph"/>
              <w:numPr>
                <w:ilvl w:val="0"/>
                <w:numId w:val="43"/>
              </w:numPr>
              <w:jc w:val="center"/>
            </w:pPr>
          </w:p>
        </w:tc>
        <w:tc>
          <w:tcPr>
            <w:tcW w:w="2520" w:type="dxa"/>
            <w:vAlign w:val="center"/>
          </w:tcPr>
          <w:p w:rsidR="00D463C7" w:rsidRDefault="00D463C7" w:rsidP="004533C2">
            <w:r>
              <w:t>Hình thức trả lãi</w:t>
            </w:r>
          </w:p>
        </w:tc>
        <w:tc>
          <w:tcPr>
            <w:tcW w:w="6748" w:type="dxa"/>
            <w:vAlign w:val="center"/>
          </w:tcPr>
          <w:p w:rsidR="00D463C7" w:rsidRDefault="00D463C7" w:rsidP="009439FE">
            <w:pPr>
              <w:pStyle w:val="Bulletlevel1"/>
            </w:pPr>
            <w:r>
              <w:t>Tự hiển thị theo thông tin đã nhập tại tab thông tin chung và người dùng không được sửa lại.</w:t>
            </w:r>
          </w:p>
        </w:tc>
      </w:tr>
      <w:tr w:rsidR="00D463C7" w:rsidTr="004533C2">
        <w:tc>
          <w:tcPr>
            <w:tcW w:w="632" w:type="dxa"/>
          </w:tcPr>
          <w:p w:rsidR="00D463C7" w:rsidRDefault="00D463C7" w:rsidP="00BC3ECE">
            <w:pPr>
              <w:pStyle w:val="ListParagraph"/>
              <w:numPr>
                <w:ilvl w:val="0"/>
                <w:numId w:val="43"/>
              </w:numPr>
              <w:jc w:val="center"/>
            </w:pPr>
          </w:p>
        </w:tc>
        <w:tc>
          <w:tcPr>
            <w:tcW w:w="2520" w:type="dxa"/>
            <w:vAlign w:val="center"/>
          </w:tcPr>
          <w:p w:rsidR="00D463C7" w:rsidRDefault="00D463C7" w:rsidP="004533C2">
            <w:r>
              <w:t>Ngày bắt đầu trả lãi</w:t>
            </w:r>
          </w:p>
        </w:tc>
        <w:tc>
          <w:tcPr>
            <w:tcW w:w="6748" w:type="dxa"/>
            <w:vAlign w:val="center"/>
          </w:tcPr>
          <w:p w:rsidR="00D463C7" w:rsidRDefault="00D463C7" w:rsidP="009439FE">
            <w:pPr>
              <w:pStyle w:val="Bulletlevel1"/>
            </w:pPr>
            <w:r>
              <w:t>Ngày bắt đầu trả lãi phải  trùng với ngày họp cụm, nhóm Khoảng cách từ ngày giải ngân đến bắt đầu trả lãi phải ≥ Giá trị của tham số Khoảng thời gian tính từ ngày phát vốn đến ngày bắt đầu trả lãi.</w:t>
            </w:r>
          </w:p>
        </w:tc>
      </w:tr>
      <w:tr w:rsidR="00D463C7" w:rsidTr="004533C2">
        <w:tc>
          <w:tcPr>
            <w:tcW w:w="632" w:type="dxa"/>
          </w:tcPr>
          <w:p w:rsidR="00D463C7" w:rsidRDefault="00D463C7" w:rsidP="00BC3ECE">
            <w:pPr>
              <w:pStyle w:val="ListParagraph"/>
              <w:numPr>
                <w:ilvl w:val="0"/>
                <w:numId w:val="43"/>
              </w:numPr>
              <w:jc w:val="center"/>
            </w:pPr>
          </w:p>
        </w:tc>
        <w:tc>
          <w:tcPr>
            <w:tcW w:w="2520" w:type="dxa"/>
            <w:vAlign w:val="center"/>
          </w:tcPr>
          <w:p w:rsidR="00D463C7" w:rsidRDefault="00D463C7" w:rsidP="004533C2">
            <w:r>
              <w:t>Tần suất</w:t>
            </w:r>
          </w:p>
        </w:tc>
        <w:tc>
          <w:tcPr>
            <w:tcW w:w="6748" w:type="dxa"/>
            <w:vAlign w:val="center"/>
          </w:tcPr>
          <w:p w:rsidR="00D463C7" w:rsidRDefault="00D463C7" w:rsidP="009439FE">
            <w:pPr>
              <w:pStyle w:val="Bulletlevel1"/>
            </w:pPr>
            <w:r>
              <w:t>Nếu hình thức trả lãi là định kỳ, người dùng nhập tần suất: có ý nghĩa bao nhiêu kỳ sẽ trả một lần.</w:t>
            </w:r>
          </w:p>
        </w:tc>
      </w:tr>
      <w:tr w:rsidR="00D463C7" w:rsidTr="004533C2">
        <w:tc>
          <w:tcPr>
            <w:tcW w:w="632" w:type="dxa"/>
          </w:tcPr>
          <w:p w:rsidR="00D463C7" w:rsidRDefault="00D463C7" w:rsidP="00BC3ECE">
            <w:pPr>
              <w:pStyle w:val="ListParagraph"/>
              <w:numPr>
                <w:ilvl w:val="0"/>
                <w:numId w:val="43"/>
              </w:numPr>
              <w:jc w:val="center"/>
            </w:pPr>
          </w:p>
        </w:tc>
        <w:tc>
          <w:tcPr>
            <w:tcW w:w="2520" w:type="dxa"/>
            <w:vAlign w:val="center"/>
          </w:tcPr>
          <w:p w:rsidR="00D463C7" w:rsidRDefault="00D463C7" w:rsidP="004533C2">
            <w:r>
              <w:t xml:space="preserve">Nút </w:t>
            </w:r>
            <w:r>
              <w:rPr>
                <w:noProof/>
              </w:rPr>
              <w:drawing>
                <wp:inline distT="0" distB="0" distL="0" distR="0" wp14:anchorId="7FB388CA" wp14:editId="259397EF">
                  <wp:extent cx="971429" cy="238095"/>
                  <wp:effectExtent l="0" t="0" r="635"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71429" cy="238095"/>
                          </a:xfrm>
                          <a:prstGeom prst="rect">
                            <a:avLst/>
                          </a:prstGeom>
                        </pic:spPr>
                      </pic:pic>
                    </a:graphicData>
                  </a:graphic>
                </wp:inline>
              </w:drawing>
            </w:r>
          </w:p>
        </w:tc>
        <w:tc>
          <w:tcPr>
            <w:tcW w:w="6748" w:type="dxa"/>
            <w:vAlign w:val="center"/>
          </w:tcPr>
          <w:p w:rsidR="00D463C7" w:rsidRDefault="00D463C7" w:rsidP="009439FE">
            <w:pPr>
              <w:pStyle w:val="Bulletlevel1"/>
            </w:pPr>
            <w:r>
              <w:t>Dựa vào những thông tin đã nhập tại phần “Thông tin lập lịch”, hệ thống tính toán giá trị trong bảng Lịch trả nợ.</w:t>
            </w:r>
          </w:p>
        </w:tc>
      </w:tr>
      <w:tr w:rsidR="00D463C7" w:rsidTr="004533C2">
        <w:tc>
          <w:tcPr>
            <w:tcW w:w="632" w:type="dxa"/>
          </w:tcPr>
          <w:p w:rsidR="00D463C7" w:rsidRDefault="00D463C7" w:rsidP="00BC3ECE">
            <w:pPr>
              <w:pStyle w:val="ListParagraph"/>
              <w:numPr>
                <w:ilvl w:val="0"/>
                <w:numId w:val="43"/>
              </w:numPr>
              <w:jc w:val="center"/>
            </w:pPr>
          </w:p>
        </w:tc>
        <w:tc>
          <w:tcPr>
            <w:tcW w:w="2520" w:type="dxa"/>
            <w:vAlign w:val="center"/>
          </w:tcPr>
          <w:p w:rsidR="00D463C7" w:rsidRDefault="00D463C7" w:rsidP="004533C2">
            <w:r>
              <w:t>Lưới danh sách lịch trả nợ</w:t>
            </w:r>
          </w:p>
        </w:tc>
        <w:tc>
          <w:tcPr>
            <w:tcW w:w="6748" w:type="dxa"/>
            <w:vAlign w:val="center"/>
          </w:tcPr>
          <w:p w:rsidR="00D463C7" w:rsidRDefault="00D463C7" w:rsidP="009439FE">
            <w:pPr>
              <w:pStyle w:val="Bulletlevel1"/>
            </w:pPr>
            <w:r>
              <w:t xml:space="preserve">Các cột bao gồm: </w:t>
            </w:r>
          </w:p>
          <w:p w:rsidR="00D463C7" w:rsidRDefault="00D463C7" w:rsidP="009439FE">
            <w:pPr>
              <w:pStyle w:val="Bulletlevel2"/>
            </w:pPr>
            <w:r>
              <w:t>Kỳ: hiển thị số thứ tự kỳ trả: kỳ 1…kỳ n</w:t>
            </w:r>
          </w:p>
          <w:p w:rsidR="00D463C7" w:rsidRDefault="00D463C7" w:rsidP="009439FE">
            <w:pPr>
              <w:pStyle w:val="Bulletlevel2"/>
            </w:pPr>
            <w:r>
              <w:t>Ngày trả: Hiển thị ngày trả nợ của từng kỳ. Hệ thống căn cứ vào ngày bắt đầu trả gốc/lãi và tần suất trả gốc lãi để tính xác định ngày trả nợ.</w:t>
            </w:r>
          </w:p>
          <w:p w:rsidR="00D463C7" w:rsidRDefault="00D463C7" w:rsidP="009439FE">
            <w:pPr>
              <w:pStyle w:val="Bulletlevel2"/>
            </w:pPr>
            <w:r>
              <w:t>Trả gốc: Gốc phải trả từng kỳ</w:t>
            </w:r>
          </w:p>
          <w:p w:rsidR="00D463C7" w:rsidRDefault="00D463C7" w:rsidP="009439FE">
            <w:pPr>
              <w:pStyle w:val="Bulletlevel2"/>
            </w:pPr>
            <w:r>
              <w:t>Trả lãi/ phí: Lãi/phí phải trả</w:t>
            </w:r>
          </w:p>
          <w:p w:rsidR="00D463C7" w:rsidRDefault="00D463C7" w:rsidP="009439FE">
            <w:pPr>
              <w:pStyle w:val="Bulletlevel2"/>
            </w:pPr>
            <w:r>
              <w:t>Cộng = Gốc + Lãi/Phí</w:t>
            </w:r>
          </w:p>
          <w:p w:rsidR="00D463C7" w:rsidRDefault="00D463C7" w:rsidP="009439FE">
            <w:pPr>
              <w:pStyle w:val="Bulletlevel2"/>
            </w:pPr>
            <w:r>
              <w:t>Dư gốc = Dư gốc kỳ trước – Gốc trả kỳ này</w:t>
            </w:r>
          </w:p>
          <w:p w:rsidR="00D463C7" w:rsidRDefault="00D463C7" w:rsidP="009439FE">
            <w:pPr>
              <w:pStyle w:val="Bulletlevel2"/>
            </w:pPr>
            <w:r>
              <w:t>Dư lãi = Dư lãi kỳ trước – Lãi trả kỳ này</w:t>
            </w:r>
          </w:p>
        </w:tc>
      </w:tr>
      <w:tr w:rsidR="00D463C7" w:rsidTr="004533C2">
        <w:tc>
          <w:tcPr>
            <w:tcW w:w="632" w:type="dxa"/>
          </w:tcPr>
          <w:p w:rsidR="00D463C7" w:rsidRDefault="00D463C7" w:rsidP="00BC3ECE">
            <w:pPr>
              <w:pStyle w:val="ListParagraph"/>
              <w:numPr>
                <w:ilvl w:val="0"/>
                <w:numId w:val="43"/>
              </w:numPr>
              <w:jc w:val="center"/>
            </w:pPr>
          </w:p>
        </w:tc>
        <w:tc>
          <w:tcPr>
            <w:tcW w:w="2520" w:type="dxa"/>
            <w:vAlign w:val="center"/>
          </w:tcPr>
          <w:p w:rsidR="00D463C7" w:rsidRDefault="00D463C7" w:rsidP="004533C2">
            <w:r>
              <w:t>Tình trạng trả nợ</w:t>
            </w:r>
          </w:p>
        </w:tc>
        <w:tc>
          <w:tcPr>
            <w:tcW w:w="6748" w:type="dxa"/>
            <w:vAlign w:val="center"/>
          </w:tcPr>
          <w:p w:rsidR="00D463C7" w:rsidRDefault="00D463C7" w:rsidP="009439FE">
            <w:pPr>
              <w:pStyle w:val="Bulletlevel1"/>
            </w:pPr>
            <w:r>
              <w:t>Kế hoạch: Hiển thị thông tin kế hoạch đã lập</w:t>
            </w:r>
          </w:p>
          <w:p w:rsidR="00D463C7" w:rsidRDefault="00D463C7" w:rsidP="009439FE">
            <w:pPr>
              <w:pStyle w:val="Bulletlevel1"/>
            </w:pPr>
            <w:r>
              <w:t>Thực trả: Căn cứ vào tình hình trả nợ trong các nghiệp vụ thu tiền kỳ hay trả nợ trước hạn, hệ thống cập nhật tình hình thực trả của khế ước.</w:t>
            </w:r>
          </w:p>
        </w:tc>
      </w:tr>
    </w:tbl>
    <w:p w:rsidR="00D463C7" w:rsidRDefault="00D463C7" w:rsidP="00D463C7">
      <w:pPr>
        <w:pStyle w:val="Heading6"/>
      </w:pPr>
      <w:r>
        <w:t>Thẻ Tài sản đảm bảo</w:t>
      </w:r>
    </w:p>
    <w:p w:rsidR="00D463C7" w:rsidRDefault="0050610F" w:rsidP="00D463C7">
      <w:pPr>
        <w:jc w:val="center"/>
      </w:pPr>
      <w:r>
        <w:rPr>
          <w:noProof/>
        </w:rPr>
        <w:drawing>
          <wp:inline distT="0" distB="0" distL="0" distR="0" wp14:anchorId="287C68F4" wp14:editId="4634C04A">
            <wp:extent cx="6364605" cy="1192530"/>
            <wp:effectExtent l="19050" t="19050" r="17145" b="2667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64605" cy="1192530"/>
                    </a:xfrm>
                    <a:prstGeom prst="rect">
                      <a:avLst/>
                    </a:prstGeom>
                    <a:ln>
                      <a:solidFill>
                        <a:schemeClr val="accent1"/>
                      </a:solidFill>
                    </a:ln>
                  </pic:spPr>
                </pic:pic>
              </a:graphicData>
            </a:graphic>
          </wp:inline>
        </w:drawing>
      </w:r>
    </w:p>
    <w:p w:rsidR="0050610F" w:rsidRDefault="0050610F" w:rsidP="0050610F">
      <w:pPr>
        <w:pStyle w:val="NumberTable"/>
      </w:pPr>
      <w:r>
        <w:t>Khế ước – Thẻ tài sản đảm bảo</w:t>
      </w:r>
    </w:p>
    <w:tbl>
      <w:tblPr>
        <w:tblStyle w:val="TableGrid"/>
        <w:tblW w:w="9988" w:type="dxa"/>
        <w:tblInd w:w="108" w:type="dxa"/>
        <w:tblLook w:val="04A0" w:firstRow="1" w:lastRow="0" w:firstColumn="1" w:lastColumn="0" w:noHBand="0" w:noVBand="1"/>
      </w:tblPr>
      <w:tblGrid>
        <w:gridCol w:w="720"/>
        <w:gridCol w:w="2520"/>
        <w:gridCol w:w="6748"/>
      </w:tblGrid>
      <w:tr w:rsidR="00D463C7" w:rsidRPr="00ED7498" w:rsidTr="004533C2">
        <w:tc>
          <w:tcPr>
            <w:tcW w:w="720" w:type="dxa"/>
            <w:shd w:val="clear" w:color="auto" w:fill="D9D9D9" w:themeFill="background1" w:themeFillShade="D9"/>
          </w:tcPr>
          <w:p w:rsidR="00D463C7" w:rsidRPr="00ED7498" w:rsidRDefault="00D463C7" w:rsidP="004533C2">
            <w:pPr>
              <w:jc w:val="center"/>
              <w:rPr>
                <w:b/>
              </w:rPr>
            </w:pPr>
            <w:r w:rsidRPr="00ED7498">
              <w:rPr>
                <w:b/>
              </w:rPr>
              <w:t>STT</w:t>
            </w:r>
          </w:p>
        </w:tc>
        <w:tc>
          <w:tcPr>
            <w:tcW w:w="2520" w:type="dxa"/>
            <w:shd w:val="clear" w:color="auto" w:fill="D9D9D9" w:themeFill="background1" w:themeFillShade="D9"/>
          </w:tcPr>
          <w:p w:rsidR="00D463C7" w:rsidRPr="00ED7498" w:rsidRDefault="00D463C7" w:rsidP="004533C2">
            <w:pPr>
              <w:jc w:val="center"/>
              <w:rPr>
                <w:b/>
              </w:rPr>
            </w:pPr>
            <w:r>
              <w:rPr>
                <w:b/>
              </w:rPr>
              <w:t>Tên trường</w:t>
            </w:r>
          </w:p>
        </w:tc>
        <w:tc>
          <w:tcPr>
            <w:tcW w:w="6748" w:type="dxa"/>
            <w:shd w:val="clear" w:color="auto" w:fill="D9D9D9" w:themeFill="background1" w:themeFillShade="D9"/>
          </w:tcPr>
          <w:p w:rsidR="00D463C7" w:rsidRPr="00ED7498" w:rsidRDefault="00D463C7" w:rsidP="004533C2">
            <w:pPr>
              <w:jc w:val="center"/>
              <w:rPr>
                <w:b/>
              </w:rPr>
            </w:pPr>
            <w:r w:rsidRPr="00ED7498">
              <w:rPr>
                <w:b/>
              </w:rPr>
              <w:t>Diễn giải</w:t>
            </w:r>
          </w:p>
        </w:tc>
      </w:tr>
      <w:tr w:rsidR="00D463C7" w:rsidTr="004533C2">
        <w:tc>
          <w:tcPr>
            <w:tcW w:w="720" w:type="dxa"/>
          </w:tcPr>
          <w:p w:rsidR="00D463C7" w:rsidRDefault="00D463C7" w:rsidP="00BC3ECE">
            <w:pPr>
              <w:pStyle w:val="ListParagraph"/>
              <w:numPr>
                <w:ilvl w:val="0"/>
                <w:numId w:val="45"/>
              </w:numPr>
              <w:ind w:left="432"/>
              <w:jc w:val="left"/>
            </w:pPr>
          </w:p>
        </w:tc>
        <w:tc>
          <w:tcPr>
            <w:tcW w:w="2520" w:type="dxa"/>
          </w:tcPr>
          <w:p w:rsidR="00D463C7" w:rsidRDefault="00D463C7" w:rsidP="004533C2">
            <w:r>
              <w:t>Nút Thêm</w:t>
            </w:r>
          </w:p>
        </w:tc>
        <w:tc>
          <w:tcPr>
            <w:tcW w:w="6748" w:type="dxa"/>
          </w:tcPr>
          <w:p w:rsidR="00D463C7" w:rsidRDefault="00D463C7" w:rsidP="0050610F">
            <w:pPr>
              <w:pStyle w:val="Bulletlevel1"/>
            </w:pPr>
            <w:r>
              <w:t>Gọi màn hình Danh sách tài sản đảm bảo</w:t>
            </w:r>
            <w:r w:rsidR="0050610F">
              <w:t>. Hệ thống hiển thị danh sách tài sản đảm bảo của khách hàng.</w:t>
            </w:r>
          </w:p>
        </w:tc>
      </w:tr>
      <w:tr w:rsidR="00D463C7" w:rsidTr="004533C2">
        <w:tc>
          <w:tcPr>
            <w:tcW w:w="720" w:type="dxa"/>
          </w:tcPr>
          <w:p w:rsidR="00D463C7" w:rsidRDefault="00D463C7" w:rsidP="00BC3ECE">
            <w:pPr>
              <w:pStyle w:val="ListParagraph"/>
              <w:numPr>
                <w:ilvl w:val="0"/>
                <w:numId w:val="45"/>
              </w:numPr>
              <w:ind w:left="432"/>
              <w:jc w:val="left"/>
            </w:pPr>
          </w:p>
        </w:tc>
        <w:tc>
          <w:tcPr>
            <w:tcW w:w="2520" w:type="dxa"/>
          </w:tcPr>
          <w:p w:rsidR="00D463C7" w:rsidRDefault="00D463C7" w:rsidP="004533C2">
            <w:r>
              <w:t>Nút Xóa</w:t>
            </w:r>
          </w:p>
        </w:tc>
        <w:tc>
          <w:tcPr>
            <w:tcW w:w="6748" w:type="dxa"/>
          </w:tcPr>
          <w:p w:rsidR="00D463C7" w:rsidRDefault="00D463C7" w:rsidP="0050610F">
            <w:pPr>
              <w:pStyle w:val="Bulletlevel1"/>
            </w:pPr>
            <w:r>
              <w:t>Xóa tài sản đảm bảo người dùng chọn trong danh sách.</w:t>
            </w:r>
          </w:p>
        </w:tc>
      </w:tr>
      <w:tr w:rsidR="00D463C7" w:rsidTr="004533C2">
        <w:tc>
          <w:tcPr>
            <w:tcW w:w="720" w:type="dxa"/>
          </w:tcPr>
          <w:p w:rsidR="00D463C7" w:rsidRDefault="00D463C7" w:rsidP="00BC3ECE">
            <w:pPr>
              <w:pStyle w:val="ListParagraph"/>
              <w:numPr>
                <w:ilvl w:val="0"/>
                <w:numId w:val="45"/>
              </w:numPr>
              <w:ind w:left="432"/>
              <w:jc w:val="left"/>
            </w:pPr>
          </w:p>
        </w:tc>
        <w:tc>
          <w:tcPr>
            <w:tcW w:w="2520" w:type="dxa"/>
          </w:tcPr>
          <w:p w:rsidR="00D463C7" w:rsidRDefault="00D463C7" w:rsidP="004533C2">
            <w:r>
              <w:t>Danh sách  tài sản đảm bảo</w:t>
            </w:r>
          </w:p>
        </w:tc>
        <w:tc>
          <w:tcPr>
            <w:tcW w:w="6748" w:type="dxa"/>
          </w:tcPr>
          <w:p w:rsidR="00D463C7" w:rsidRDefault="00D463C7" w:rsidP="0050610F">
            <w:pPr>
              <w:pStyle w:val="Bulletlevel1"/>
            </w:pPr>
            <w:r>
              <w:t>Hiển thị tài sản đảm bảo người dùng gán cho khế ước</w:t>
            </w:r>
          </w:p>
          <w:p w:rsidR="00D463C7" w:rsidRDefault="00D463C7" w:rsidP="0050610F">
            <w:pPr>
              <w:pStyle w:val="Bulletlevel1"/>
            </w:pPr>
            <w:r>
              <w:t>Các thông tin bao gồm:</w:t>
            </w:r>
          </w:p>
          <w:p w:rsidR="00D463C7" w:rsidRDefault="00D463C7" w:rsidP="0050610F">
            <w:pPr>
              <w:pStyle w:val="Bulletlevel2"/>
            </w:pPr>
            <w:r>
              <w:t>STT</w:t>
            </w:r>
          </w:p>
          <w:p w:rsidR="00D463C7" w:rsidRDefault="00D463C7" w:rsidP="0050610F">
            <w:pPr>
              <w:pStyle w:val="Bulletlevel2"/>
            </w:pPr>
            <w:r>
              <w:t>TSĐB</w:t>
            </w:r>
          </w:p>
          <w:p w:rsidR="00D463C7" w:rsidRDefault="00D463C7" w:rsidP="0050610F">
            <w:pPr>
              <w:pStyle w:val="Bulletlevel2"/>
            </w:pPr>
            <w:r>
              <w:t>Ngày hiệu lực</w:t>
            </w:r>
          </w:p>
          <w:p w:rsidR="00D463C7" w:rsidRDefault="00D463C7" w:rsidP="0050610F">
            <w:pPr>
              <w:pStyle w:val="Bulletlevel2"/>
            </w:pPr>
            <w:r>
              <w:t>Ngày hết hạn</w:t>
            </w:r>
          </w:p>
          <w:p w:rsidR="00D463C7" w:rsidRDefault="00D463C7" w:rsidP="0050610F">
            <w:pPr>
              <w:pStyle w:val="Bulletlevel2"/>
            </w:pPr>
            <w:r>
              <w:t>Loại tài sản đảm bảo</w:t>
            </w:r>
          </w:p>
          <w:p w:rsidR="00D463C7" w:rsidRDefault="00D463C7" w:rsidP="0050610F">
            <w:pPr>
              <w:pStyle w:val="Bulletlevel2"/>
            </w:pPr>
            <w:r>
              <w:t>Giá trị định giá</w:t>
            </w:r>
          </w:p>
          <w:p w:rsidR="00D463C7" w:rsidRDefault="00D463C7" w:rsidP="0050610F">
            <w:pPr>
              <w:pStyle w:val="Bulletlevel2"/>
            </w:pPr>
            <w:r>
              <w:t>Giá trị đã sử dụng</w:t>
            </w:r>
          </w:p>
          <w:p w:rsidR="00D463C7" w:rsidRDefault="00D463C7" w:rsidP="0050610F">
            <w:pPr>
              <w:pStyle w:val="Bulletlevel2"/>
            </w:pPr>
            <w:r>
              <w:t>Giá trị còn được dùng để đảm bảo</w:t>
            </w:r>
          </w:p>
          <w:p w:rsidR="00D463C7" w:rsidRDefault="00D463C7" w:rsidP="0050610F">
            <w:pPr>
              <w:pStyle w:val="Bulletlevel2"/>
            </w:pPr>
            <w:r>
              <w:t>Tỷ lệ dùng để đảm bảo</w:t>
            </w:r>
            <w:r w:rsidR="0050610F">
              <w:t>: Nhập tỷ lệ của tài sản</w:t>
            </w:r>
            <w:r w:rsidR="00645165">
              <w:t xml:space="preserve"> dùng để đảm bảo khế ước. Tỷ lệ dùng để đảm bảo </w:t>
            </w:r>
            <w:r w:rsidR="00645165">
              <w:rPr>
                <w:rFonts w:hint="eastAsia"/>
              </w:rPr>
              <w:t>≤</w:t>
            </w:r>
            <w:r w:rsidR="00645165">
              <w:t xml:space="preserve"> 100% - Tỷ lệ của tài sản đã dùng để đảm bảo cho các khế ước khác.</w:t>
            </w:r>
          </w:p>
          <w:p w:rsidR="00D463C7" w:rsidRDefault="00D463C7" w:rsidP="0050610F">
            <w:pPr>
              <w:pStyle w:val="Bulletlevel2"/>
            </w:pPr>
            <w:r>
              <w:t>Giá trị dùng để đảm bảo</w:t>
            </w:r>
            <w:r w:rsidR="00645165">
              <w:t xml:space="preserve">: Nhập giá trị của tài sản dùng để đảm bảo cho khế ước. Giá trị người dùng nhập phải </w:t>
            </w:r>
            <w:r w:rsidR="00645165">
              <w:rPr>
                <w:rFonts w:hint="eastAsia"/>
              </w:rPr>
              <w:t>≤</w:t>
            </w:r>
            <w:r w:rsidR="00645165">
              <w:t xml:space="preserve"> Giá trị định giá của đơn vị * Tỷ lệ dùng để đảm bảo – Giá trị của tài sản đã sử dụng để đảm bảo cho khế ước khác.</w:t>
            </w:r>
          </w:p>
        </w:tc>
      </w:tr>
    </w:tbl>
    <w:p w:rsidR="00D463C7" w:rsidRDefault="00D463C7" w:rsidP="00D463C7">
      <w:pPr>
        <w:pStyle w:val="Heading5"/>
      </w:pPr>
      <w:r>
        <w:t>Lưu thông tin và in khế ước</w:t>
      </w:r>
    </w:p>
    <w:p w:rsidR="00D463C7" w:rsidRDefault="00D463C7" w:rsidP="00D463C7">
      <w:r>
        <w:t xml:space="preserve">Sau khi nhập đầy đủ các thông tin nhấn </w:t>
      </w:r>
      <w:r>
        <w:rPr>
          <w:noProof/>
        </w:rPr>
        <w:drawing>
          <wp:inline distT="0" distB="0" distL="0" distR="0" wp14:anchorId="2FB518B7" wp14:editId="5181DEEC">
            <wp:extent cx="904875" cy="257175"/>
            <wp:effectExtent l="19050" t="0" r="9525" b="0"/>
            <wp:docPr id="259"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6"/>
                    <a:srcRect/>
                    <a:stretch>
                      <a:fillRect/>
                    </a:stretch>
                  </pic:blipFill>
                  <pic:spPr bwMode="auto">
                    <a:xfrm>
                      <a:off x="0" y="0"/>
                      <a:ext cx="904875" cy="257175"/>
                    </a:xfrm>
                    <a:prstGeom prst="rect">
                      <a:avLst/>
                    </a:prstGeom>
                    <a:noFill/>
                    <a:ln w="9525">
                      <a:noFill/>
                      <a:miter lim="800000"/>
                      <a:headEnd/>
                      <a:tailEnd/>
                    </a:ln>
                  </pic:spPr>
                </pic:pic>
              </a:graphicData>
            </a:graphic>
          </wp:inline>
        </w:drawing>
      </w:r>
      <w:r>
        <w:t xml:space="preserve"> để lưu thông tin khế ước</w:t>
      </w:r>
      <w:r w:rsidR="0036706A">
        <w:t>, khi đó người dùng kiểm soát có thể chọn xem chi tiết khế ước và phê duyệt</w:t>
      </w:r>
      <w:r>
        <w:t xml:space="preserve">. Chọn </w:t>
      </w:r>
      <w:r>
        <w:rPr>
          <w:noProof/>
        </w:rPr>
        <w:drawing>
          <wp:inline distT="0" distB="0" distL="0" distR="0" wp14:anchorId="7E51F7A5" wp14:editId="29967512">
            <wp:extent cx="1609524" cy="257143"/>
            <wp:effectExtent l="19050" t="19050" r="10160" b="1016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09524" cy="257143"/>
                    </a:xfrm>
                    <a:prstGeom prst="rect">
                      <a:avLst/>
                    </a:prstGeom>
                    <a:ln>
                      <a:solidFill>
                        <a:schemeClr val="accent1"/>
                      </a:solidFill>
                    </a:ln>
                  </pic:spPr>
                </pic:pic>
              </a:graphicData>
            </a:graphic>
          </wp:inline>
        </w:drawing>
      </w:r>
      <w:r w:rsidR="0036706A">
        <w:t xml:space="preserve">  để in khế ước.</w:t>
      </w:r>
    </w:p>
    <w:p w:rsidR="00D463C7" w:rsidRDefault="00D463C7" w:rsidP="00DE474E">
      <w:pPr>
        <w:pStyle w:val="Heading5"/>
      </w:pPr>
      <w:bookmarkStart w:id="0" w:name="_Toc350258502"/>
      <w:r>
        <w:t>Điều kiện ràng buộc</w:t>
      </w:r>
      <w:bookmarkEnd w:id="0"/>
    </w:p>
    <w:p w:rsidR="00D463C7" w:rsidRDefault="004C55EC" w:rsidP="002C4386">
      <w:pPr>
        <w:pStyle w:val="Bulletlevel1"/>
      </w:pPr>
      <w:r>
        <w:t>Phải khởi tạo những thông tin sau trước khi</w:t>
      </w:r>
      <w:r w:rsidR="00D463C7">
        <w:t xml:space="preserve"> lập trước khi lập khế  ước:</w:t>
      </w:r>
    </w:p>
    <w:p w:rsidR="00D463C7" w:rsidRDefault="00D463C7" w:rsidP="002C4386">
      <w:pPr>
        <w:pStyle w:val="Bulletlevel2"/>
      </w:pPr>
      <w:r>
        <w:t>Hợp đồng tín dụng</w:t>
      </w:r>
    </w:p>
    <w:p w:rsidR="00D463C7" w:rsidRDefault="00D463C7" w:rsidP="002C4386">
      <w:pPr>
        <w:pStyle w:val="Bulletlevel2"/>
      </w:pPr>
      <w:r>
        <w:t>Sản phẩm</w:t>
      </w:r>
    </w:p>
    <w:p w:rsidR="00D463C7" w:rsidRDefault="00D463C7" w:rsidP="002C4386">
      <w:pPr>
        <w:pStyle w:val="Bulletlevel2"/>
      </w:pPr>
      <w:r>
        <w:t>Lãi suất</w:t>
      </w:r>
    </w:p>
    <w:p w:rsidR="005A2DAC" w:rsidRDefault="005A2DAC" w:rsidP="002C4386">
      <w:pPr>
        <w:pStyle w:val="Bulletlevel2"/>
      </w:pPr>
      <w:r>
        <w:t>Đơn xin vay vốn</w:t>
      </w:r>
      <w:bookmarkStart w:id="1" w:name="_GoBack"/>
      <w:bookmarkEnd w:id="1"/>
    </w:p>
    <w:p w:rsidR="002C4386" w:rsidRDefault="002C4386" w:rsidP="002C4386">
      <w:pPr>
        <w:pStyle w:val="Bulletlevel1"/>
      </w:pPr>
      <w:r>
        <w:t>Tại một thời điểm chỉ được tồn tại nhiều nhất 2 khế ước:</w:t>
      </w:r>
    </w:p>
    <w:p w:rsidR="002C4386" w:rsidRDefault="002C4386" w:rsidP="002C4386">
      <w:pPr>
        <w:pStyle w:val="Bulletlevel2"/>
      </w:pPr>
      <w:r>
        <w:t>Khế ước của sản phẩm vốn trả dần</w:t>
      </w:r>
    </w:p>
    <w:p w:rsidR="002C4386" w:rsidRDefault="002C4386" w:rsidP="002C4386">
      <w:pPr>
        <w:pStyle w:val="Bulletlevel2"/>
      </w:pPr>
      <w:r>
        <w:t>Khế ước của sản phẩm vốn mùa vụ</w:t>
      </w:r>
    </w:p>
    <w:sectPr w:rsidR="002C4386" w:rsidSect="006D00FB">
      <w:headerReference w:type="default" r:id="rId18"/>
      <w:footerReference w:type="default" r:id="rId19"/>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8BA" w:rsidRDefault="00A428BA" w:rsidP="00E57131">
      <w:r>
        <w:separator/>
      </w:r>
    </w:p>
    <w:p w:rsidR="00A428BA" w:rsidRDefault="00A428BA" w:rsidP="00E57131"/>
    <w:p w:rsidR="00A428BA" w:rsidRDefault="00A428BA" w:rsidP="00E57131"/>
    <w:p w:rsidR="00A428BA" w:rsidRDefault="00A428BA" w:rsidP="00E57131"/>
    <w:p w:rsidR="00A428BA" w:rsidRDefault="00A428BA"/>
  </w:endnote>
  <w:endnote w:type="continuationSeparator" w:id="0">
    <w:p w:rsidR="00A428BA" w:rsidRDefault="00A428BA" w:rsidP="00E57131">
      <w:r>
        <w:continuationSeparator/>
      </w:r>
    </w:p>
    <w:p w:rsidR="00A428BA" w:rsidRDefault="00A428BA" w:rsidP="00E57131"/>
    <w:p w:rsidR="00A428BA" w:rsidRDefault="00A428BA" w:rsidP="00E57131"/>
    <w:p w:rsidR="00A428BA" w:rsidRDefault="00A428BA" w:rsidP="00E57131"/>
    <w:p w:rsidR="00A428BA" w:rsidRDefault="00A428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9AD" w:rsidRPr="00CE6E43" w:rsidRDefault="00F449AD" w:rsidP="00F449AD">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Pr>
        <w:noProof/>
        <w:sz w:val="20"/>
        <w:szCs w:val="20"/>
      </w:rPr>
      <w:t>60</w:t>
    </w:r>
    <w:r w:rsidRPr="00CE227C">
      <w:rPr>
        <w:noProof/>
        <w:sz w:val="20"/>
        <w:szCs w:val="20"/>
      </w:rPr>
      <w:fldChar w:fldCharType="end"/>
    </w:r>
  </w:p>
  <w:p w:rsidR="00F449AD" w:rsidRDefault="00F449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8BA" w:rsidRDefault="00A428BA" w:rsidP="00E57131">
      <w:r>
        <w:separator/>
      </w:r>
    </w:p>
    <w:p w:rsidR="00A428BA" w:rsidRDefault="00A428BA" w:rsidP="00E57131"/>
    <w:p w:rsidR="00A428BA" w:rsidRDefault="00A428BA" w:rsidP="00E57131"/>
    <w:p w:rsidR="00A428BA" w:rsidRDefault="00A428BA" w:rsidP="00E57131"/>
    <w:p w:rsidR="00A428BA" w:rsidRDefault="00A428BA"/>
  </w:footnote>
  <w:footnote w:type="continuationSeparator" w:id="0">
    <w:p w:rsidR="00A428BA" w:rsidRDefault="00A428BA" w:rsidP="00E57131">
      <w:r>
        <w:continuationSeparator/>
      </w:r>
    </w:p>
    <w:p w:rsidR="00A428BA" w:rsidRDefault="00A428BA" w:rsidP="00E57131"/>
    <w:p w:rsidR="00A428BA" w:rsidRDefault="00A428BA" w:rsidP="00E57131"/>
    <w:p w:rsidR="00A428BA" w:rsidRDefault="00A428BA" w:rsidP="00E57131"/>
    <w:p w:rsidR="00A428BA" w:rsidRDefault="00A428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9AD" w:rsidRPr="00F449AD" w:rsidRDefault="00F449AD" w:rsidP="00F449AD">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270EE827" wp14:editId="01ECDDB0">
              <wp:simplePos x="0" y="0"/>
              <wp:positionH relativeFrom="column">
                <wp:posOffset>-21590</wp:posOffset>
              </wp:positionH>
              <wp:positionV relativeFrom="paragraph">
                <wp:posOffset>244474</wp:posOffset>
              </wp:positionV>
              <wp:extent cx="6250940" cy="0"/>
              <wp:effectExtent l="0" t="0" r="16510"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E9F84" id="Straight Connector 2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9">
    <w:nsid w:val="0BB958EB"/>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873A17"/>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D44989"/>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3">
    <w:nsid w:val="11D01E65"/>
    <w:multiLevelType w:val="hybridMultilevel"/>
    <w:tmpl w:val="275EA844"/>
    <w:lvl w:ilvl="0" w:tplc="BB1C90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347845"/>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325856"/>
    <w:multiLevelType w:val="hybridMultilevel"/>
    <w:tmpl w:val="55923CC6"/>
    <w:lvl w:ilvl="0" w:tplc="E27EA9D6">
      <w:start w:val="1"/>
      <w:numFmt w:val="decimal"/>
      <w:lvlText w:val="%1."/>
      <w:lvlJc w:val="center"/>
      <w:pPr>
        <w:ind w:left="720" w:hanging="360"/>
      </w:pPr>
      <w:rPr>
        <w:color w:val="17365D"/>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18">
    <w:nsid w:val="205D4CDE"/>
    <w:multiLevelType w:val="hybridMultilevel"/>
    <w:tmpl w:val="426816C4"/>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20">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21">
    <w:nsid w:val="270073DC"/>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A84A71"/>
    <w:multiLevelType w:val="hybridMultilevel"/>
    <w:tmpl w:val="06AE8B38"/>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DC1742D"/>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E245A7E"/>
    <w:multiLevelType w:val="hybridMultilevel"/>
    <w:tmpl w:val="275EA844"/>
    <w:lvl w:ilvl="0" w:tplc="BB1C90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286B57"/>
    <w:multiLevelType w:val="multilevel"/>
    <w:tmpl w:val="4B78A886"/>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26">
    <w:nsid w:val="326C232E"/>
    <w:multiLevelType w:val="multilevel"/>
    <w:tmpl w:val="D7907182"/>
    <w:lvl w:ilvl="0">
      <w:start w:val="1"/>
      <w:numFmt w:val="decimal"/>
      <w:lvlText w:val="%1."/>
      <w:lvlJc w:val="left"/>
      <w:pPr>
        <w:ind w:left="360" w:hanging="360"/>
      </w:pPr>
    </w:lvl>
    <w:lvl w:ilvl="1">
      <w:start w:val="4"/>
      <w:numFmt w:val="decimal"/>
      <w:isLgl/>
      <w:lvlText w:val="%1.%2."/>
      <w:lvlJc w:val="left"/>
      <w:pPr>
        <w:ind w:left="990" w:hanging="720"/>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27">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30">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ECC54C2"/>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33">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486A4676"/>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CD26B29"/>
    <w:multiLevelType w:val="hybridMultilevel"/>
    <w:tmpl w:val="A2AAE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E380BD5"/>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05F1845"/>
    <w:multiLevelType w:val="hybridMultilevel"/>
    <w:tmpl w:val="94424B58"/>
    <w:lvl w:ilvl="0" w:tplc="01E85C8A">
      <w:start w:val="1"/>
      <w:numFmt w:val="bullet"/>
      <w:pStyle w:val="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DB71B8"/>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53C3402"/>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43">
    <w:nsid w:val="67143C1A"/>
    <w:multiLevelType w:val="hybridMultilevel"/>
    <w:tmpl w:val="426816C4"/>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E15B22"/>
    <w:multiLevelType w:val="multilevel"/>
    <w:tmpl w:val="E4AE85BC"/>
    <w:lvl w:ilvl="0">
      <w:numFmt w:val="bullet"/>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45">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46">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47">
    <w:nsid w:val="6C250627"/>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9">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nsid w:val="72CB2699"/>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52A19AE"/>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53">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4">
    <w:nsid w:val="7E89312A"/>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17"/>
  </w:num>
  <w:num w:numId="4">
    <w:abstractNumId w:val="8"/>
    <w:lvlOverride w:ilvl="0">
      <w:startOverride w:val="1"/>
    </w:lvlOverride>
  </w:num>
  <w:num w:numId="5">
    <w:abstractNumId w:val="6"/>
  </w:num>
  <w:num w:numId="6">
    <w:abstractNumId w:val="4"/>
  </w:num>
  <w:num w:numId="7">
    <w:abstractNumId w:val="45"/>
  </w:num>
  <w:num w:numId="8">
    <w:abstractNumId w:val="40"/>
  </w:num>
  <w:num w:numId="9">
    <w:abstractNumId w:val="52"/>
  </w:num>
  <w:num w:numId="10">
    <w:abstractNumId w:val="46"/>
  </w:num>
  <w:num w:numId="11">
    <w:abstractNumId w:val="53"/>
  </w:num>
  <w:num w:numId="12">
    <w:abstractNumId w:val="48"/>
  </w:num>
  <w:num w:numId="13">
    <w:abstractNumId w:val="3"/>
  </w:num>
  <w:num w:numId="14">
    <w:abstractNumId w:val="20"/>
  </w:num>
  <w:num w:numId="15">
    <w:abstractNumId w:val="27"/>
  </w:num>
  <w:num w:numId="16">
    <w:abstractNumId w:val="37"/>
  </w:num>
  <w:num w:numId="17">
    <w:abstractNumId w:val="32"/>
  </w:num>
  <w:num w:numId="18">
    <w:abstractNumId w:val="49"/>
  </w:num>
  <w:num w:numId="19">
    <w:abstractNumId w:val="30"/>
  </w:num>
  <w:num w:numId="20">
    <w:abstractNumId w:val="7"/>
  </w:num>
  <w:num w:numId="21">
    <w:abstractNumId w:val="2"/>
  </w:num>
  <w:num w:numId="22">
    <w:abstractNumId w:val="1"/>
  </w:num>
  <w:num w:numId="23">
    <w:abstractNumId w:val="0"/>
  </w:num>
  <w:num w:numId="24">
    <w:abstractNumId w:val="28"/>
  </w:num>
  <w:num w:numId="25">
    <w:abstractNumId w:val="16"/>
  </w:num>
  <w:num w:numId="26">
    <w:abstractNumId w:val="25"/>
  </w:num>
  <w:num w:numId="27">
    <w:abstractNumId w:val="19"/>
  </w:num>
  <w:num w:numId="28">
    <w:abstractNumId w:val="26"/>
  </w:num>
  <w:num w:numId="29">
    <w:abstractNumId w:val="42"/>
  </w:num>
  <w:num w:numId="30">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4"/>
  </w:num>
  <w:num w:numId="32">
    <w:abstractNumId w:val="1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15"/>
  </w:num>
  <w:num w:numId="37">
    <w:abstractNumId w:val="38"/>
  </w:num>
  <w:num w:numId="38">
    <w:abstractNumId w:val="18"/>
  </w:num>
  <w:num w:numId="39">
    <w:abstractNumId w:val="43"/>
  </w:num>
  <w:num w:numId="40">
    <w:abstractNumId w:val="21"/>
  </w:num>
  <w:num w:numId="41">
    <w:abstractNumId w:val="9"/>
  </w:num>
  <w:num w:numId="42">
    <w:abstractNumId w:val="34"/>
  </w:num>
  <w:num w:numId="43">
    <w:abstractNumId w:val="36"/>
  </w:num>
  <w:num w:numId="44">
    <w:abstractNumId w:val="47"/>
  </w:num>
  <w:num w:numId="45">
    <w:abstractNumId w:val="35"/>
  </w:num>
  <w:num w:numId="46">
    <w:abstractNumId w:val="13"/>
  </w:num>
  <w:num w:numId="47">
    <w:abstractNumId w:val="24"/>
  </w:num>
  <w:num w:numId="48">
    <w:abstractNumId w:val="54"/>
  </w:num>
  <w:num w:numId="49">
    <w:abstractNumId w:val="10"/>
  </w:num>
  <w:num w:numId="50">
    <w:abstractNumId w:val="14"/>
  </w:num>
  <w:num w:numId="51">
    <w:abstractNumId w:val="41"/>
  </w:num>
  <w:num w:numId="52">
    <w:abstractNumId w:val="51"/>
  </w:num>
  <w:num w:numId="53">
    <w:abstractNumId w:val="39"/>
  </w:num>
  <w:num w:numId="54">
    <w:abstractNumId w:val="31"/>
  </w:num>
  <w:num w:numId="55">
    <w:abstractNumId w:val="50"/>
  </w:num>
  <w:num w:numId="56">
    <w:abstractNumId w:val="23"/>
  </w:num>
  <w:num w:numId="57">
    <w:abstractNumId w:val="33"/>
  </w:num>
  <w:num w:numId="58">
    <w:abstractNumId w:val="1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19"/>
    <w:rsid w:val="0000008E"/>
    <w:rsid w:val="00000260"/>
    <w:rsid w:val="00000589"/>
    <w:rsid w:val="00000945"/>
    <w:rsid w:val="00000F59"/>
    <w:rsid w:val="0000107E"/>
    <w:rsid w:val="00001092"/>
    <w:rsid w:val="0000125F"/>
    <w:rsid w:val="00002969"/>
    <w:rsid w:val="00002E38"/>
    <w:rsid w:val="00002FA6"/>
    <w:rsid w:val="00002FCE"/>
    <w:rsid w:val="000031E2"/>
    <w:rsid w:val="000038CB"/>
    <w:rsid w:val="00003ACF"/>
    <w:rsid w:val="00003D10"/>
    <w:rsid w:val="0000410D"/>
    <w:rsid w:val="000041D5"/>
    <w:rsid w:val="000048BF"/>
    <w:rsid w:val="00004BE5"/>
    <w:rsid w:val="00005A96"/>
    <w:rsid w:val="00005D68"/>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44F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664"/>
    <w:rsid w:val="00032ECB"/>
    <w:rsid w:val="0003363D"/>
    <w:rsid w:val="000342DE"/>
    <w:rsid w:val="00035452"/>
    <w:rsid w:val="0003546D"/>
    <w:rsid w:val="0003584B"/>
    <w:rsid w:val="000359D1"/>
    <w:rsid w:val="00036F74"/>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A9E"/>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60D6"/>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A4C"/>
    <w:rsid w:val="000B6D57"/>
    <w:rsid w:val="000C1957"/>
    <w:rsid w:val="000C2270"/>
    <w:rsid w:val="000C2ABA"/>
    <w:rsid w:val="000C2ACF"/>
    <w:rsid w:val="000C2BA6"/>
    <w:rsid w:val="000C2D23"/>
    <w:rsid w:val="000C3199"/>
    <w:rsid w:val="000C3BBA"/>
    <w:rsid w:val="000C40FE"/>
    <w:rsid w:val="000C4500"/>
    <w:rsid w:val="000C4852"/>
    <w:rsid w:val="000C486D"/>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D8A"/>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042"/>
    <w:rsid w:val="0011214F"/>
    <w:rsid w:val="0011223F"/>
    <w:rsid w:val="0011227B"/>
    <w:rsid w:val="00112367"/>
    <w:rsid w:val="00112436"/>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51F"/>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97D"/>
    <w:rsid w:val="00126BAF"/>
    <w:rsid w:val="00126C48"/>
    <w:rsid w:val="00127183"/>
    <w:rsid w:val="0012744D"/>
    <w:rsid w:val="00130396"/>
    <w:rsid w:val="001304CA"/>
    <w:rsid w:val="0013055F"/>
    <w:rsid w:val="00130782"/>
    <w:rsid w:val="00130A52"/>
    <w:rsid w:val="00130D4A"/>
    <w:rsid w:val="00131017"/>
    <w:rsid w:val="0013105F"/>
    <w:rsid w:val="00131894"/>
    <w:rsid w:val="001319F8"/>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379D"/>
    <w:rsid w:val="001C4C55"/>
    <w:rsid w:val="001C51EA"/>
    <w:rsid w:val="001C5CBC"/>
    <w:rsid w:val="001C6111"/>
    <w:rsid w:val="001C625C"/>
    <w:rsid w:val="001C670A"/>
    <w:rsid w:val="001C6948"/>
    <w:rsid w:val="001C701B"/>
    <w:rsid w:val="001C7CAF"/>
    <w:rsid w:val="001C7CC5"/>
    <w:rsid w:val="001C7D61"/>
    <w:rsid w:val="001D056F"/>
    <w:rsid w:val="001D0B00"/>
    <w:rsid w:val="001D199E"/>
    <w:rsid w:val="001D1A5E"/>
    <w:rsid w:val="001D1ADB"/>
    <w:rsid w:val="001D1F36"/>
    <w:rsid w:val="001D253C"/>
    <w:rsid w:val="001D29D4"/>
    <w:rsid w:val="001D2E76"/>
    <w:rsid w:val="001D3235"/>
    <w:rsid w:val="001D3509"/>
    <w:rsid w:val="001D36D3"/>
    <w:rsid w:val="001D3793"/>
    <w:rsid w:val="001D3D18"/>
    <w:rsid w:val="001D412C"/>
    <w:rsid w:val="001D5037"/>
    <w:rsid w:val="001D54C3"/>
    <w:rsid w:val="001D5684"/>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4D"/>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5F40"/>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798"/>
    <w:rsid w:val="0023155A"/>
    <w:rsid w:val="00231581"/>
    <w:rsid w:val="002319B1"/>
    <w:rsid w:val="00231B9B"/>
    <w:rsid w:val="002320A9"/>
    <w:rsid w:val="002321A7"/>
    <w:rsid w:val="00232DF7"/>
    <w:rsid w:val="00232E37"/>
    <w:rsid w:val="0023318B"/>
    <w:rsid w:val="00233A02"/>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6A2F"/>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963"/>
    <w:rsid w:val="00256C90"/>
    <w:rsid w:val="00256F0E"/>
    <w:rsid w:val="002571D6"/>
    <w:rsid w:val="00257294"/>
    <w:rsid w:val="002572B2"/>
    <w:rsid w:val="00257336"/>
    <w:rsid w:val="002577ED"/>
    <w:rsid w:val="002603C8"/>
    <w:rsid w:val="00260916"/>
    <w:rsid w:val="00260FE3"/>
    <w:rsid w:val="002610AD"/>
    <w:rsid w:val="00261101"/>
    <w:rsid w:val="0026183E"/>
    <w:rsid w:val="00261B1F"/>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D0"/>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1E66"/>
    <w:rsid w:val="00282089"/>
    <w:rsid w:val="00282412"/>
    <w:rsid w:val="00282791"/>
    <w:rsid w:val="00282C70"/>
    <w:rsid w:val="00282DEB"/>
    <w:rsid w:val="00282DEC"/>
    <w:rsid w:val="00282EC0"/>
    <w:rsid w:val="00283F2A"/>
    <w:rsid w:val="002844B3"/>
    <w:rsid w:val="00284507"/>
    <w:rsid w:val="00284E6E"/>
    <w:rsid w:val="002851C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7FB"/>
    <w:rsid w:val="002B3833"/>
    <w:rsid w:val="002B3A62"/>
    <w:rsid w:val="002B41B1"/>
    <w:rsid w:val="002B43E6"/>
    <w:rsid w:val="002B4641"/>
    <w:rsid w:val="002B47C5"/>
    <w:rsid w:val="002B4893"/>
    <w:rsid w:val="002B4AAD"/>
    <w:rsid w:val="002B5489"/>
    <w:rsid w:val="002B579C"/>
    <w:rsid w:val="002B5E04"/>
    <w:rsid w:val="002B5FE8"/>
    <w:rsid w:val="002B5FF6"/>
    <w:rsid w:val="002B6465"/>
    <w:rsid w:val="002B646D"/>
    <w:rsid w:val="002B6D94"/>
    <w:rsid w:val="002B76AC"/>
    <w:rsid w:val="002B7931"/>
    <w:rsid w:val="002C0BB6"/>
    <w:rsid w:val="002C1213"/>
    <w:rsid w:val="002C146B"/>
    <w:rsid w:val="002C1B94"/>
    <w:rsid w:val="002C222E"/>
    <w:rsid w:val="002C259D"/>
    <w:rsid w:val="002C287D"/>
    <w:rsid w:val="002C3167"/>
    <w:rsid w:val="002C391B"/>
    <w:rsid w:val="002C399A"/>
    <w:rsid w:val="002C3CAD"/>
    <w:rsid w:val="002C3ED3"/>
    <w:rsid w:val="002C40D4"/>
    <w:rsid w:val="002C4386"/>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A97"/>
    <w:rsid w:val="002D3B4B"/>
    <w:rsid w:val="002D4B36"/>
    <w:rsid w:val="002D4FF2"/>
    <w:rsid w:val="002D5475"/>
    <w:rsid w:val="002D5F9D"/>
    <w:rsid w:val="002D6034"/>
    <w:rsid w:val="002D6759"/>
    <w:rsid w:val="002D6B65"/>
    <w:rsid w:val="002D6FDF"/>
    <w:rsid w:val="002D7DCD"/>
    <w:rsid w:val="002E0AD4"/>
    <w:rsid w:val="002E0BE0"/>
    <w:rsid w:val="002E0EB9"/>
    <w:rsid w:val="002E13B7"/>
    <w:rsid w:val="002E181A"/>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1"/>
    <w:rsid w:val="003019CD"/>
    <w:rsid w:val="00301C5C"/>
    <w:rsid w:val="00302711"/>
    <w:rsid w:val="00302F6E"/>
    <w:rsid w:val="00303C8A"/>
    <w:rsid w:val="003042C7"/>
    <w:rsid w:val="00304394"/>
    <w:rsid w:val="003048E4"/>
    <w:rsid w:val="003049C8"/>
    <w:rsid w:val="00304D08"/>
    <w:rsid w:val="0030599C"/>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6E06"/>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3F1"/>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BC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06A"/>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528B"/>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38E6"/>
    <w:rsid w:val="003B418C"/>
    <w:rsid w:val="003B4ADD"/>
    <w:rsid w:val="003B4E6B"/>
    <w:rsid w:val="003B58D9"/>
    <w:rsid w:val="003B5934"/>
    <w:rsid w:val="003B60EB"/>
    <w:rsid w:val="003B6E33"/>
    <w:rsid w:val="003B7380"/>
    <w:rsid w:val="003B74C7"/>
    <w:rsid w:val="003B7CD9"/>
    <w:rsid w:val="003C0137"/>
    <w:rsid w:val="003C03D0"/>
    <w:rsid w:val="003C06F0"/>
    <w:rsid w:val="003C0E76"/>
    <w:rsid w:val="003C10D0"/>
    <w:rsid w:val="003C13BF"/>
    <w:rsid w:val="003C178F"/>
    <w:rsid w:val="003C1C2A"/>
    <w:rsid w:val="003C1F8E"/>
    <w:rsid w:val="003C23BD"/>
    <w:rsid w:val="003C23E0"/>
    <w:rsid w:val="003C27AA"/>
    <w:rsid w:val="003C3840"/>
    <w:rsid w:val="003C3D96"/>
    <w:rsid w:val="003C485F"/>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E0EE9"/>
    <w:rsid w:val="003E1151"/>
    <w:rsid w:val="003E13F1"/>
    <w:rsid w:val="003E1641"/>
    <w:rsid w:val="003E171D"/>
    <w:rsid w:val="003E22BB"/>
    <w:rsid w:val="003E23C4"/>
    <w:rsid w:val="003E2651"/>
    <w:rsid w:val="003E2C8C"/>
    <w:rsid w:val="003E31A5"/>
    <w:rsid w:val="003E3218"/>
    <w:rsid w:val="003E35EA"/>
    <w:rsid w:val="003E3888"/>
    <w:rsid w:val="003E3CAC"/>
    <w:rsid w:val="003E420D"/>
    <w:rsid w:val="003E4AC8"/>
    <w:rsid w:val="003E4D5D"/>
    <w:rsid w:val="003E59E8"/>
    <w:rsid w:val="003E65FE"/>
    <w:rsid w:val="003E6FE3"/>
    <w:rsid w:val="003E7277"/>
    <w:rsid w:val="003E773E"/>
    <w:rsid w:val="003E7BFB"/>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9F7"/>
    <w:rsid w:val="003F7D8C"/>
    <w:rsid w:val="00400242"/>
    <w:rsid w:val="00400407"/>
    <w:rsid w:val="0040062E"/>
    <w:rsid w:val="004008F1"/>
    <w:rsid w:val="00400E66"/>
    <w:rsid w:val="00401262"/>
    <w:rsid w:val="00401701"/>
    <w:rsid w:val="00401A39"/>
    <w:rsid w:val="00401AB2"/>
    <w:rsid w:val="00402786"/>
    <w:rsid w:val="00402B6D"/>
    <w:rsid w:val="004032CC"/>
    <w:rsid w:val="004038AA"/>
    <w:rsid w:val="00403A07"/>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1D5C"/>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B7"/>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3D1"/>
    <w:rsid w:val="004504AD"/>
    <w:rsid w:val="00451212"/>
    <w:rsid w:val="004515C0"/>
    <w:rsid w:val="00451D53"/>
    <w:rsid w:val="00451E69"/>
    <w:rsid w:val="00452160"/>
    <w:rsid w:val="004527DC"/>
    <w:rsid w:val="00452AEB"/>
    <w:rsid w:val="004533C2"/>
    <w:rsid w:val="004536A9"/>
    <w:rsid w:val="0045381D"/>
    <w:rsid w:val="00453D06"/>
    <w:rsid w:val="00454520"/>
    <w:rsid w:val="0045453E"/>
    <w:rsid w:val="0045471E"/>
    <w:rsid w:val="00454935"/>
    <w:rsid w:val="00454C8B"/>
    <w:rsid w:val="00454C95"/>
    <w:rsid w:val="00454FAA"/>
    <w:rsid w:val="004551E3"/>
    <w:rsid w:val="0045527E"/>
    <w:rsid w:val="00455462"/>
    <w:rsid w:val="0045556E"/>
    <w:rsid w:val="004555C2"/>
    <w:rsid w:val="00455B29"/>
    <w:rsid w:val="00455CF8"/>
    <w:rsid w:val="00455D62"/>
    <w:rsid w:val="004566C7"/>
    <w:rsid w:val="00456857"/>
    <w:rsid w:val="00456EA1"/>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E67"/>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234"/>
    <w:rsid w:val="00480972"/>
    <w:rsid w:val="00480D7C"/>
    <w:rsid w:val="0048104D"/>
    <w:rsid w:val="004815B1"/>
    <w:rsid w:val="004815E2"/>
    <w:rsid w:val="0048160A"/>
    <w:rsid w:val="00481B4D"/>
    <w:rsid w:val="0048226C"/>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38F"/>
    <w:rsid w:val="004B5512"/>
    <w:rsid w:val="004B5553"/>
    <w:rsid w:val="004B5667"/>
    <w:rsid w:val="004B5B64"/>
    <w:rsid w:val="004B5D22"/>
    <w:rsid w:val="004B5DEB"/>
    <w:rsid w:val="004B6203"/>
    <w:rsid w:val="004B63DF"/>
    <w:rsid w:val="004B6422"/>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5EC"/>
    <w:rsid w:val="004C5690"/>
    <w:rsid w:val="004C757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3EF"/>
    <w:rsid w:val="004D249F"/>
    <w:rsid w:val="004D2ED6"/>
    <w:rsid w:val="004D319D"/>
    <w:rsid w:val="004D34F8"/>
    <w:rsid w:val="004D358A"/>
    <w:rsid w:val="004D3F92"/>
    <w:rsid w:val="004D4BBC"/>
    <w:rsid w:val="004D4FFD"/>
    <w:rsid w:val="004D5532"/>
    <w:rsid w:val="004D5AF6"/>
    <w:rsid w:val="004D68A0"/>
    <w:rsid w:val="004D68FC"/>
    <w:rsid w:val="004D7913"/>
    <w:rsid w:val="004D7CF2"/>
    <w:rsid w:val="004E1625"/>
    <w:rsid w:val="004E19E3"/>
    <w:rsid w:val="004E1B25"/>
    <w:rsid w:val="004E20D1"/>
    <w:rsid w:val="004E2D40"/>
    <w:rsid w:val="004E2EF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A1B"/>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65"/>
    <w:rsid w:val="005045F7"/>
    <w:rsid w:val="00505320"/>
    <w:rsid w:val="00505786"/>
    <w:rsid w:val="0050578F"/>
    <w:rsid w:val="00505C11"/>
    <w:rsid w:val="00505C2E"/>
    <w:rsid w:val="00505FF6"/>
    <w:rsid w:val="0050610F"/>
    <w:rsid w:val="0050689A"/>
    <w:rsid w:val="00506AFC"/>
    <w:rsid w:val="00506ED2"/>
    <w:rsid w:val="00506FE3"/>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4EA0"/>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61"/>
    <w:rsid w:val="00531685"/>
    <w:rsid w:val="00531B76"/>
    <w:rsid w:val="00532044"/>
    <w:rsid w:val="00532266"/>
    <w:rsid w:val="00532297"/>
    <w:rsid w:val="00532306"/>
    <w:rsid w:val="005328F8"/>
    <w:rsid w:val="0053299B"/>
    <w:rsid w:val="00532AC5"/>
    <w:rsid w:val="00532CE4"/>
    <w:rsid w:val="00533002"/>
    <w:rsid w:val="0053306C"/>
    <w:rsid w:val="00533114"/>
    <w:rsid w:val="0053424F"/>
    <w:rsid w:val="0053500B"/>
    <w:rsid w:val="005350F4"/>
    <w:rsid w:val="005353CA"/>
    <w:rsid w:val="005353CE"/>
    <w:rsid w:val="00535A4A"/>
    <w:rsid w:val="00535BEE"/>
    <w:rsid w:val="0053607F"/>
    <w:rsid w:val="00536693"/>
    <w:rsid w:val="00536D60"/>
    <w:rsid w:val="005372F2"/>
    <w:rsid w:val="005374B7"/>
    <w:rsid w:val="005377C5"/>
    <w:rsid w:val="0053793E"/>
    <w:rsid w:val="00537BE9"/>
    <w:rsid w:val="00537DBB"/>
    <w:rsid w:val="00540651"/>
    <w:rsid w:val="00540749"/>
    <w:rsid w:val="0054088B"/>
    <w:rsid w:val="005415BF"/>
    <w:rsid w:val="005416BC"/>
    <w:rsid w:val="00541C21"/>
    <w:rsid w:val="0054262C"/>
    <w:rsid w:val="00542D37"/>
    <w:rsid w:val="00542E33"/>
    <w:rsid w:val="00543CBB"/>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6C4"/>
    <w:rsid w:val="0056183C"/>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796"/>
    <w:rsid w:val="00583860"/>
    <w:rsid w:val="00583AC9"/>
    <w:rsid w:val="00584B24"/>
    <w:rsid w:val="00584DD6"/>
    <w:rsid w:val="00584DE4"/>
    <w:rsid w:val="005850CE"/>
    <w:rsid w:val="0058512F"/>
    <w:rsid w:val="00585C42"/>
    <w:rsid w:val="0058635D"/>
    <w:rsid w:val="0058663A"/>
    <w:rsid w:val="00586A3B"/>
    <w:rsid w:val="0058773B"/>
    <w:rsid w:val="00590BC9"/>
    <w:rsid w:val="00591031"/>
    <w:rsid w:val="005916B3"/>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6DD"/>
    <w:rsid w:val="005A2744"/>
    <w:rsid w:val="005A279C"/>
    <w:rsid w:val="005A2C58"/>
    <w:rsid w:val="005A2C7A"/>
    <w:rsid w:val="005A2DAC"/>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986"/>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C77D2"/>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53D"/>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B78"/>
    <w:rsid w:val="00637C36"/>
    <w:rsid w:val="006404A1"/>
    <w:rsid w:val="0064052C"/>
    <w:rsid w:val="00641BC9"/>
    <w:rsid w:val="0064294F"/>
    <w:rsid w:val="00642C7F"/>
    <w:rsid w:val="00642DE1"/>
    <w:rsid w:val="00642FB7"/>
    <w:rsid w:val="006438DC"/>
    <w:rsid w:val="006439C1"/>
    <w:rsid w:val="006440B2"/>
    <w:rsid w:val="006440FB"/>
    <w:rsid w:val="00644E0F"/>
    <w:rsid w:val="00644E69"/>
    <w:rsid w:val="00645165"/>
    <w:rsid w:val="0064531F"/>
    <w:rsid w:val="00645572"/>
    <w:rsid w:val="0064568B"/>
    <w:rsid w:val="006474B2"/>
    <w:rsid w:val="00647626"/>
    <w:rsid w:val="00650359"/>
    <w:rsid w:val="006507A0"/>
    <w:rsid w:val="00651054"/>
    <w:rsid w:val="006512F2"/>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00F"/>
    <w:rsid w:val="0065759D"/>
    <w:rsid w:val="00657BDF"/>
    <w:rsid w:val="00657D54"/>
    <w:rsid w:val="00657F76"/>
    <w:rsid w:val="00660575"/>
    <w:rsid w:val="00660DEE"/>
    <w:rsid w:val="00661271"/>
    <w:rsid w:val="00661746"/>
    <w:rsid w:val="00661A69"/>
    <w:rsid w:val="006628B0"/>
    <w:rsid w:val="00662BA9"/>
    <w:rsid w:val="00663744"/>
    <w:rsid w:val="00663A83"/>
    <w:rsid w:val="00663DA0"/>
    <w:rsid w:val="00664738"/>
    <w:rsid w:val="00664A9C"/>
    <w:rsid w:val="00664D99"/>
    <w:rsid w:val="0066508D"/>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62"/>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63CB"/>
    <w:rsid w:val="006C71B2"/>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69D0"/>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241"/>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874"/>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CDD"/>
    <w:rsid w:val="00772E67"/>
    <w:rsid w:val="007735B4"/>
    <w:rsid w:val="0077546C"/>
    <w:rsid w:val="007754F7"/>
    <w:rsid w:val="007757E9"/>
    <w:rsid w:val="00775806"/>
    <w:rsid w:val="00775A7D"/>
    <w:rsid w:val="00775DAB"/>
    <w:rsid w:val="00776130"/>
    <w:rsid w:val="00776437"/>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33F"/>
    <w:rsid w:val="007B6ECC"/>
    <w:rsid w:val="007B702B"/>
    <w:rsid w:val="007B7EEA"/>
    <w:rsid w:val="007C0670"/>
    <w:rsid w:val="007C1349"/>
    <w:rsid w:val="007C1B26"/>
    <w:rsid w:val="007C1C8A"/>
    <w:rsid w:val="007C209C"/>
    <w:rsid w:val="007C25C7"/>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558"/>
    <w:rsid w:val="007F372D"/>
    <w:rsid w:val="007F41DC"/>
    <w:rsid w:val="007F4240"/>
    <w:rsid w:val="007F5C52"/>
    <w:rsid w:val="007F6449"/>
    <w:rsid w:val="007F7191"/>
    <w:rsid w:val="007F7AA9"/>
    <w:rsid w:val="007F7EEF"/>
    <w:rsid w:val="00800950"/>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919"/>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A32"/>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872"/>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4E0B"/>
    <w:rsid w:val="008556F7"/>
    <w:rsid w:val="00856516"/>
    <w:rsid w:val="0085671C"/>
    <w:rsid w:val="00856847"/>
    <w:rsid w:val="00856FC5"/>
    <w:rsid w:val="008578A0"/>
    <w:rsid w:val="00857EFB"/>
    <w:rsid w:val="00857FF5"/>
    <w:rsid w:val="008602A2"/>
    <w:rsid w:val="008608F5"/>
    <w:rsid w:val="00860B25"/>
    <w:rsid w:val="00860D5F"/>
    <w:rsid w:val="008612CE"/>
    <w:rsid w:val="008615E4"/>
    <w:rsid w:val="00861DCC"/>
    <w:rsid w:val="008620F5"/>
    <w:rsid w:val="00862175"/>
    <w:rsid w:val="0086284C"/>
    <w:rsid w:val="008631D0"/>
    <w:rsid w:val="008634EC"/>
    <w:rsid w:val="0086392E"/>
    <w:rsid w:val="00863AA8"/>
    <w:rsid w:val="00863D06"/>
    <w:rsid w:val="00863F33"/>
    <w:rsid w:val="008645D2"/>
    <w:rsid w:val="00864676"/>
    <w:rsid w:val="008649AA"/>
    <w:rsid w:val="008652B3"/>
    <w:rsid w:val="008652F7"/>
    <w:rsid w:val="00865754"/>
    <w:rsid w:val="00865769"/>
    <w:rsid w:val="00866024"/>
    <w:rsid w:val="00866E3B"/>
    <w:rsid w:val="00867247"/>
    <w:rsid w:val="00867DC5"/>
    <w:rsid w:val="0087026C"/>
    <w:rsid w:val="0087054B"/>
    <w:rsid w:val="00870B42"/>
    <w:rsid w:val="00871360"/>
    <w:rsid w:val="00871F14"/>
    <w:rsid w:val="00872209"/>
    <w:rsid w:val="0087370F"/>
    <w:rsid w:val="00873A4F"/>
    <w:rsid w:val="00873B29"/>
    <w:rsid w:val="008740E4"/>
    <w:rsid w:val="00874CDE"/>
    <w:rsid w:val="00874E07"/>
    <w:rsid w:val="00874E72"/>
    <w:rsid w:val="0087532E"/>
    <w:rsid w:val="00875447"/>
    <w:rsid w:val="008759C2"/>
    <w:rsid w:val="0087669B"/>
    <w:rsid w:val="00876819"/>
    <w:rsid w:val="008769D1"/>
    <w:rsid w:val="00876ACD"/>
    <w:rsid w:val="0087769C"/>
    <w:rsid w:val="00877A30"/>
    <w:rsid w:val="0088031E"/>
    <w:rsid w:val="008807FA"/>
    <w:rsid w:val="0088084D"/>
    <w:rsid w:val="008808C6"/>
    <w:rsid w:val="00880F4D"/>
    <w:rsid w:val="00881085"/>
    <w:rsid w:val="008812C7"/>
    <w:rsid w:val="0088173A"/>
    <w:rsid w:val="00881785"/>
    <w:rsid w:val="00881A44"/>
    <w:rsid w:val="00882368"/>
    <w:rsid w:val="0088266C"/>
    <w:rsid w:val="008827D2"/>
    <w:rsid w:val="00882D8F"/>
    <w:rsid w:val="00882F39"/>
    <w:rsid w:val="00882F84"/>
    <w:rsid w:val="00883205"/>
    <w:rsid w:val="00884428"/>
    <w:rsid w:val="00884723"/>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28A6"/>
    <w:rsid w:val="0089313E"/>
    <w:rsid w:val="00894365"/>
    <w:rsid w:val="00894D8E"/>
    <w:rsid w:val="00894F7F"/>
    <w:rsid w:val="00895304"/>
    <w:rsid w:val="00895B09"/>
    <w:rsid w:val="0089639D"/>
    <w:rsid w:val="008966E0"/>
    <w:rsid w:val="00896708"/>
    <w:rsid w:val="00897405"/>
    <w:rsid w:val="0089767A"/>
    <w:rsid w:val="008976F7"/>
    <w:rsid w:val="0089788E"/>
    <w:rsid w:val="00897AA4"/>
    <w:rsid w:val="00897C87"/>
    <w:rsid w:val="00897DD7"/>
    <w:rsid w:val="008A0257"/>
    <w:rsid w:val="008A0586"/>
    <w:rsid w:val="008A0FE9"/>
    <w:rsid w:val="008A114D"/>
    <w:rsid w:val="008A12B9"/>
    <w:rsid w:val="008A218C"/>
    <w:rsid w:val="008A2362"/>
    <w:rsid w:val="008A26AF"/>
    <w:rsid w:val="008A2AAF"/>
    <w:rsid w:val="008A2BC3"/>
    <w:rsid w:val="008A2C3B"/>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253"/>
    <w:rsid w:val="008C2497"/>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2EA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47C"/>
    <w:rsid w:val="008E5F9E"/>
    <w:rsid w:val="008E6004"/>
    <w:rsid w:val="008E61C0"/>
    <w:rsid w:val="008E636B"/>
    <w:rsid w:val="008E6922"/>
    <w:rsid w:val="008E6E31"/>
    <w:rsid w:val="008E7716"/>
    <w:rsid w:val="008E772D"/>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6EF"/>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63F3"/>
    <w:rsid w:val="0091729F"/>
    <w:rsid w:val="00917745"/>
    <w:rsid w:val="00917783"/>
    <w:rsid w:val="00917984"/>
    <w:rsid w:val="009179A1"/>
    <w:rsid w:val="00917F69"/>
    <w:rsid w:val="00920598"/>
    <w:rsid w:val="00920844"/>
    <w:rsid w:val="00920FD8"/>
    <w:rsid w:val="00921446"/>
    <w:rsid w:val="009220B5"/>
    <w:rsid w:val="00922830"/>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352"/>
    <w:rsid w:val="00930AE8"/>
    <w:rsid w:val="0093116C"/>
    <w:rsid w:val="0093117A"/>
    <w:rsid w:val="00931956"/>
    <w:rsid w:val="00931A0E"/>
    <w:rsid w:val="00931EBA"/>
    <w:rsid w:val="00931F52"/>
    <w:rsid w:val="00931F95"/>
    <w:rsid w:val="00932381"/>
    <w:rsid w:val="009326E9"/>
    <w:rsid w:val="009329E8"/>
    <w:rsid w:val="00932C2E"/>
    <w:rsid w:val="009331CB"/>
    <w:rsid w:val="0093379F"/>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3146"/>
    <w:rsid w:val="009439FE"/>
    <w:rsid w:val="00943BF7"/>
    <w:rsid w:val="00944735"/>
    <w:rsid w:val="00944C9C"/>
    <w:rsid w:val="00944EFF"/>
    <w:rsid w:val="00944F7E"/>
    <w:rsid w:val="00945245"/>
    <w:rsid w:val="009457C8"/>
    <w:rsid w:val="00945F85"/>
    <w:rsid w:val="009460F1"/>
    <w:rsid w:val="009466B5"/>
    <w:rsid w:val="009467E7"/>
    <w:rsid w:val="00946C16"/>
    <w:rsid w:val="009470B8"/>
    <w:rsid w:val="009473CB"/>
    <w:rsid w:val="0095049C"/>
    <w:rsid w:val="00952B41"/>
    <w:rsid w:val="00952BB8"/>
    <w:rsid w:val="00952D79"/>
    <w:rsid w:val="00952DBD"/>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08BA"/>
    <w:rsid w:val="009614CB"/>
    <w:rsid w:val="00961520"/>
    <w:rsid w:val="009616EA"/>
    <w:rsid w:val="00961710"/>
    <w:rsid w:val="00962908"/>
    <w:rsid w:val="00962CFD"/>
    <w:rsid w:val="00962FD8"/>
    <w:rsid w:val="009630D6"/>
    <w:rsid w:val="009631E2"/>
    <w:rsid w:val="009636E1"/>
    <w:rsid w:val="00963E9F"/>
    <w:rsid w:val="00964819"/>
    <w:rsid w:val="00964DB2"/>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5EF0"/>
    <w:rsid w:val="009861D4"/>
    <w:rsid w:val="0098655C"/>
    <w:rsid w:val="00986BF3"/>
    <w:rsid w:val="00987216"/>
    <w:rsid w:val="00987C50"/>
    <w:rsid w:val="00987CBA"/>
    <w:rsid w:val="009908D2"/>
    <w:rsid w:val="0099090F"/>
    <w:rsid w:val="00991104"/>
    <w:rsid w:val="00991294"/>
    <w:rsid w:val="0099140B"/>
    <w:rsid w:val="009918BB"/>
    <w:rsid w:val="00991A4E"/>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A38"/>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DF4"/>
    <w:rsid w:val="009B05E5"/>
    <w:rsid w:val="009B0B6F"/>
    <w:rsid w:val="009B0F4E"/>
    <w:rsid w:val="009B1377"/>
    <w:rsid w:val="009B171A"/>
    <w:rsid w:val="009B1B1D"/>
    <w:rsid w:val="009B1B3C"/>
    <w:rsid w:val="009B25CE"/>
    <w:rsid w:val="009B3B32"/>
    <w:rsid w:val="009B4D59"/>
    <w:rsid w:val="009B4ED0"/>
    <w:rsid w:val="009B4FA8"/>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2E62"/>
    <w:rsid w:val="009C30CE"/>
    <w:rsid w:val="009C32B2"/>
    <w:rsid w:val="009C37A3"/>
    <w:rsid w:val="009C391A"/>
    <w:rsid w:val="009C4626"/>
    <w:rsid w:val="009C4CE6"/>
    <w:rsid w:val="009C5153"/>
    <w:rsid w:val="009C530F"/>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3E48"/>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4AF"/>
    <w:rsid w:val="00A21545"/>
    <w:rsid w:val="00A2159E"/>
    <w:rsid w:val="00A21655"/>
    <w:rsid w:val="00A21B21"/>
    <w:rsid w:val="00A21BD2"/>
    <w:rsid w:val="00A220EC"/>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6AD"/>
    <w:rsid w:val="00A41B26"/>
    <w:rsid w:val="00A41DC0"/>
    <w:rsid w:val="00A41E48"/>
    <w:rsid w:val="00A41FD4"/>
    <w:rsid w:val="00A428BA"/>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D7F"/>
    <w:rsid w:val="00A52E19"/>
    <w:rsid w:val="00A53666"/>
    <w:rsid w:val="00A54004"/>
    <w:rsid w:val="00A5495C"/>
    <w:rsid w:val="00A54F05"/>
    <w:rsid w:val="00A55710"/>
    <w:rsid w:val="00A56DFB"/>
    <w:rsid w:val="00A57D72"/>
    <w:rsid w:val="00A57F1B"/>
    <w:rsid w:val="00A604FD"/>
    <w:rsid w:val="00A60552"/>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087"/>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A58"/>
    <w:rsid w:val="00A74ECC"/>
    <w:rsid w:val="00A7505E"/>
    <w:rsid w:val="00A7528E"/>
    <w:rsid w:val="00A7530D"/>
    <w:rsid w:val="00A75D36"/>
    <w:rsid w:val="00A764D1"/>
    <w:rsid w:val="00A769DB"/>
    <w:rsid w:val="00A770DD"/>
    <w:rsid w:val="00A775CE"/>
    <w:rsid w:val="00A7785E"/>
    <w:rsid w:val="00A77BAE"/>
    <w:rsid w:val="00A77D25"/>
    <w:rsid w:val="00A801A1"/>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433A"/>
    <w:rsid w:val="00AA4519"/>
    <w:rsid w:val="00AA457D"/>
    <w:rsid w:val="00AA4793"/>
    <w:rsid w:val="00AA4EC2"/>
    <w:rsid w:val="00AA5232"/>
    <w:rsid w:val="00AA53AA"/>
    <w:rsid w:val="00AA5448"/>
    <w:rsid w:val="00AA62A6"/>
    <w:rsid w:val="00AA6473"/>
    <w:rsid w:val="00AA7CFE"/>
    <w:rsid w:val="00AB0486"/>
    <w:rsid w:val="00AB0674"/>
    <w:rsid w:val="00AB071C"/>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9BF"/>
    <w:rsid w:val="00AC4F6D"/>
    <w:rsid w:val="00AC551B"/>
    <w:rsid w:val="00AC636F"/>
    <w:rsid w:val="00AC67A9"/>
    <w:rsid w:val="00AC6976"/>
    <w:rsid w:val="00AC6BD8"/>
    <w:rsid w:val="00AC70A6"/>
    <w:rsid w:val="00AC7F60"/>
    <w:rsid w:val="00AD0075"/>
    <w:rsid w:val="00AD00DE"/>
    <w:rsid w:val="00AD021C"/>
    <w:rsid w:val="00AD067D"/>
    <w:rsid w:val="00AD094D"/>
    <w:rsid w:val="00AD0EF7"/>
    <w:rsid w:val="00AD1523"/>
    <w:rsid w:val="00AD1FD1"/>
    <w:rsid w:val="00AD2781"/>
    <w:rsid w:val="00AD2D6A"/>
    <w:rsid w:val="00AD3285"/>
    <w:rsid w:val="00AD3CB2"/>
    <w:rsid w:val="00AD4899"/>
    <w:rsid w:val="00AD4BFC"/>
    <w:rsid w:val="00AD4C70"/>
    <w:rsid w:val="00AD5938"/>
    <w:rsid w:val="00AD5A44"/>
    <w:rsid w:val="00AD5C8D"/>
    <w:rsid w:val="00AD5CDD"/>
    <w:rsid w:val="00AD5EE5"/>
    <w:rsid w:val="00AD5F54"/>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422"/>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1A7E"/>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0FD"/>
    <w:rsid w:val="00B5162E"/>
    <w:rsid w:val="00B518A7"/>
    <w:rsid w:val="00B518CE"/>
    <w:rsid w:val="00B51DEC"/>
    <w:rsid w:val="00B521C0"/>
    <w:rsid w:val="00B52628"/>
    <w:rsid w:val="00B526C6"/>
    <w:rsid w:val="00B52711"/>
    <w:rsid w:val="00B52932"/>
    <w:rsid w:val="00B52E8A"/>
    <w:rsid w:val="00B5326D"/>
    <w:rsid w:val="00B533AF"/>
    <w:rsid w:val="00B53852"/>
    <w:rsid w:val="00B543D5"/>
    <w:rsid w:val="00B5466D"/>
    <w:rsid w:val="00B55448"/>
    <w:rsid w:val="00B5556C"/>
    <w:rsid w:val="00B55B21"/>
    <w:rsid w:val="00B55CC4"/>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0E8D"/>
    <w:rsid w:val="00B7144F"/>
    <w:rsid w:val="00B71CE0"/>
    <w:rsid w:val="00B71D04"/>
    <w:rsid w:val="00B726F8"/>
    <w:rsid w:val="00B72F28"/>
    <w:rsid w:val="00B734B7"/>
    <w:rsid w:val="00B736E0"/>
    <w:rsid w:val="00B740BC"/>
    <w:rsid w:val="00B7511C"/>
    <w:rsid w:val="00B7524E"/>
    <w:rsid w:val="00B7574C"/>
    <w:rsid w:val="00B75804"/>
    <w:rsid w:val="00B75FFB"/>
    <w:rsid w:val="00B76154"/>
    <w:rsid w:val="00B761D5"/>
    <w:rsid w:val="00B761EF"/>
    <w:rsid w:val="00B764B2"/>
    <w:rsid w:val="00B765C7"/>
    <w:rsid w:val="00B76661"/>
    <w:rsid w:val="00B76BA0"/>
    <w:rsid w:val="00B772F2"/>
    <w:rsid w:val="00B777CB"/>
    <w:rsid w:val="00B77995"/>
    <w:rsid w:val="00B77D65"/>
    <w:rsid w:val="00B8004B"/>
    <w:rsid w:val="00B80483"/>
    <w:rsid w:val="00B80A33"/>
    <w:rsid w:val="00B82548"/>
    <w:rsid w:val="00B825A0"/>
    <w:rsid w:val="00B82895"/>
    <w:rsid w:val="00B8293A"/>
    <w:rsid w:val="00B829F9"/>
    <w:rsid w:val="00B82D4A"/>
    <w:rsid w:val="00B82EF6"/>
    <w:rsid w:val="00B8314B"/>
    <w:rsid w:val="00B83DCB"/>
    <w:rsid w:val="00B83F53"/>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52"/>
    <w:rsid w:val="00B95967"/>
    <w:rsid w:val="00B95A5E"/>
    <w:rsid w:val="00B95FD5"/>
    <w:rsid w:val="00B96430"/>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2F02"/>
    <w:rsid w:val="00BB3E9D"/>
    <w:rsid w:val="00BB443F"/>
    <w:rsid w:val="00BB4E52"/>
    <w:rsid w:val="00BB4F48"/>
    <w:rsid w:val="00BB50DA"/>
    <w:rsid w:val="00BB5A91"/>
    <w:rsid w:val="00BB5D22"/>
    <w:rsid w:val="00BB5DB0"/>
    <w:rsid w:val="00BB5F0D"/>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3ECE"/>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B12"/>
    <w:rsid w:val="00BD12E7"/>
    <w:rsid w:val="00BD16DC"/>
    <w:rsid w:val="00BD1832"/>
    <w:rsid w:val="00BD20C9"/>
    <w:rsid w:val="00BD2146"/>
    <w:rsid w:val="00BD2150"/>
    <w:rsid w:val="00BD2155"/>
    <w:rsid w:val="00BD23AB"/>
    <w:rsid w:val="00BD2877"/>
    <w:rsid w:val="00BD2903"/>
    <w:rsid w:val="00BD3551"/>
    <w:rsid w:val="00BD35EE"/>
    <w:rsid w:val="00BD3993"/>
    <w:rsid w:val="00BD3B8B"/>
    <w:rsid w:val="00BD3D4B"/>
    <w:rsid w:val="00BD4145"/>
    <w:rsid w:val="00BD4405"/>
    <w:rsid w:val="00BD4536"/>
    <w:rsid w:val="00BD516A"/>
    <w:rsid w:val="00BD5624"/>
    <w:rsid w:val="00BD5AFE"/>
    <w:rsid w:val="00BD5CC9"/>
    <w:rsid w:val="00BD6B8E"/>
    <w:rsid w:val="00BD714C"/>
    <w:rsid w:val="00BD7153"/>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BB3"/>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080"/>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8E4"/>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6C"/>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1CE"/>
    <w:rsid w:val="00C66213"/>
    <w:rsid w:val="00C66617"/>
    <w:rsid w:val="00C6669E"/>
    <w:rsid w:val="00C669A5"/>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39B0"/>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C3E"/>
    <w:rsid w:val="00CB5674"/>
    <w:rsid w:val="00CB59F5"/>
    <w:rsid w:val="00CB5CEA"/>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3FE2"/>
    <w:rsid w:val="00CE47CC"/>
    <w:rsid w:val="00CE4D74"/>
    <w:rsid w:val="00CE55C9"/>
    <w:rsid w:val="00CE59CB"/>
    <w:rsid w:val="00CE65E6"/>
    <w:rsid w:val="00CE6723"/>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ACC"/>
    <w:rsid w:val="00CF5E0D"/>
    <w:rsid w:val="00CF6128"/>
    <w:rsid w:val="00CF6893"/>
    <w:rsid w:val="00CF68E4"/>
    <w:rsid w:val="00CF6C54"/>
    <w:rsid w:val="00CF752C"/>
    <w:rsid w:val="00CF7A0F"/>
    <w:rsid w:val="00CF7D2A"/>
    <w:rsid w:val="00D00196"/>
    <w:rsid w:val="00D00677"/>
    <w:rsid w:val="00D00993"/>
    <w:rsid w:val="00D009A8"/>
    <w:rsid w:val="00D00C94"/>
    <w:rsid w:val="00D00DAA"/>
    <w:rsid w:val="00D0197E"/>
    <w:rsid w:val="00D02423"/>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D06"/>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797"/>
    <w:rsid w:val="00D17F37"/>
    <w:rsid w:val="00D2033F"/>
    <w:rsid w:val="00D208F2"/>
    <w:rsid w:val="00D20909"/>
    <w:rsid w:val="00D2095F"/>
    <w:rsid w:val="00D20D16"/>
    <w:rsid w:val="00D2118B"/>
    <w:rsid w:val="00D211D8"/>
    <w:rsid w:val="00D21A70"/>
    <w:rsid w:val="00D21F35"/>
    <w:rsid w:val="00D221C6"/>
    <w:rsid w:val="00D22471"/>
    <w:rsid w:val="00D22A99"/>
    <w:rsid w:val="00D22E0C"/>
    <w:rsid w:val="00D231C5"/>
    <w:rsid w:val="00D238C0"/>
    <w:rsid w:val="00D238DC"/>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21B9"/>
    <w:rsid w:val="00D322DA"/>
    <w:rsid w:val="00D3279A"/>
    <w:rsid w:val="00D32839"/>
    <w:rsid w:val="00D32DE0"/>
    <w:rsid w:val="00D32F49"/>
    <w:rsid w:val="00D3335C"/>
    <w:rsid w:val="00D33388"/>
    <w:rsid w:val="00D335C6"/>
    <w:rsid w:val="00D336A4"/>
    <w:rsid w:val="00D3401E"/>
    <w:rsid w:val="00D342EE"/>
    <w:rsid w:val="00D344B8"/>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3C7"/>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6FC"/>
    <w:rsid w:val="00D66858"/>
    <w:rsid w:val="00D672CE"/>
    <w:rsid w:val="00D67708"/>
    <w:rsid w:val="00D67F66"/>
    <w:rsid w:val="00D70436"/>
    <w:rsid w:val="00D70DC3"/>
    <w:rsid w:val="00D71E17"/>
    <w:rsid w:val="00D728E0"/>
    <w:rsid w:val="00D72A33"/>
    <w:rsid w:val="00D731D7"/>
    <w:rsid w:val="00D7348F"/>
    <w:rsid w:val="00D73ACA"/>
    <w:rsid w:val="00D74FF4"/>
    <w:rsid w:val="00D7532A"/>
    <w:rsid w:val="00D7573D"/>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DF1"/>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1B2"/>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44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308"/>
    <w:rsid w:val="00DC15FF"/>
    <w:rsid w:val="00DC1F09"/>
    <w:rsid w:val="00DC2160"/>
    <w:rsid w:val="00DC23A0"/>
    <w:rsid w:val="00DC2505"/>
    <w:rsid w:val="00DC2B8D"/>
    <w:rsid w:val="00DC2F0F"/>
    <w:rsid w:val="00DC4B91"/>
    <w:rsid w:val="00DC4E25"/>
    <w:rsid w:val="00DC51CE"/>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3F5"/>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74E"/>
    <w:rsid w:val="00DE4942"/>
    <w:rsid w:val="00DE4AA8"/>
    <w:rsid w:val="00DE50FE"/>
    <w:rsid w:val="00DE52CC"/>
    <w:rsid w:val="00DE5A64"/>
    <w:rsid w:val="00DE5F49"/>
    <w:rsid w:val="00DE601E"/>
    <w:rsid w:val="00DE606A"/>
    <w:rsid w:val="00DE60B4"/>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563"/>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256"/>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0B6"/>
    <w:rsid w:val="00E903A5"/>
    <w:rsid w:val="00E9094E"/>
    <w:rsid w:val="00E9148F"/>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0BFB"/>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0F11"/>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A7"/>
    <w:rsid w:val="00EC4EC0"/>
    <w:rsid w:val="00EC519E"/>
    <w:rsid w:val="00EC5A77"/>
    <w:rsid w:val="00EC602E"/>
    <w:rsid w:val="00EC6995"/>
    <w:rsid w:val="00EC6D2E"/>
    <w:rsid w:val="00EC6E21"/>
    <w:rsid w:val="00EC7B0F"/>
    <w:rsid w:val="00ED0036"/>
    <w:rsid w:val="00ED0168"/>
    <w:rsid w:val="00ED05F1"/>
    <w:rsid w:val="00ED102B"/>
    <w:rsid w:val="00ED1D4B"/>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CBD"/>
    <w:rsid w:val="00ED6D00"/>
    <w:rsid w:val="00ED72E7"/>
    <w:rsid w:val="00ED7A8E"/>
    <w:rsid w:val="00EE03E5"/>
    <w:rsid w:val="00EE06D1"/>
    <w:rsid w:val="00EE0894"/>
    <w:rsid w:val="00EE0985"/>
    <w:rsid w:val="00EE0B16"/>
    <w:rsid w:val="00EE0C04"/>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A56"/>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C91"/>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49A"/>
    <w:rsid w:val="00F12936"/>
    <w:rsid w:val="00F129AF"/>
    <w:rsid w:val="00F13BE1"/>
    <w:rsid w:val="00F13F33"/>
    <w:rsid w:val="00F147BA"/>
    <w:rsid w:val="00F14E0F"/>
    <w:rsid w:val="00F15145"/>
    <w:rsid w:val="00F15F76"/>
    <w:rsid w:val="00F162A7"/>
    <w:rsid w:val="00F16683"/>
    <w:rsid w:val="00F167FF"/>
    <w:rsid w:val="00F16E8A"/>
    <w:rsid w:val="00F1701B"/>
    <w:rsid w:val="00F17674"/>
    <w:rsid w:val="00F1774E"/>
    <w:rsid w:val="00F17843"/>
    <w:rsid w:val="00F17C14"/>
    <w:rsid w:val="00F20ADE"/>
    <w:rsid w:val="00F20B6D"/>
    <w:rsid w:val="00F215BD"/>
    <w:rsid w:val="00F21700"/>
    <w:rsid w:val="00F21DA6"/>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37256"/>
    <w:rsid w:val="00F374FC"/>
    <w:rsid w:val="00F40567"/>
    <w:rsid w:val="00F408CD"/>
    <w:rsid w:val="00F40EC0"/>
    <w:rsid w:val="00F412A2"/>
    <w:rsid w:val="00F417DB"/>
    <w:rsid w:val="00F41CC8"/>
    <w:rsid w:val="00F422F0"/>
    <w:rsid w:val="00F4230F"/>
    <w:rsid w:val="00F42791"/>
    <w:rsid w:val="00F43B37"/>
    <w:rsid w:val="00F43C32"/>
    <w:rsid w:val="00F44226"/>
    <w:rsid w:val="00F449AD"/>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4B4"/>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5CD"/>
    <w:rsid w:val="00F70A26"/>
    <w:rsid w:val="00F71524"/>
    <w:rsid w:val="00F72191"/>
    <w:rsid w:val="00F72A43"/>
    <w:rsid w:val="00F72A54"/>
    <w:rsid w:val="00F72AC1"/>
    <w:rsid w:val="00F72DE9"/>
    <w:rsid w:val="00F73172"/>
    <w:rsid w:val="00F73AF1"/>
    <w:rsid w:val="00F73F18"/>
    <w:rsid w:val="00F742E4"/>
    <w:rsid w:val="00F74494"/>
    <w:rsid w:val="00F75712"/>
    <w:rsid w:val="00F757B7"/>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41E"/>
    <w:rsid w:val="00F8595C"/>
    <w:rsid w:val="00F866B4"/>
    <w:rsid w:val="00F868D2"/>
    <w:rsid w:val="00F86AF7"/>
    <w:rsid w:val="00F86D04"/>
    <w:rsid w:val="00F876AF"/>
    <w:rsid w:val="00F87749"/>
    <w:rsid w:val="00F87C61"/>
    <w:rsid w:val="00F87F66"/>
    <w:rsid w:val="00F90740"/>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56DA"/>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EAF"/>
    <w:rsid w:val="00FF313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3445D1D-B01D-487F-84F6-82107111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AF6"/>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3FCA"/>
    <w:pPr>
      <w:widowControl w:val="0"/>
      <w:numPr>
        <w:ilvl w:val="5"/>
        <w:numId w:val="26"/>
      </w:numPr>
      <w:outlineLvl w:val="5"/>
    </w:pPr>
    <w:rPr>
      <w:b/>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3FCA"/>
    <w:rPr>
      <w:rFonts w:ascii="Arial" w:hAnsi="Arial" w:cs="Arial"/>
      <w:b/>
      <w:color w:val="17365D"/>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403A07"/>
    <w:pPr>
      <w:jc w:val="center"/>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uiPriority w:val="35"/>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89788E"/>
    <w:pPr>
      <w:numPr>
        <w:numId w:val="37"/>
      </w:numPr>
      <w:ind w:left="504"/>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30"/>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89788E"/>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9"/>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2"/>
      </w:numPr>
      <w:spacing w:before="0"/>
      <w:ind w:left="357" w:hanging="357"/>
    </w:pPr>
  </w:style>
  <w:style w:type="paragraph" w:customStyle="1" w:styleId="bullet-level2">
    <w:name w:val="bullet-level2"/>
    <w:basedOn w:val="Normal"/>
    <w:link w:val="bullet-level2Char"/>
    <w:autoRedefine/>
    <w:qFormat/>
    <w:rsid w:val="00503FCA"/>
    <w:pPr>
      <w:numPr>
        <w:ilvl w:val="1"/>
        <w:numId w:val="32"/>
      </w:numPr>
    </w:pPr>
    <w:rPr>
      <w:szCs w:val="24"/>
      <w:lang w:val="vi-VN"/>
    </w:rPr>
  </w:style>
  <w:style w:type="paragraph" w:customStyle="1" w:styleId="bullet-level3">
    <w:name w:val="bullet-level3"/>
    <w:basedOn w:val="Normal"/>
    <w:autoRedefine/>
    <w:qFormat/>
    <w:rsid w:val="00503FCA"/>
    <w:pPr>
      <w:numPr>
        <w:ilvl w:val="2"/>
        <w:numId w:val="32"/>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5"/>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58584981">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B7404-4F8D-4F1B-8703-C656314DA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Template>
  <TotalTime>1</TotalTime>
  <Pages>1</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10339</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trang nguyen</cp:lastModifiedBy>
  <cp:revision>3</cp:revision>
  <cp:lastPrinted>2013-09-05T10:55:00Z</cp:lastPrinted>
  <dcterms:created xsi:type="dcterms:W3CDTF">2014-09-03T09:06:00Z</dcterms:created>
  <dcterms:modified xsi:type="dcterms:W3CDTF">2014-09-03T09:24:00Z</dcterms:modified>
</cp:coreProperties>
</file>