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04"/>
        <w:gridCol w:w="2612"/>
        <w:gridCol w:w="32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Riqueza neta 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Ratio de desigualdad riqueza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Menor de 35 anos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20.069 €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1,00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Entre 35 y 44 anos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76.932 €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3,83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Entre 45 y 54 anos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128.172 €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6,39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Entre 55 y 64 anos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189.872 €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9,46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Entre 65 y 74 anos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223.960 €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11,16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Mayores de 74 anos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221.254 €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11,02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2026-06-25T13:28:46Z</dcterms:modified>
  <cp:category/>
</cp:coreProperties>
</file>