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52"/>
        <w:gridCol w:w="2612"/>
        <w:gridCol w:w="32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Riqueza neta 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Ratio de desigualdad riqueza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Alquiler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2.217 €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1,00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193.919 €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87,44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Casero (1 vivienda en alquiler)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407.975 €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183,95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Multiarrendadores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996.826 €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449,47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Dos viviendas en alquiler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972.189 €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438,36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Tres viviendas en alquiler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1.069.029 €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482,02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Cuatro o más viviendas en alquiler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1.519.186 €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685,00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2026-06-15T22:57:19Z</dcterms:modified>
  <cp:category/>
</cp:coreProperties>
</file>