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Roboto" w:hAnsi="Roboto" w:cs="Roboto" w:eastAsia="Roboto"/>
          <w:b/>
          <w:i w:val="0"/>
          <w:color w:val="2C3E50"/>
          <w:sz w:val="28"/>
        </w:rPr>
        <w:t>Партнёрство банковского капитала и девелоперской компетенции</w:t>
      </w:r>
    </w:p>
    <w:p>
      <w:pPr>
        <w:spacing w:before="0" w:after="40" w:line="276" w:lineRule="auto"/>
        <w:jc w:val="left"/>
      </w:pPr>
      <w:r>
        <w:rPr>
          <w:rFonts w:ascii="Roboto" w:hAnsi="Roboto" w:cs="Roboto" w:eastAsia="Roboto"/>
          <w:b w:val="0"/>
          <w:i w:val="0"/>
          <w:color w:val="808080"/>
          <w:sz w:val="22"/>
        </w:rPr>
        <w:t>Рабочие конструкции сделок: материал для обсуждения на отраслевых площадках</w:t>
      </w:r>
    </w:p>
    <w:p>
      <w:pPr>
        <w:spacing w:before="0" w:after="20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Август 2026 г. · версия 0.1 (черновик для кулуарных разговоров, не оферта)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Почему это своевременно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Рынок сам сформулировал запрос: центральная финансовая тема отрасли 2026 года — переход банков «от кредитования к совместному бизнесу». Три обстоятельства делают партнёрские конструкции насущными: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Земля недоступна в кредит.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Бридж под площадку на пике ставки стоил 25–26% годовых и убивал экономику проекта; рынок земли фактически стоял. Вход в новые площадки теперь идёт через КРТ, выкуп у проблемных игроков и партнёрства с землевладельцами.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Банкам не хватает equity в проектах.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Требования к собственному участию выросли, покрытие долга эскроу упало с 88% до ~70%, андеррайтинг смотрит на всю группу. Проекты с землёй и разрешением получают отказы из-за расчётного покрытия.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Компетенция и капитал разъехались по разным рукам.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У девелоперов — команды и опыт, но дорогие деньги; у держателей капитала — деньги, но нет аппетита и умения быть техническим заказчиком. Нужна конструкция, в которой вклад каждой стороны измерим и защитим.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Ядро проблемы: чем доказать стоимость компетенции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Наивная схема «партнёр входит компетенцией, капитал — деньгами, прибыль пополам» не проходит контрольные контуры держателей капитала: стоимость компетенции недоказуема на входе. Все рабочие конструкции ниже решают одну и ту же задачу: </w:t>
      </w:r>
      <w:r>
        <w:rPr>
          <w:rFonts w:ascii="Roboto" w:hAnsi="Roboto" w:cs="Roboto" w:eastAsia="Roboto"/>
          <w:b/>
          <w:i w:val="0"/>
          <w:color w:val="333333"/>
          <w:sz w:val="22"/>
        </w:rPr>
        <w:t>привязать вознаграждение компетенции к проверяемому результату, а не к обещанию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Четыре рабочие конструкции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СП с обязательным co-investment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Партнёр-девелопер входит не только компетенцией, но и деньгами — 10–20% equity. Доли прибыли пропорциональны капиталу; вклад компетенции оплачивается отдельно — управленческим fee и success fee за достижение вех (получение РнС, старт продаж, покрытие эскроу, ввод). Ключевой эффект: партнёр рискует своими деньгами — это единственный аргумент о качестве его компетенции, который контролирующие структуры принимают без экспертизы.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Fee-девелопмент с опционом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Капитал держит 100% проекта; девелопер работает как оператор за фиксированное вознаграждение (ориентир рынка — 3–5% бюджета) плюс опцион на долю прибыли при превышении целевого IRR. Компетенция оплачивается строго по факту результата: не достиг порога — получил только fee. В России формат занимает лишь 3–5% проектов против ~75% на западных рынках — ниша впереди роста, тема консолидации без M&amp;A.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Мезонин с equity-kicker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Капитал входит мезонинным долгом с фиксированной доходностью и правом конверсии части долга в долю при успехе проекта. Для держателя капитала — защита долгового приоритета; для девелопера — деньги дешевле бриджа; для контролёров — понятная долговая природа инструмента. Рабочая связка с ЗПИФ недвижимости как источником капитала: сегмент вырос в 1,5 раза за год и идёт к 1,35 трлн ₽.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Поэтапный вход по вехам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Капитал докупает долю траншами по мере снятия рисков: вход на этапе концепции — по одной цене, после РнС — по другой, после выхода на целевое покрытие эскроу — по третьей. Вклад компетенции девелопера материализуется в дельте стоимости между вехами и потому не требует априорной оценки. Конструкция снимает главный страх капитала — заплатить вперёд за недоказанное.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shd w:val="clear" w:fill="F5F5F5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60" w:before="0"/>
            </w:pPr>
            <w:r/>
            <w:r>
              <w:rPr>
                <w:rFonts w:ascii="Roboto" w:hAnsi="Roboto" w:cs="Roboto" w:eastAsia="Roboto"/>
                <w:b/>
                <w:i w:val="0"/>
                <w:color w:val="1F3A5F"/>
                <w:sz w:val="18"/>
              </w:rPr>
              <w:t>ОБЩИЙ ПРИНЦИП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Roboto" w:hAnsi="Roboto" w:cs="Roboto" w:eastAsia="Roboto"/>
                <w:b w:val="0"/>
                <w:i w:val="0"/>
                <w:color w:val="333333"/>
                <w:sz w:val="22"/>
              </w:rPr>
              <w:t xml:space="preserve">Во всех четырёх конструкциях спор «сколько стоит компетенция» переведён из переговоров в механику сделки: вехи, опционы, co-investment и дельта стоимости делают вклад девелопера </w:t>
            </w:r>
            <w:r>
              <w:rPr>
                <w:rFonts w:ascii="Roboto" w:hAnsi="Roboto" w:cs="Roboto" w:eastAsia="Roboto"/>
                <w:b/>
                <w:i w:val="0"/>
                <w:color w:val="333333"/>
                <w:sz w:val="22"/>
              </w:rPr>
              <w:t>измеримым по факту</w:t>
            </w:r>
            <w:r>
              <w:rPr>
                <w:rFonts w:ascii="Roboto" w:hAnsi="Roboto" w:cs="Roboto" w:eastAsia="Roboto"/>
                <w:b w:val="0"/>
                <w:i w:val="0"/>
                <w:color w:val="333333"/>
                <w:sz w:val="22"/>
              </w:rPr>
              <w:t>. Это и есть ответ на вопрос, почему прежние партнёрские схемы не проходили контрольные контуры.</w:t>
            </w:r>
          </w:p>
        </w:tc>
      </w:tr>
    </w:tbl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Что это даёт банку-кредитору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Партнёрское equity в проекте повышает покрытие и LLCR — проект проходит кредитный комитет, который сегодня его отклоняет.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Профессиональный оператор с оплатой за результат снижает риск срыва графика — при 58% объектов с переносами сроков это прямой фактор качества портфеля.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Конструкции дают банку роль партнёра, а не только кредитора, — в русле отраслевого тренда «от кредитования к совместному бизнесу».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Три вопроса для разговора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Материал выше — не презентация со сцены, а опора для кулуарного диалога. Вопросы, с которых он начинается: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Как вы сейчас решаете вход в новую площадку без живых денег — КРТ, рассрочка от собственника, партнёрство? Что из этого реально прошло кредитный комитет?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Если бы капитал был готов войти в ваш проект equity — на каких условиях вы бы согласились делить прибыль? Что для вас приемлемее: co-investment, опцион, поэтапная продажа долей?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Какая из ваших заявок на проектное финансирование за последний год не прошла — и знаете ли вы, по какому именно расчётному параметру?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Материал подготовлен для обсуждения; расчётные модели конструкций (квартальный CF, LLCR, чувствительность) предоставляются под конкретный проект.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8" w:color="D9D9D9"/>
      </w:pBdr>
    </w:pPr>
    <w:r>
      <w:rPr>
        <w:rFonts w:ascii="Roboto" w:hAnsi="Roboto" w:cs="Roboto" w:eastAsia="Roboto"/>
        <w:b w:val="0"/>
        <w:i w:val="0"/>
        <w:color w:val="808080"/>
        <w:sz w:val="18"/>
      </w:rPr>
      <w:t xml:space="preserve">Стр. </w:t>
    </w:r>
    <w:r>
      <w:rPr>
        <w:rFonts w:ascii="Roboto" w:hAnsi="Roboto" w:cs="Roboto" w:eastAsia="Roboto"/>
        <w:b w:val="0"/>
        <w:i w:val="0"/>
        <w:color w:val="808080"/>
        <w:sz w:val="18"/>
      </w:rPr>
      <w:fldChar w:fldCharType="begin"/>
    </w:r>
    <w:r>
      <w:rPr>
        <w:rFonts w:ascii="Roboto" w:hAnsi="Roboto" w:cs="Roboto" w:eastAsia="Roboto"/>
        <w:b w:val="0"/>
        <w:i w:val="0"/>
        <w:color w:val="808080"/>
        <w:sz w:val="18"/>
      </w:rPr>
      <w:instrText xml:space="preserve"> PAGE </w:instrText>
    </w:r>
    <w:r>
      <w:rPr>
        <w:rFonts w:ascii="Roboto" w:hAnsi="Roboto" w:cs="Roboto" w:eastAsia="Roboto"/>
        <w:b w:val="0"/>
        <w:i w:val="0"/>
        <w:color w:val="80808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40"/>
      <w:pBdr>
        <w:bottom w:val="single" w:sz="8" w:color="D9D9D9"/>
      </w:pBdr>
    </w:pPr>
    <w:r>
      <w:rPr>
        <w:rFonts w:ascii="Roboto" w:hAnsi="Roboto" w:cs="Roboto" w:eastAsia="Roboto"/>
        <w:b/>
        <w:i w:val="0"/>
        <w:color w:val="808080"/>
        <w:sz w:val="18"/>
      </w:rPr>
      <w:t>Конструкция-визитка</w:t>
    </w:r>
    <w:r>
      <w:rPr>
        <w:rFonts w:ascii="Roboto" w:hAnsi="Roboto" w:cs="Roboto" w:eastAsia="Roboto"/>
        <w:b w:val="0"/>
        <w:i w:val="0"/>
        <w:color w:val="808080"/>
        <w:sz w:val="18"/>
      </w:rPr>
      <w:tab/>
      <w:t>материал для обсуждения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decimal"/>
      <w:lvlText w:val="%1."/>
      <w:lvlJc w:val="left"/>
      <w:pPr>
        <w:ind w:left="0" w:firstLine="0"/>
      </w:pPr>
      <w:suff w:val="space"/>
    </w:lvl>
    <w:lvl w:ilvl="1">
      <w:start w:val="1"/>
      <w:numFmt w:val="decimal"/>
      <w:lvlText w:val="%1.%2."/>
      <w:lvlJc w:val="left"/>
      <w:pPr>
        <w:ind w:left="0" w:firstLine="0"/>
      </w:pPr>
      <w:suff w:val="space"/>
    </w:lvl>
    <w:lvl w:ilvl="2">
      <w:start w:val="1"/>
      <w:numFmt w:val="decimal"/>
      <w:lvlText w:val="%1.%2.%3."/>
      <w:lvlJc w:val="left"/>
      <w:pPr>
        <w:ind w:left="0" w:firstLine="0"/>
      </w:pPr>
      <w:suff w:val="space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</w:abstractNum>
  <w:abstractNum w:abstractNumId="102">
    <w:lvl w:ilvl="0">
      <w:start w:val="1"/>
      <w:numFmt w:val="bullet"/>
      <w:lvlText w:val="—"/>
      <w:lvlJc w:val="left"/>
      <w:pPr>
        <w:ind w:left="720" w:hanging="360"/>
      </w:pPr>
      <w:rPr>
        <w:rFonts w:ascii="Roboto" w:hAnsi="Roboto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Roboto" w:hAnsi="Roboto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333333"/>
      <w:sz w:val="22"/>
      <w:rFonts w:ascii="Roboto" w:hAnsi="Roboto" w:cs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szCs w:val="28"/>
      <w:rFonts w:ascii="Roboto" w:hAnsi="Roboto" w:cs="Robo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szCs w:val="26"/>
      <w:rFonts w:ascii="Roboto" w:hAnsi="Roboto" w:cs="Robo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rFonts w:ascii="Roboto" w:hAnsi="Roboto" w:cs="Robo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