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Roboto" w:hAnsi="Roboto" w:cs="Roboto" w:eastAsia="Roboto"/>
          <w:b/>
          <w:i w:val="0"/>
          <w:color w:val="2C3E50"/>
          <w:sz w:val="28"/>
        </w:rPr>
        <w:t>«Новое начало»</w:t>
      </w:r>
    </w:p>
    <w:p>
      <w:pPr>
        <w:spacing w:before="0" w:after="40" w:line="276" w:lineRule="auto"/>
        <w:jc w:val="left"/>
      </w:pPr>
      <w:r>
        <w:rPr>
          <w:rFonts w:ascii="Roboto" w:hAnsi="Roboto" w:cs="Roboto" w:eastAsia="Roboto"/>
          <w:b w:val="0"/>
          <w:i w:val="0"/>
          <w:color w:val="808080"/>
          <w:sz w:val="22"/>
        </w:rPr>
        <w:t>Стратегическая записка: диагноз ситуации, рынок, траектории, план</w:t>
      </w:r>
    </w:p>
    <w:p>
      <w:pPr>
        <w:spacing w:before="0" w:after="200" w:line="276" w:lineRule="auto"/>
        <w:jc w:val="left"/>
      </w:pPr>
      <w:r>
        <w:rPr>
          <w:rFonts w:ascii="Roboto" w:hAnsi="Roboto" w:cs="Roboto" w:eastAsia="Roboto"/>
          <w:b w:val="0"/>
          <w:i/>
          <w:color w:val="808080"/>
          <w:sz w:val="18"/>
        </w:rPr>
        <w:t>8 августа 2026 г. · рабочая версия 1.0 · для личного пользования</w:t>
      </w:r>
    </w:p>
    <w:p>
      <w:pPr>
        <w:pStyle w:val="Heading1"/>
        <w:spacing w:before="360" w:after="200" w:line="276" w:lineRule="auto"/>
        <w:jc w:val="left"/>
        <w:keepNext/>
        <w:numPr>
          <w:ilvl w:val="0"/>
          <w:numId w:val="90"/>
        </w:numPr>
      </w:pPr>
      <w:r>
        <w:rPr>
          <w:rFonts w:ascii="Roboto" w:hAnsi="Roboto" w:cs="Roboto" w:eastAsia="Roboto"/>
          <w:b/>
          <w:i w:val="0"/>
          <w:color w:val="1A1A1A"/>
          <w:sz w:val="24"/>
        </w:rPr>
        <w:t>Резюме</w:t>
      </w:r>
    </w:p>
    <w:p>
      <w:pPr>
        <w:spacing w:before="0" w:after="120" w:line="276" w:lineRule="auto"/>
        <w:jc w:val="both"/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Исходный вопрос «где моё место и кому я нужен» при разборе оказался другим вопросом: «почему я 18 лет не двигаюсь, хотя знаю, что надо, — и что я строю на оставшемся времени». Настоящая записка фиксирует диагноз, рыночную фактуру и стратегию, выработанные в августе 2026 г.</w:t>
      </w:r>
    </w:p>
    <w:p>
      <w:pPr>
        <w:spacing w:before="0" w:after="120" w:line="276" w:lineRule="auto"/>
        <w:jc w:val="both"/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Три вывода, на которых стоит всё остальное:</w:t>
      </w:r>
    </w:p>
    <w:p>
      <w:pPr>
        <w:spacing w:before="0" w:after="60" w:line="276" w:lineRule="auto"/>
        <w:jc w:val="both"/>
        <w:numPr>
          <w:ilvl w:val="0"/>
          <w:numId w:val="101"/>
        </w:numPr>
      </w:pPr>
      <w:r>
        <w:rPr>
          <w:rFonts w:ascii="Roboto" w:hAnsi="Roboto" w:cs="Roboto" w:eastAsia="Roboto"/>
          <w:b/>
          <w:i w:val="0"/>
          <w:color w:val="333333"/>
          <w:sz w:val="22"/>
        </w:rPr>
        <w:t>Структура, в которой я работаю, перестала быть бизнесом</w:t>
      </w:r>
      <w:r>
        <w:rPr>
          <w:rFonts w:ascii="Roboto" w:hAnsi="Roboto" w:cs="Roboto" w:eastAsia="Roboto"/>
          <w:b w:val="0"/>
          <w:i w:val="0"/>
          <w:color w:val="333333"/>
          <w:sz w:val="22"/>
        </w:rPr>
        <w:t xml:space="preserve"> и стала эндаументом с персоналом: запас на депозите кормит команду, продукт — комфорт. Ситуация не патовая, а равновесная: она устраивает единственного человека с правом хода. У равновесия есть таймер — уход руководителя.</w:t>
      </w:r>
    </w:p>
    <w:p>
      <w:pPr>
        <w:spacing w:before="0" w:after="60" w:line="276" w:lineRule="auto"/>
        <w:jc w:val="both"/>
        <w:numPr>
          <w:ilvl w:val="0"/>
          <w:numId w:val="101"/>
        </w:numPr>
      </w:pPr>
      <w:r>
        <w:rPr>
          <w:rFonts w:ascii="Roboto" w:hAnsi="Roboto" w:cs="Roboto" w:eastAsia="Roboto"/>
          <w:b/>
          <w:i w:val="0"/>
          <w:color w:val="333333"/>
          <w:sz w:val="22"/>
        </w:rPr>
        <w:t>Рынок 2026–2027 гг. платит максимум именно за мой профиль</w:t>
      </w:r>
      <w:r>
        <w:rPr>
          <w:rFonts w:ascii="Roboto" w:hAnsi="Roboto" w:cs="Roboto" w:eastAsia="Roboto"/>
          <w:b w:val="0"/>
          <w:i w:val="0"/>
          <w:color w:val="333333"/>
          <w:sz w:val="22"/>
        </w:rPr>
        <w:t xml:space="preserve"> — взгляд кредитора на девелоперский проект. Дефицит компетенций на стыке «банк — девелопер» публично признан отраслью. Окно закрывается к 2028 г., когда снижение ставки снова прикроет маржой неумение структурировать.</w:t>
      </w:r>
    </w:p>
    <w:p>
      <w:pPr>
        <w:spacing w:before="0" w:after="60" w:line="276" w:lineRule="auto"/>
        <w:jc w:val="both"/>
        <w:numPr>
          <w:ilvl w:val="0"/>
          <w:numId w:val="101"/>
        </w:numPr>
      </w:pPr>
      <w:r>
        <w:rPr>
          <w:rFonts w:ascii="Roboto" w:hAnsi="Roboto" w:cs="Roboto" w:eastAsia="Roboto"/>
          <w:b/>
          <w:i w:val="0"/>
          <w:color w:val="333333"/>
          <w:sz w:val="22"/>
        </w:rPr>
        <w:t>Выбранная стратегия «4+2»</w:t>
      </w:r>
      <w:r>
        <w:rPr>
          <w:rFonts w:ascii="Roboto" w:hAnsi="Roboto" w:cs="Roboto" w:eastAsia="Roboto"/>
          <w:b w:val="0"/>
          <w:i w:val="0"/>
          <w:color w:val="333333"/>
          <w:sz w:val="22"/>
        </w:rPr>
        <w:t xml:space="preserve"> — оставаться в структуре, строя собственное имя, — рациональна, но по умолчанию схлопывается в чистое «оставаться». Работает только при фальсифицируемости: даты, метрики, растяжка-детектор.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071"/>
      </w:tblGrid>
      <w:tr>
        <w:trPr>
          <w:cantSplit/>
        </w:trPr>
        <w:tc>
          <w:tcPr>
            <w:tcW w:type="dxa" w:w="9071"/>
            <w:shd w:val="clear" w:fill="F5F5F5"/>
            <w:tcMar>
              <w:top w:w="160" w:type="dxa"/>
              <w:bottom w:w="160" w:type="dxa"/>
              <w:start w:w="220" w:type="dxa"/>
              <w:end w:w="220" w:type="dxa"/>
            </w:tcMar>
          </w:tcPr>
          <w:p>
            <w:pPr>
              <w:spacing w:after="40"/>
            </w:pPr>
            <w:r/>
            <w:r>
              <w:rPr>
                <w:rFonts w:ascii="Roboto" w:hAnsi="Roboto" w:cs="Roboto" w:eastAsia="Roboto"/>
                <w:b/>
                <w:i w:val="0"/>
                <w:color w:val="1F3A5F"/>
                <w:sz w:val="64"/>
              </w:rPr>
              <w:t>2026–2027</w:t>
            </w:r>
            <w:r>
              <w:rPr>
                <w:rFonts w:ascii="Roboto" w:hAnsi="Roboto" w:cs="Roboto" w:eastAsia="Roboto"/>
                <w:b/>
                <w:i w:val="0"/>
                <w:color w:val="1F3A5F"/>
                <w:sz w:val="32"/>
              </w:rPr>
              <w:t xml:space="preserve"> гг.</w:t>
            </w:r>
          </w:p>
          <w:p>
            <w:pPr>
              <w:spacing w:after="0"/>
            </w:pPr>
            <w:r>
              <w:rPr>
                <w:rFonts w:ascii="Roboto" w:hAnsi="Roboto" w:cs="Roboto" w:eastAsia="Roboto"/>
                <w:b w:val="0"/>
                <w:i w:val="0"/>
                <w:color w:val="808080"/>
                <w:sz w:val="22"/>
              </w:rPr>
              <w:t>Окно максимального спроса на сделочно-структурную экспертизу на стыке банковского контура и девелопмента. Точка входа — сейчас.</w:t>
            </w:r>
          </w:p>
        </w:tc>
      </w:tr>
    </w:tbl>
    <w:p>
      <w:pPr>
        <w:spacing w:before="0" w:after="40" w:line="276" w:lineRule="auto"/>
        <w:jc w:val="both"/>
      </w:pPr>
    </w:p>
    <w:p>
      <w:pPr>
        <w:pStyle w:val="Heading1"/>
        <w:spacing w:before="360" w:after="200" w:line="276" w:lineRule="auto"/>
        <w:jc w:val="left"/>
        <w:keepNext/>
        <w:numPr>
          <w:ilvl w:val="0"/>
          <w:numId w:val="90"/>
        </w:numPr>
      </w:pPr>
      <w:r>
        <w:rPr>
          <w:rFonts w:ascii="Roboto" w:hAnsi="Roboto" w:cs="Roboto" w:eastAsia="Roboto"/>
          <w:b/>
          <w:i w:val="0"/>
          <w:color w:val="1A1A1A"/>
          <w:sz w:val="24"/>
        </w:rPr>
        <w:t>Диагноз структуры</w:t>
      </w:r>
    </w:p>
    <w:p>
      <w:pPr>
        <w:pStyle w:val="Heading2"/>
        <w:spacing w:before="280" w:after="160" w:line="276" w:lineRule="auto"/>
        <w:jc w:val="left"/>
        <w:keepNext/>
        <w:numPr>
          <w:ilvl w:val="1"/>
          <w:numId w:val="90"/>
        </w:numPr>
      </w:pPr>
      <w:r>
        <w:rPr>
          <w:rFonts w:ascii="Roboto" w:hAnsi="Roboto" w:cs="Roboto" w:eastAsia="Roboto"/>
          <w:b/>
          <w:i w:val="0"/>
          <w:color w:val="1A1A1A"/>
          <w:sz w:val="24"/>
        </w:rPr>
        <w:t>Не бизнес, а эндаумент</w:t>
      </w:r>
    </w:p>
    <w:p>
      <w:pPr>
        <w:spacing w:before="0" w:after="120" w:line="276" w:lineRule="auto"/>
        <w:jc w:val="both"/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Компания возникла как девелоперская «дочка» банка (активная фаза — 2006–2014 гг.), после кризисов свернула прямой девелопмент под формулой «финансовое партнёрство», распродала проекты и живёт на проценты с накопленного запаса. Функция персонала — находиться при запасе. Это не компания в трудной фазе: это эндаумент, продукт которого — комфорт его сотрудников.</w:t>
      </w:r>
    </w:p>
    <w:p>
      <w:pPr>
        <w:spacing w:before="0" w:after="120" w:line="276" w:lineRule="auto"/>
        <w:jc w:val="both"/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Банк терпит структуру, потому что терпимость бесплатна: самофинансирование с депозита, политическое прикрытие отношениями руководителя, статус «опции» на случай, когда понадобится входить в капитал проектов. Фундамента у этой терпимости нет — только отсутствие повода спросить. Смена куратора, волна оптимизации или чей-то интерес к депозиту закрывают вопрос в одно совещание.</w:t>
      </w:r>
    </w:p>
    <w:p>
      <w:pPr>
        <w:pStyle w:val="Heading2"/>
        <w:spacing w:before="280" w:after="160" w:line="276" w:lineRule="auto"/>
        <w:jc w:val="left"/>
        <w:keepNext/>
        <w:numPr>
          <w:ilvl w:val="1"/>
          <w:numId w:val="90"/>
        </w:numPr>
      </w:pPr>
      <w:r>
        <w:rPr>
          <w:rFonts w:ascii="Roboto" w:hAnsi="Roboto" w:cs="Roboto" w:eastAsia="Roboto"/>
          <w:b/>
          <w:i w:val="0"/>
          <w:color w:val="1A1A1A"/>
          <w:sz w:val="24"/>
        </w:rPr>
        <w:t>Равновесие вместо пата</w:t>
      </w:r>
    </w:p>
    <w:p>
      <w:pPr>
        <w:spacing w:before="0" w:after="120" w:line="276" w:lineRule="auto"/>
        <w:jc w:val="both"/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Ситуация ощущается как патовая, но пат — это когда ходить не может никто. Здесь право хода есть у одного человека — руководителя, и его ход сделан: «аккуратно досидеть». Каждый элемент «пата» — отказ от риска, гибель всех конструкций в куче контраргументов, экспертное позиционирование без операционной активности — обслуживает эту стратегию. Анализ в структуре давно работает не инструментом решения, а генератором оправданий нерешения.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071"/>
      </w:tblGrid>
      <w:tr>
        <w:trPr>
          <w:cantSplit/>
        </w:trPr>
        <w:tc>
          <w:tcPr>
            <w:tcW w:type="dxa" w:w="9071"/>
            <w:shd w:val="clear" w:fill="F5F5F5"/>
            <w:tcMar>
              <w:top w:w="140" w:type="dxa"/>
              <w:bottom w:w="140" w:type="dxa"/>
              <w:start w:w="200" w:type="dxa"/>
              <w:end w:w="200" w:type="dxa"/>
            </w:tcMar>
          </w:tcPr>
          <w:p>
            <w:pPr>
              <w:spacing w:after="60" w:before="0"/>
            </w:pPr>
            <w:r/>
            <w:r>
              <w:rPr>
                <w:rFonts w:ascii="Roboto" w:hAnsi="Roboto" w:cs="Roboto" w:eastAsia="Roboto"/>
                <w:b/>
                <w:i w:val="0"/>
                <w:color w:val="1F3A5F"/>
                <w:sz w:val="18"/>
              </w:rPr>
              <w:t>КЛЮЧЕВОЙ ВЫВОД</w:t>
            </w:r>
          </w:p>
          <w:p>
            <w:pPr>
              <w:spacing w:before="0" w:after="0" w:line="276" w:lineRule="auto"/>
              <w:jc w:val="both"/>
            </w:pPr>
            <w:r>
              <w:rPr>
                <w:rFonts w:ascii="Roboto" w:hAnsi="Roboto" w:cs="Roboto" w:eastAsia="Roboto"/>
                <w:b w:val="0"/>
                <w:i w:val="0"/>
                <w:color w:val="333333"/>
                <w:sz w:val="22"/>
              </w:rPr>
              <w:t xml:space="preserve">Вопросы «почему у нас не срастается» и «как оживить компанию» не имеют решения в моей зоне контроля: право хода принадлежит руководителю. Единственный вопрос, который принадлежит мне: </w:t>
            </w:r>
            <w:r>
              <w:rPr>
                <w:rFonts w:ascii="Roboto" w:hAnsi="Roboto" w:cs="Roboto" w:eastAsia="Roboto"/>
                <w:b/>
                <w:i w:val="0"/>
                <w:color w:val="333333"/>
                <w:sz w:val="22"/>
              </w:rPr>
              <w:t>что я строю на оставшемся runway</w:t>
            </w:r>
            <w:r>
              <w:rPr>
                <w:rFonts w:ascii="Roboto" w:hAnsi="Roboto" w:cs="Roboto" w:eastAsia="Roboto"/>
                <w:b w:val="0"/>
                <w:i w:val="0"/>
                <w:color w:val="333333"/>
                <w:sz w:val="22"/>
              </w:rPr>
              <w:t xml:space="preserve"> — пока санаторий открыт, зарплата идёт и вывеска банка работает.</w:t>
            </w:r>
          </w:p>
        </w:tc>
      </w:tr>
    </w:tbl>
    <w:p>
      <w:pPr>
        <w:pStyle w:val="Heading2"/>
        <w:spacing w:before="280" w:after="160" w:line="276" w:lineRule="auto"/>
        <w:jc w:val="left"/>
        <w:keepNext/>
        <w:numPr>
          <w:ilvl w:val="1"/>
          <w:numId w:val="90"/>
        </w:numPr>
      </w:pPr>
      <w:r>
        <w:rPr>
          <w:rFonts w:ascii="Roboto" w:hAnsi="Roboto" w:cs="Roboto" w:eastAsia="Roboto"/>
          <w:b/>
          <w:i w:val="0"/>
          <w:color w:val="1A1A1A"/>
          <w:sz w:val="24"/>
        </w:rPr>
        <w:t>Таймер</w:t>
      </w:r>
    </w:p>
    <w:p>
      <w:pPr>
        <w:spacing w:before="0" w:after="120" w:line="276" w:lineRule="auto"/>
        <w:jc w:val="both"/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Равновесие не статично — у него есть часы: руководитель досиживает до своего момента. После его ухода отношения перестают прикрывать структуру, запас переподчиняется, а второй эшелон — люди без имени в отрасли и в банке — выходит на рынок труда в 55+ с практикой десятилетней давности. Ужас перед «следующими 2–5 годами» — не невроз, а точное показание прибора: он показывает дату закрытия санатория. Проценты с депозита — анестезия, оплачивающая невосприятие этого таймера.</w:t>
      </w:r>
    </w:p>
    <w:p>
      <w:pPr>
        <w:pStyle w:val="Heading1"/>
        <w:spacing w:before="360" w:after="200" w:line="276" w:lineRule="auto"/>
        <w:jc w:val="left"/>
        <w:keepNext/>
        <w:numPr>
          <w:ilvl w:val="0"/>
          <w:numId w:val="90"/>
        </w:numPr>
      </w:pPr>
      <w:r>
        <w:rPr>
          <w:rFonts w:ascii="Roboto" w:hAnsi="Roboto" w:cs="Roboto" w:eastAsia="Roboto"/>
          <w:b/>
          <w:i w:val="0"/>
          <w:color w:val="1A1A1A"/>
          <w:sz w:val="24"/>
        </w:rPr>
        <w:t>Личный контур</w:t>
      </w:r>
    </w:p>
    <w:p>
      <w:pPr>
        <w:pStyle w:val="Heading2"/>
        <w:spacing w:before="280" w:after="160" w:line="276" w:lineRule="auto"/>
        <w:jc w:val="left"/>
        <w:keepNext/>
        <w:numPr>
          <w:ilvl w:val="1"/>
          <w:numId w:val="90"/>
        </w:numPr>
      </w:pPr>
      <w:r>
        <w:rPr>
          <w:rFonts w:ascii="Roboto" w:hAnsi="Roboto" w:cs="Roboto" w:eastAsia="Roboto"/>
          <w:b/>
          <w:i w:val="0"/>
          <w:color w:val="1A1A1A"/>
          <w:sz w:val="24"/>
        </w:rPr>
        <w:t>Одна петля на трёх масштабах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3024"/>
        <w:gridCol w:w="3024"/>
        <w:gridCol w:w="3024"/>
      </w:tblGrid>
      <w:tr>
        <w:tc>
          <w:tcPr>
            <w:tcW w:type="dxa" w:w="1247"/>
            <w:shd w:val="clear" w:fill="D6E0E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/>
                <w:i w:val="0"/>
                <w:color w:val="1A1A1A"/>
                <w:sz w:val="20"/>
              </w:rPr>
              <w:t>Масштаб</w:t>
            </w:r>
          </w:p>
        </w:tc>
        <w:tc>
          <w:tcPr>
            <w:tcW w:type="dxa" w:w="3628"/>
            <w:shd w:val="clear" w:fill="D6E0E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/>
                <w:i w:val="0"/>
                <w:color w:val="1A1A1A"/>
                <w:sz w:val="20"/>
              </w:rPr>
              <w:t>Цикл</w:t>
            </w:r>
          </w:p>
        </w:tc>
        <w:tc>
          <w:tcPr>
            <w:tcW w:type="dxa" w:w="4195"/>
            <w:shd w:val="clear" w:fill="D6E0E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/>
                <w:i w:val="0"/>
                <w:color w:val="1A1A1A"/>
                <w:sz w:val="20"/>
              </w:rPr>
              <w:t>Механизм</w:t>
            </w:r>
          </w:p>
        </w:tc>
      </w:tr>
      <w:tr>
        <w:tc>
          <w:tcPr>
            <w:tcW w:type="dxa" w:w="124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Неделя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Понедельник: настроился → не сделал → снова понедельник</w:t>
            </w:r>
          </w:p>
        </w:tc>
        <w:tc>
          <w:tcPr>
            <w:tcW w:type="dxa" w:w="419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Задуманное «сделать» не нужно никому внутри системы; организм это корректно считывает</w:t>
            </w:r>
          </w:p>
        </w:tc>
      </w:tr>
      <w:tr>
        <w:tc>
          <w:tcPr>
            <w:tcW w:type="dxa" w:w="1247"/>
            <w:tcMar>
              <w:top w:w="60" w:type="dxa"/>
              <w:bottom w:w="60" w:type="dxa"/>
              <w:start w:w="100" w:type="dxa"/>
              <w:end w:w="100" w:type="dxa"/>
            </w:tcMar>
            <w:shd w:val="clear" w:fill="F5F5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8 лет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00" w:type="dxa"/>
              <w:end w:w="100" w:type="dxa"/>
            </w:tcMar>
            <w:shd w:val="clear" w:fill="F5F5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Ужаснулся будущим 2–5 годам (2018) → решил «не думать» → дожил до того же ужаса (2026)</w:t>
            </w:r>
          </w:p>
        </w:tc>
        <w:tc>
          <w:tcPr>
            <w:tcW w:type="dxa" w:w="4195"/>
            <w:tcMar>
              <w:top w:w="60" w:type="dxa"/>
              <w:bottom w:w="60" w:type="dxa"/>
              <w:start w:w="100" w:type="dxa"/>
              <w:end w:w="100" w:type="dxa"/>
            </w:tcMar>
            <w:shd w:val="clear" w:fill="F5F5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Страх оказался точным прогнозом: сбылось «ничего не случилось» — планы не рухнули, они не произошли</w:t>
            </w:r>
          </w:p>
        </w:tc>
      </w:tr>
      <w:tr>
        <w:tc>
          <w:tcPr>
            <w:tcW w:type="dxa" w:w="124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20 лет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План → расхождение → неудобно перед собой → не смотреть</w:t>
            </w:r>
          </w:p>
        </w:tc>
        <w:tc>
          <w:tcPr>
            <w:tcW w:type="dxa" w:w="419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Судья — я двадцатилетней давности; старый план размечает и надежды, и страхи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Roboto" w:hAnsi="Roboto" w:cs="Roboto" w:eastAsia="Roboto"/>
          <w:b w:val="0"/>
          <w:i/>
          <w:color w:val="808080"/>
          <w:sz w:val="18"/>
        </w:rPr>
        <w:t>Табл. 1. Три масштаба одной петли избегания</w:t>
      </w:r>
    </w:p>
    <w:p>
      <w:pPr>
        <w:spacing w:before="80" w:after="120" w:line="276" w:lineRule="auto"/>
        <w:jc w:val="both"/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Катастрофа, которой я боялся, оказалась не событием, а отсутствием событий. У неё нет даты, ни один отдельный понедельник ничего не стоит — потеря существует только в сумме и видна только ретроспективой. Поэтому сигнализация не срабатывала: она не реагирует на медленную утечку.</w:t>
      </w:r>
    </w:p>
    <w:p>
      <w:pPr>
        <w:pStyle w:val="Heading2"/>
        <w:spacing w:before="280" w:after="160" w:line="276" w:lineRule="auto"/>
        <w:jc w:val="left"/>
        <w:keepNext/>
        <w:numPr>
          <w:ilvl w:val="1"/>
          <w:numId w:val="90"/>
        </w:numPr>
      </w:pPr>
      <w:r>
        <w:rPr>
          <w:rFonts w:ascii="Roboto" w:hAnsi="Roboto" w:cs="Roboto" w:eastAsia="Roboto"/>
          <w:b/>
          <w:i w:val="0"/>
          <w:color w:val="1A1A1A"/>
          <w:sz w:val="24"/>
        </w:rPr>
        <w:t>Механизм бездействия</w:t>
      </w:r>
    </w:p>
    <w:p>
      <w:pPr>
        <w:spacing w:before="0" w:after="120" w:line="276" w:lineRule="auto"/>
        <w:jc w:val="both"/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Пока задуманное не сделано, старый план формально жив: можно верить, что «всё снова заработает по-моему». Сделанное даст ответ реальности, а ответ может оказаться неудобным: по-старому не заработает никогда. Бездействие — не лень; это способ не хоронить план. Той же природы «волшебная таблетка» — мечта о конструкции, которая «сама восхитит рынок»: действие без действующего.</w:t>
      </w:r>
    </w:p>
    <w:p>
      <w:pPr>
        <w:spacing w:before="0" w:after="120" w:line="276" w:lineRule="auto"/>
        <w:jc w:val="both"/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Слово «ответственность» в моей ситуации означает две разные вещи: обязательства перед близкими (несу, и они служат алиби) и ответственность перед собственной жизнью (оставлена ~10 лет назад, после «поймал бога за бороду»). Первая — не причина не двигаться; вопрос «чего на самом деле хотят близкие — текущих денег любой ценой или живого меня» — не задан.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071"/>
      </w:tblGrid>
      <w:tr>
        <w:trPr>
          <w:cantSplit/>
        </w:trPr>
        <w:tc>
          <w:tcPr>
            <w:tcW w:type="dxa" w:w="9071"/>
            <w:shd w:val="clear" w:fill="F5F5F5"/>
            <w:tcMar>
              <w:top w:w="140" w:type="dxa"/>
              <w:bottom w:w="140" w:type="dxa"/>
              <w:start w:w="200" w:type="dxa"/>
              <w:end w:w="200" w:type="dxa"/>
            </w:tcMar>
          </w:tcPr>
          <w:p>
            <w:pPr>
              <w:spacing w:after="60" w:before="0"/>
            </w:pPr>
            <w:r/>
            <w:r>
              <w:rPr>
                <w:rFonts w:ascii="Roboto" w:hAnsi="Roboto" w:cs="Roboto" w:eastAsia="Roboto"/>
                <w:b/>
                <w:i w:val="0"/>
                <w:color w:val="C77B30"/>
                <w:sz w:val="18"/>
              </w:rPr>
              <w:t>РИСК</w:t>
            </w:r>
          </w:p>
          <w:p>
            <w:pPr>
              <w:spacing w:before="0" w:after="0" w:line="276" w:lineRule="auto"/>
              <w:jc w:val="both"/>
            </w:pPr>
            <w:r>
              <w:rPr>
                <w:rFonts w:ascii="Roboto" w:hAnsi="Roboto" w:cs="Roboto" w:eastAsia="Roboto"/>
                <w:b w:val="0"/>
                <w:i w:val="0"/>
                <w:color w:val="333333"/>
                <w:sz w:val="22"/>
              </w:rPr>
              <w:t>Главный ресурс психики сейчас — превратить любой диагноз в самобичевание («сам виноват, пять лет потерял»). Вина — топливо петли: чем виноватее, тем тяжелее подступиться к делу. Подтверждённый прогноз — это знание, а не грех. Использовать как инструмент, не как приговор.</w:t>
            </w:r>
          </w:p>
        </w:tc>
      </w:tr>
    </w:tbl>
    <w:p>
      <w:pPr>
        <w:pStyle w:val="Heading2"/>
        <w:spacing w:before="280" w:after="160" w:line="276" w:lineRule="auto"/>
        <w:jc w:val="left"/>
        <w:keepNext/>
        <w:numPr>
          <w:ilvl w:val="1"/>
          <w:numId w:val="90"/>
        </w:numPr>
      </w:pPr>
      <w:r>
        <w:rPr>
          <w:rFonts w:ascii="Roboto" w:hAnsi="Roboto" w:cs="Roboto" w:eastAsia="Roboto"/>
          <w:b/>
          <w:i w:val="0"/>
          <w:color w:val="1A1A1A"/>
          <w:sz w:val="24"/>
        </w:rPr>
        <w:t>Компетенции: где они амортизируются</w:t>
      </w:r>
    </w:p>
    <w:p>
      <w:pPr>
        <w:spacing w:before="0" w:after="120" w:line="276" w:lineRule="auto"/>
        <w:jc w:val="both"/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 xml:space="preserve">Компетенция держится на трёх носителях: свежесть практики, рыночное имя, соответствие текущей конфигурации рынка. Практика затухает с распродажи проектов; имя отсутствует — репутационный капитал 18 лет конвертировался в бренд руководителя; соответствие рынку — проверяемо (см. раздел 4). Ключевой переворот: </w:t>
      </w:r>
      <w:r>
        <w:rPr>
          <w:rFonts w:ascii="Roboto" w:hAnsi="Roboto" w:cs="Roboto" w:eastAsia="Roboto"/>
          <w:b/>
          <w:i w:val="0"/>
          <w:color w:val="333333"/>
          <w:sz w:val="22"/>
        </w:rPr>
        <w:t>оставаясь в бездействующей структуре, я теряю компетенции с максимальной скоростью</w:t>
      </w:r>
      <w:r>
        <w:rPr>
          <w:rFonts w:ascii="Roboto" w:hAnsi="Roboto" w:cs="Roboto" w:eastAsia="Roboto"/>
          <w:b w:val="0"/>
          <w:i w:val="0"/>
          <w:color w:val="333333"/>
          <w:sz w:val="22"/>
        </w:rPr>
        <w:t xml:space="preserve"> — быстрее, чем при любом движении. Аргумент «жалко терять компетенции» — аргумент за движение, а не против.</w:t>
      </w:r>
    </w:p>
    <w:p>
      <w:pPr>
        <w:pStyle w:val="Heading1"/>
        <w:spacing w:before="360" w:after="200" w:line="276" w:lineRule="auto"/>
        <w:jc w:val="left"/>
        <w:keepNext/>
        <w:numPr>
          <w:ilvl w:val="0"/>
          <w:numId w:val="90"/>
        </w:numPr>
      </w:pPr>
      <w:r>
        <w:rPr>
          <w:rFonts w:ascii="Roboto" w:hAnsi="Roboto" w:cs="Roboto" w:eastAsia="Roboto"/>
          <w:b/>
          <w:i w:val="0"/>
          <w:color w:val="1A1A1A"/>
          <w:sz w:val="24"/>
        </w:rPr>
        <w:t>Рынок: фаза и окно</w:t>
      </w:r>
    </w:p>
    <w:p>
      <w:pPr>
        <w:pStyle w:val="Heading2"/>
        <w:spacing w:before="280" w:after="160" w:line="276" w:lineRule="auto"/>
        <w:jc w:val="left"/>
        <w:keepNext/>
        <w:numPr>
          <w:ilvl w:val="1"/>
          <w:numId w:val="90"/>
        </w:numPr>
      </w:pPr>
      <w:r>
        <w:rPr>
          <w:rFonts w:ascii="Roboto" w:hAnsi="Roboto" w:cs="Roboto" w:eastAsia="Roboto"/>
          <w:b/>
          <w:i w:val="0"/>
          <w:color w:val="1A1A1A"/>
          <w:sz w:val="24"/>
        </w:rPr>
        <w:t>Фаза: межфаза, окно перераспределения</w:t>
      </w:r>
    </w:p>
    <w:p>
      <w:pPr>
        <w:spacing w:before="0" w:after="120" w:line="276" w:lineRule="auto"/>
        <w:jc w:val="both"/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Дно рынка пройдено в 2025 г., но отрасль выходит из него закредитованной и с разрушенной экономикой проектов. Спрос уже оживает, балансы девелоперов ещё ухудшаются; кассовый разрыв между «продажи вернулись» и «экономика починилась» — 12–24 месяца. Именно в этом окне слабые распродают проекты и землю сильным: ~60 сделок M&amp;A за 2025 г., большинство — вынужденные.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024"/>
        <w:gridCol w:w="3024"/>
        <w:gridCol w:w="3024"/>
      </w:tblGrid>
      <w:tr>
        <w:tc>
          <w:tcPr>
            <w:tcW w:type="dxa" w:w="4649"/>
            <w:tcMar>
              <w:top w:w="60" w:type="dxa"/>
              <w:bottom w:w="60" w:type="dxa"/>
              <w:start w:w="100" w:type="dxa"/>
              <w:end w:w="100" w:type="dxa"/>
            </w:tcMar>
            <w:tcBorders>
              <w:top w:val="single" w:sz="16" w:color="1A1A1A"/>
              <w:bottom w:val="single" w:sz="16" w:color="1A1A1A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/>
                <w:i w:val="0"/>
                <w:color w:val="1A1A1A"/>
                <w:sz w:val="20"/>
              </w:rPr>
              <w:t>Показатель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00" w:type="dxa"/>
              <w:end w:w="100" w:type="dxa"/>
            </w:tcMar>
            <w:tcBorders>
              <w:top w:val="single" w:sz="16" w:color="1A1A1A"/>
              <w:bottom w:val="single" w:sz="16" w:color="1A1A1A"/>
            </w:tcBorders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Roboto" w:hAnsi="Roboto" w:cs="Roboto" w:eastAsia="Roboto"/>
                <w:b/>
                <w:i w:val="0"/>
                <w:color w:val="1A1A1A"/>
                <w:sz w:val="20"/>
              </w:rPr>
              <w:t>Значение</w:t>
            </w:r>
          </w:p>
        </w:tc>
        <w:tc>
          <w:tcPr>
            <w:tcW w:type="dxa" w:w="2041"/>
            <w:tcMar>
              <w:top w:w="60" w:type="dxa"/>
              <w:bottom w:w="60" w:type="dxa"/>
              <w:start w:w="100" w:type="dxa"/>
              <w:end w:w="100" w:type="dxa"/>
            </w:tcMar>
            <w:tcBorders>
              <w:top w:val="single" w:sz="16" w:color="1A1A1A"/>
              <w:bottom w:val="single" w:sz="16" w:color="1A1A1A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/>
                <w:i w:val="0"/>
                <w:color w:val="1A1A1A"/>
                <w:sz w:val="20"/>
              </w:rPr>
              <w:t>Период</w:t>
            </w:r>
          </w:p>
        </w:tc>
      </w:tr>
      <w:tr>
        <w:tc>
          <w:tcPr>
            <w:tcW w:type="dxa" w:w="4649"/>
            <w:tcMar>
              <w:top w:w="60" w:type="dxa"/>
              <w:bottom w:w="60" w:type="dxa"/>
              <w:start w:w="100" w:type="dxa"/>
              <w:end w:w="100" w:type="dxa"/>
            </w:tcMar>
            <w:tcBorders>
              <w:bottom w:val="single" w:sz="8" w:color="D9D9D9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Ключевая ставка ЦБ: пик → сейчас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00" w:type="dxa"/>
              <w:end w:w="100" w:type="dxa"/>
            </w:tcMar>
            <w:tcBorders>
              <w:bottom w:val="single" w:sz="8" w:color="D9D9D9"/>
            </w:tcBorders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21% → 14%</w:t>
            </w:r>
          </w:p>
        </w:tc>
        <w:tc>
          <w:tcPr>
            <w:tcW w:type="dxa" w:w="2041"/>
            <w:tcMar>
              <w:top w:w="60" w:type="dxa"/>
              <w:bottom w:w="60" w:type="dxa"/>
              <w:start w:w="100" w:type="dxa"/>
              <w:end w:w="100" w:type="dxa"/>
            </w:tcMar>
            <w:tcBorders>
              <w:bottom w:val="single" w:sz="8" w:color="D9D9D9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10.2024 → 07.2026</w:t>
            </w:r>
          </w:p>
        </w:tc>
      </w:tr>
      <w:tr>
        <w:tc>
          <w:tcPr>
            <w:tcW w:type="dxa" w:w="4649"/>
            <w:tcMar>
              <w:top w:w="60" w:type="dxa"/>
              <w:bottom w:w="60" w:type="dxa"/>
              <w:start w:w="100" w:type="dxa"/>
              <w:end w:w="100" w:type="dxa"/>
            </w:tcMar>
            <w:tcBorders>
              <w:bottom w:val="single" w:sz="8" w:color="D9D9D9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Рыночная ипотека, рост выдач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00" w:type="dxa"/>
              <w:end w:w="100" w:type="dxa"/>
            </w:tcMar>
            <w:tcBorders>
              <w:bottom w:val="single" w:sz="8" w:color="D9D9D9"/>
            </w:tcBorders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×3,7</w:t>
            </w:r>
          </w:p>
        </w:tc>
        <w:tc>
          <w:tcPr>
            <w:tcW w:type="dxa" w:w="2041"/>
            <w:tcMar>
              <w:top w:w="60" w:type="dxa"/>
              <w:bottom w:w="60" w:type="dxa"/>
              <w:start w:w="100" w:type="dxa"/>
              <w:end w:w="100" w:type="dxa"/>
            </w:tcMar>
            <w:tcBorders>
              <w:bottom w:val="single" w:sz="8" w:color="D9D9D9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1П 2026 к 1П 2025</w:t>
            </w:r>
          </w:p>
        </w:tc>
      </w:tr>
      <w:tr>
        <w:tc>
          <w:tcPr>
            <w:tcW w:type="dxa" w:w="4649"/>
            <w:tcMar>
              <w:top w:w="60" w:type="dxa"/>
              <w:bottom w:w="60" w:type="dxa"/>
              <w:start w:w="100" w:type="dxa"/>
              <w:end w:w="100" w:type="dxa"/>
            </w:tcMar>
            <w:tcBorders>
              <w:bottom w:val="single" w:sz="8" w:color="D9D9D9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Покрытие долга ПФ средствами эскроу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00" w:type="dxa"/>
              <w:end w:w="100" w:type="dxa"/>
            </w:tcMar>
            <w:tcBorders>
              <w:bottom w:val="single" w:sz="8" w:color="D9D9D9"/>
            </w:tcBorders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88% → ~70%</w:t>
            </w:r>
          </w:p>
        </w:tc>
        <w:tc>
          <w:tcPr>
            <w:tcW w:type="dxa" w:w="2041"/>
            <w:tcMar>
              <w:top w:w="60" w:type="dxa"/>
              <w:bottom w:w="60" w:type="dxa"/>
              <w:start w:w="100" w:type="dxa"/>
              <w:end w:w="100" w:type="dxa"/>
            </w:tcMar>
            <w:tcBorders>
              <w:bottom w:val="single" w:sz="8" w:color="D9D9D9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2024 → 2026</w:t>
            </w:r>
          </w:p>
        </w:tc>
      </w:tr>
      <w:tr>
        <w:tc>
          <w:tcPr>
            <w:tcW w:type="dxa" w:w="4649"/>
            <w:tcMar>
              <w:top w:w="60" w:type="dxa"/>
              <w:bottom w:w="60" w:type="dxa"/>
              <w:start w:w="100" w:type="dxa"/>
              <w:end w:w="100" w:type="dxa"/>
            </w:tcMar>
            <w:tcBorders>
              <w:bottom w:val="single" w:sz="8" w:color="D9D9D9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Долг девелоперов по проектному финансированию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00" w:type="dxa"/>
              <w:end w:w="100" w:type="dxa"/>
            </w:tcMar>
            <w:tcBorders>
              <w:bottom w:val="single" w:sz="8" w:color="D9D9D9"/>
            </w:tcBorders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+24% (до 13,3 трлн ₽)</w:t>
            </w:r>
          </w:p>
        </w:tc>
        <w:tc>
          <w:tcPr>
            <w:tcW w:type="dxa" w:w="2041"/>
            <w:tcMar>
              <w:top w:w="60" w:type="dxa"/>
              <w:bottom w:w="60" w:type="dxa"/>
              <w:start w:w="100" w:type="dxa"/>
              <w:end w:w="100" w:type="dxa"/>
            </w:tcMar>
            <w:tcBorders>
              <w:bottom w:val="single" w:sz="8" w:color="D9D9D9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прогноз 2026</w:t>
            </w:r>
          </w:p>
        </w:tc>
      </w:tr>
      <w:tr>
        <w:tc>
          <w:tcPr>
            <w:tcW w:type="dxa" w:w="4649"/>
            <w:tcMar>
              <w:top w:w="60" w:type="dxa"/>
              <w:bottom w:w="60" w:type="dxa"/>
              <w:start w:w="100" w:type="dxa"/>
              <w:end w:w="100" w:type="dxa"/>
            </w:tcMar>
            <w:tcBorders>
              <w:bottom w:val="single" w:sz="8" w:color="D9D9D9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Объекты с переносом сроков ввода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00" w:type="dxa"/>
              <w:end w:w="100" w:type="dxa"/>
            </w:tcMar>
            <w:tcBorders>
              <w:bottom w:val="single" w:sz="8" w:color="D9D9D9"/>
            </w:tcBorders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58%</w:t>
            </w:r>
          </w:p>
        </w:tc>
        <w:tc>
          <w:tcPr>
            <w:tcW w:type="dxa" w:w="2041"/>
            <w:tcMar>
              <w:top w:w="60" w:type="dxa"/>
              <w:bottom w:w="60" w:type="dxa"/>
              <w:start w:w="100" w:type="dxa"/>
              <w:end w:w="100" w:type="dxa"/>
            </w:tcMar>
            <w:tcBorders>
              <w:bottom w:val="single" w:sz="8" w:color="D9D9D9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2026</w:t>
            </w:r>
          </w:p>
        </w:tc>
      </w:tr>
      <w:tr>
        <w:tc>
          <w:tcPr>
            <w:tcW w:type="dxa" w:w="4649"/>
            <w:tcMar>
              <w:top w:w="60" w:type="dxa"/>
              <w:bottom w:w="60" w:type="dxa"/>
              <w:start w:w="100" w:type="dxa"/>
              <w:end w:w="100" w:type="dxa"/>
            </w:tcMar>
            <w:tcBorders>
              <w:bottom w:val="single" w:sz="8" w:color="D9D9D9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Сделки M&amp;A в девелопменте (большинство вынужденные)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00" w:type="dxa"/>
              <w:end w:w="100" w:type="dxa"/>
            </w:tcMar>
            <w:tcBorders>
              <w:bottom w:val="single" w:sz="8" w:color="D9D9D9"/>
            </w:tcBorders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~60</w:t>
            </w:r>
          </w:p>
        </w:tc>
        <w:tc>
          <w:tcPr>
            <w:tcW w:type="dxa" w:w="2041"/>
            <w:tcMar>
              <w:top w:w="60" w:type="dxa"/>
              <w:bottom w:w="60" w:type="dxa"/>
              <w:start w:w="100" w:type="dxa"/>
              <w:end w:w="100" w:type="dxa"/>
            </w:tcMar>
            <w:tcBorders>
              <w:bottom w:val="single" w:sz="8" w:color="D9D9D9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2025</w:t>
            </w:r>
          </w:p>
        </w:tc>
      </w:tr>
      <w:tr>
        <w:tc>
          <w:tcPr>
            <w:tcW w:type="dxa" w:w="4649"/>
            <w:tcMar>
              <w:top w:w="60" w:type="dxa"/>
              <w:bottom w:w="60" w:type="dxa"/>
              <w:start w:w="100" w:type="dxa"/>
              <w:end w:w="100" w:type="dxa"/>
            </w:tcMar>
            <w:tcBorders>
              <w:bottom w:val="single" w:sz="8" w:color="D9D9D9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Продажи новостроек, рост в деньгах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00" w:type="dxa"/>
              <w:end w:w="100" w:type="dxa"/>
            </w:tcMar>
            <w:tcBorders>
              <w:bottom w:val="single" w:sz="8" w:color="D9D9D9"/>
            </w:tcBorders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+11%</w:t>
            </w:r>
          </w:p>
        </w:tc>
        <w:tc>
          <w:tcPr>
            <w:tcW w:type="dxa" w:w="2041"/>
            <w:tcMar>
              <w:top w:w="60" w:type="dxa"/>
              <w:bottom w:w="60" w:type="dxa"/>
              <w:start w:w="100" w:type="dxa"/>
              <w:end w:w="100" w:type="dxa"/>
            </w:tcMar>
            <w:tcBorders>
              <w:bottom w:val="single" w:sz="8" w:color="D9D9D9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1П 2026 г/г</w:t>
            </w:r>
          </w:p>
        </w:tc>
      </w:tr>
      <w:tr>
        <w:tc>
          <w:tcPr>
            <w:tcW w:type="dxa" w:w="4649"/>
            <w:tcMar>
              <w:top w:w="60" w:type="dxa"/>
              <w:bottom w:w="60" w:type="dxa"/>
              <w:start w:w="100" w:type="dxa"/>
              <w:end w:w="100" w:type="dxa"/>
            </w:tcMar>
            <w:tcBorders>
              <w:bottom w:val="single" w:sz="16" w:color="1A1A1A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Прогноз роста цен при развороте</w:t>
            </w:r>
          </w:p>
        </w:tc>
        <w:tc>
          <w:tcPr>
            <w:tcW w:type="dxa" w:w="2381"/>
            <w:tcMar>
              <w:top w:w="60" w:type="dxa"/>
              <w:bottom w:w="60" w:type="dxa"/>
              <w:start w:w="100" w:type="dxa"/>
              <w:end w:w="100" w:type="dxa"/>
            </w:tcMar>
            <w:tcBorders>
              <w:bottom w:val="single" w:sz="16" w:color="1A1A1A"/>
            </w:tcBorders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+12–15%/год</w:t>
            </w:r>
          </w:p>
        </w:tc>
        <w:tc>
          <w:tcPr>
            <w:tcW w:type="dxa" w:w="2041"/>
            <w:tcMar>
              <w:top w:w="60" w:type="dxa"/>
              <w:bottom w:w="60" w:type="dxa"/>
              <w:start w:w="100" w:type="dxa"/>
              <w:end w:w="100" w:type="dxa"/>
            </w:tcMar>
            <w:tcBorders>
              <w:bottom w:val="single" w:sz="16" w:color="1A1A1A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2027–2028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Roboto" w:hAnsi="Roboto" w:cs="Roboto" w:eastAsia="Roboto"/>
          <w:b w:val="0"/>
          <w:i/>
          <w:color w:val="808080"/>
          <w:sz w:val="18"/>
        </w:rPr>
        <w:t>Табл. 2. Ключевые индикаторы рынка. Источники: ЦБ РФ, ДОМ.РФ, ЕРЗ.РФ, Коммерсантъ, МСФО девелоперов (2025–2026)</w:t>
      </w:r>
    </w:p>
    <w:p>
      <w:pPr>
        <w:pStyle w:val="Heading2"/>
        <w:spacing w:before="280" w:after="160" w:line="276" w:lineRule="auto"/>
        <w:jc w:val="left"/>
        <w:keepNext/>
        <w:numPr>
          <w:ilvl w:val="1"/>
          <w:numId w:val="90"/>
        </w:numPr>
      </w:pPr>
      <w:r>
        <w:rPr>
          <w:rFonts w:ascii="Roboto" w:hAnsi="Roboto" w:cs="Roboto" w:eastAsia="Roboto"/>
          <w:b/>
          <w:i w:val="0"/>
          <w:color w:val="1A1A1A"/>
          <w:sz w:val="24"/>
        </w:rPr>
        <w:t>Дефицит компетенций признан публично</w:t>
      </w:r>
    </w:p>
    <w:p>
      <w:pPr>
        <w:spacing w:before="80" w:after="120" w:line="276" w:lineRule="auto"/>
        <w:jc w:val="both"/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Центральная финансовая конференция форума «Движение»-2026 называется «От кредитования к совместному бизнесу: эволюция отношений банков и девелоперов». Банки начали входить в проекты как партнёры и соинвесторы. Конструкция, которую я вынашиваю три года, — не фантазия, а верно угаданное направление рынка. Отрасль прямо называет дефициты:</w:t>
      </w:r>
    </w:p>
    <w:p>
      <w:pPr>
        <w:spacing w:before="0" w:after="60" w:line="276" w:lineRule="auto"/>
        <w:jc w:val="both"/>
        <w:numPr>
          <w:ilvl w:val="0"/>
          <w:numId w:val="102"/>
        </w:numPr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структурирование входа в землю без живых денег: КРТ, СП с землевладельцем, опционы, взнос землёй в проект;</w:t>
      </w:r>
    </w:p>
    <w:p>
      <w:pPr>
        <w:spacing w:before="0" w:after="60" w:line="276" w:lineRule="auto"/>
        <w:jc w:val="both"/>
        <w:numPr>
          <w:ilvl w:val="0"/>
          <w:numId w:val="102"/>
        </w:numPr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банковская финмодель под ковенанты (покрытие, LLCR, чувствительность к темпам продаж) — вместо «бизнес-плана»;</w:t>
      </w:r>
    </w:p>
    <w:p>
      <w:pPr>
        <w:spacing w:before="0" w:after="60" w:line="276" w:lineRule="auto"/>
        <w:jc w:val="both"/>
        <w:numPr>
          <w:ilvl w:val="0"/>
          <w:numId w:val="102"/>
        </w:numPr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переговорная экспертиза реструктуризаций: пролонгации траншей, ре-профилирование выборки, waiver по ковенантам;</w:t>
      </w:r>
    </w:p>
    <w:p>
      <w:pPr>
        <w:spacing w:before="0" w:after="60" w:line="276" w:lineRule="auto"/>
        <w:jc w:val="both"/>
        <w:numPr>
          <w:ilvl w:val="0"/>
          <w:numId w:val="102"/>
        </w:numPr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мультибанковость — организация конкуренции кредиторов;</w:t>
      </w:r>
    </w:p>
    <w:p>
      <w:pPr>
        <w:spacing w:before="0" w:after="60" w:line="276" w:lineRule="auto"/>
        <w:jc w:val="both"/>
        <w:numPr>
          <w:ilvl w:val="0"/>
          <w:numId w:val="102"/>
        </w:numPr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новые инструменты: ЗПИФ как equity-партнёр, мезонин, fee-девелопмент.</w:t>
      </w:r>
    </w:p>
    <w:p>
      <w:pPr>
        <w:spacing w:before="0" w:after="120" w:line="276" w:lineRule="auto"/>
        <w:jc w:val="both"/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Этот список читается как описание моего профиля: 20 лет взгляда на проекты глазами кредитного комитета. Отдельный переворот: навык «находить аргументы против входа в проект» — как стратегия структуры был болезнью, как индивидуальный навык — это высококлассный due diligence, и рынок 2026 года платит именно за недоверие к проектам.</w:t>
      </w:r>
    </w:p>
    <w:p>
      <w:pPr>
        <w:pStyle w:val="Heading2"/>
        <w:spacing w:before="280" w:after="160" w:line="276" w:lineRule="auto"/>
        <w:jc w:val="left"/>
        <w:keepNext/>
        <w:numPr>
          <w:ilvl w:val="1"/>
          <w:numId w:val="90"/>
        </w:numPr>
      </w:pPr>
      <w:r>
        <w:rPr>
          <w:rFonts w:ascii="Roboto" w:hAnsi="Roboto" w:cs="Roboto" w:eastAsia="Roboto"/>
          <w:b/>
          <w:i w:val="0"/>
          <w:color w:val="1A1A1A"/>
          <w:sz w:val="24"/>
        </w:rPr>
        <w:t>Окно и три таймера</w:t>
      </w:r>
    </w:p>
    <w:p>
      <w:pPr>
        <w:spacing w:before="0" w:after="120" w:line="276" w:lineRule="auto"/>
        <w:jc w:val="both"/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Пик ценности сделочно-структурной экспертизы — 2026–2027 гг.: банки ещё жёсткие, спрос уже возвращается. К 2028 г. при ставке ~10% и ажиотажном спросе маржа снова начнёт прощать неумение договариваться с банками — ценность компетенции циклически упадёт.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3024"/>
        <w:gridCol w:w="3024"/>
        <w:gridCol w:w="3024"/>
      </w:tblGrid>
      <w:tr>
        <w:tc>
          <w:tcPr>
            <w:tcW w:type="dxa" w:w="1474"/>
            <w:shd w:val="clear" w:fill="D6E0E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/>
                <w:i w:val="0"/>
                <w:color w:val="1A1A1A"/>
                <w:sz w:val="20"/>
              </w:rPr>
              <w:t>Таймер</w:t>
            </w:r>
          </w:p>
        </w:tc>
        <w:tc>
          <w:tcPr>
            <w:tcW w:type="dxa" w:w="5329"/>
            <w:shd w:val="clear" w:fill="D6E0E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/>
                <w:i w:val="0"/>
                <w:color w:val="1A1A1A"/>
                <w:sz w:val="20"/>
              </w:rPr>
              <w:t>Что отсчитывает</w:t>
            </w:r>
          </w:p>
        </w:tc>
        <w:tc>
          <w:tcPr>
            <w:tcW w:type="dxa" w:w="2268"/>
            <w:shd w:val="clear" w:fill="D6E0E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/>
                <w:i w:val="0"/>
                <w:color w:val="1A1A1A"/>
                <w:sz w:val="20"/>
              </w:rPr>
              <w:t>Горизонт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Санаторий</w:t>
            </w:r>
          </w:p>
        </w:tc>
        <w:tc>
          <w:tcPr>
            <w:tcW w:type="dxa" w:w="532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Уход руководителя; после — разбор структуры, рынок труда в 55+ без имени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оценочно 2–5 лет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00" w:type="dxa"/>
              <w:end w:w="100" w:type="dxa"/>
            </w:tcMar>
            <w:shd w:val="clear" w:fill="F5F5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Кадровый</w:t>
            </w:r>
          </w:p>
        </w:tc>
        <w:tc>
          <w:tcPr>
            <w:tcW w:type="dxa" w:w="5329"/>
            <w:tcMar>
              <w:top w:w="60" w:type="dxa"/>
              <w:bottom w:w="60" w:type="dxa"/>
              <w:start w:w="100" w:type="dxa"/>
              <w:end w:w="100" w:type="dxa"/>
            </w:tcMar>
            <w:shd w:val="clear" w:fill="F5F5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Строительство имени до монетизации: все каналы — через нетворк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0" w:type="dxa"/>
              <w:end w:w="100" w:type="dxa"/>
            </w:tcMar>
            <w:shd w:val="clear" w:fill="F5F5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6–24 мес. до результата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Рыночный</w:t>
            </w:r>
          </w:p>
        </w:tc>
        <w:tc>
          <w:tcPr>
            <w:tcW w:type="dxa" w:w="532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Окно максимального спроса на профиль «взгляд кредитора»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закрывается к 2028 г.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Roboto" w:hAnsi="Roboto" w:cs="Roboto" w:eastAsia="Roboto"/>
          <w:b w:val="0"/>
          <w:i/>
          <w:color w:val="808080"/>
          <w:sz w:val="18"/>
        </w:rPr>
        <w:t>Табл. 3. Три таймера показывают одну точку входа: сейчас</w:t>
      </w:r>
    </w:p>
    <w:p>
      <w:pPr>
        <w:pStyle w:val="Heading1"/>
        <w:spacing w:before="360" w:after="200" w:line="276" w:lineRule="auto"/>
        <w:jc w:val="left"/>
        <w:keepNext/>
        <w:numPr>
          <w:ilvl w:val="0"/>
          <w:numId w:val="90"/>
        </w:numPr>
      </w:pPr>
      <w:r>
        <w:rPr>
          <w:rFonts w:ascii="Roboto" w:hAnsi="Roboto" w:cs="Roboto" w:eastAsia="Roboto"/>
          <w:b/>
          <w:i w:val="0"/>
          <w:color w:val="1A1A1A"/>
          <w:sz w:val="24"/>
        </w:rPr>
        <w:t>Кадровая карта: где покупают профиль</w:t>
      </w:r>
    </w:p>
    <w:p>
      <w:pPr>
        <w:spacing w:before="0" w:after="120" w:line="276" w:lineRule="auto"/>
        <w:jc w:val="both"/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Профиль «20 лет на стыке банка и девелопмента» не покупается «по объявлению»: на открытых площадках для него полки почти нет, а канал «отклик на вакансию» для 50+ без имени закрыт скринингом (35% работодателей не рассматривают руководителей старше 50). Деньги лежат в трёх местах — проблемные активы, кресло CFO, советы директоров — и все открываются через нетворк и executive search.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608"/>
            <w:shd w:val="clear" w:fill="D6E0E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/>
                <w:i w:val="0"/>
                <w:color w:val="1A1A1A"/>
                <w:sz w:val="20"/>
              </w:rPr>
              <w:t>Траектория</w:t>
            </w:r>
          </w:p>
        </w:tc>
        <w:tc>
          <w:tcPr>
            <w:tcW w:type="dxa" w:w="1928"/>
            <w:shd w:val="clear" w:fill="D6E0E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/>
                <w:i w:val="0"/>
                <w:color w:val="1A1A1A"/>
                <w:sz w:val="20"/>
              </w:rPr>
              <w:t>Доход (Москва)</w:t>
            </w:r>
          </w:p>
        </w:tc>
        <w:tc>
          <w:tcPr>
            <w:tcW w:type="dxa" w:w="2211"/>
            <w:shd w:val="clear" w:fill="D6E0E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/>
                <w:i w:val="0"/>
                <w:color w:val="1A1A1A"/>
                <w:sz w:val="20"/>
              </w:rPr>
              <w:t>Барьер входа</w:t>
            </w:r>
          </w:p>
        </w:tc>
        <w:tc>
          <w:tcPr>
            <w:tcW w:type="dxa" w:w="2324"/>
            <w:shd w:val="clear" w:fill="D6E0EC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/>
                <w:i w:val="0"/>
                <w:color w:val="1A1A1A"/>
                <w:sz w:val="20"/>
              </w:rPr>
              <w:t>Канал</w:t>
            </w:r>
          </w:p>
        </w:tc>
      </w:tr>
      <w:tr>
        <w:tc>
          <w:tcPr>
            <w:tcW w:type="dxa" w:w="260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CFO / директор по финансированию, девелопер второго эшелона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300–600 тыс. ₽/мес + бонус 20–50%</w:t>
            </w:r>
          </w:p>
        </w:tc>
        <w:tc>
          <w:tcPr>
            <w:tcW w:type="dxa" w:w="221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конкуренция с действующими CFO; возраст на скрининге</w:t>
            </w:r>
          </w:p>
        </w:tc>
        <w:tc>
          <w:tcPr>
            <w:tcW w:type="dxa" w:w="232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executive search, рекомендации банковских контрагентов</w:t>
            </w:r>
          </w:p>
        </w:tc>
      </w:tr>
      <w:tr>
        <w:tc>
          <w:tcPr>
            <w:tcW w:type="dxa" w:w="2608"/>
            <w:tcMar>
              <w:top w:w="60" w:type="dxa"/>
              <w:bottom w:w="60" w:type="dxa"/>
              <w:start w:w="100" w:type="dxa"/>
              <w:end w:w="100" w:type="dxa"/>
            </w:tcMar>
            <w:shd w:val="clear" w:fill="F5F5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Банковский контур: ПФ, проблемные активы (ДОМ.РФ, Сбер, ВТБ, ПСБ)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0" w:type="dxa"/>
              <w:end w:w="100" w:type="dxa"/>
            </w:tcMar>
            <w:shd w:val="clear" w:fill="F5F5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150–350 тыс. до уровня руководителя дирекции</w:t>
            </w:r>
          </w:p>
        </w:tc>
        <w:tc>
          <w:tcPr>
            <w:tcW w:type="dxa" w:w="2211"/>
            <w:tcMar>
              <w:top w:w="60" w:type="dxa"/>
              <w:bottom w:w="60" w:type="dxa"/>
              <w:start w:w="100" w:type="dxa"/>
              <w:end w:w="100" w:type="dxa"/>
            </w:tcMar>
            <w:shd w:val="clear" w:fill="F5F5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скромный ценник до топ-уровня; 1–2 позиции на банк</w:t>
            </w:r>
          </w:p>
        </w:tc>
        <w:tc>
          <w:tcPr>
            <w:tcW w:type="dxa" w:w="2324"/>
            <w:tcMar>
              <w:top w:w="60" w:type="dxa"/>
              <w:bottom w:w="60" w:type="dxa"/>
              <w:start w:w="100" w:type="dxa"/>
              <w:end w:w="100" w:type="dxa"/>
            </w:tcMar>
            <w:shd w:val="clear" w:fill="F5F5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родословная + прямые контакты; Сбер собирает кадровый резерв</w:t>
            </w:r>
          </w:p>
        </w:tc>
      </w:tr>
      <w:tr>
        <w:tc>
          <w:tcPr>
            <w:tcW w:type="dxa" w:w="260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Интерим / антикризисный управляющий проблемным проектом от банка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проектные мандаты</w:t>
            </w:r>
          </w:p>
        </w:tc>
        <w:tc>
          <w:tcPr>
            <w:tcW w:type="dxa" w:w="221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мандаты распределяются по личным связям кредитных комитетов</w:t>
            </w:r>
          </w:p>
        </w:tc>
        <w:tc>
          <w:tcPr>
            <w:tcW w:type="dxa" w:w="232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старый банковский нетворк; спрос на 45+ «прошедших кризисы»</w:t>
            </w:r>
          </w:p>
        </w:tc>
      </w:tr>
      <w:tr>
        <w:tc>
          <w:tcPr>
            <w:tcW w:type="dxa" w:w="2608"/>
            <w:tcMar>
              <w:top w:w="60" w:type="dxa"/>
              <w:bottom w:w="60" w:type="dxa"/>
              <w:start w:w="100" w:type="dxa"/>
              <w:end w:w="100" w:type="dxa"/>
            </w:tcMar>
            <w:shd w:val="clear" w:fill="F5F5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CFO крупного девелопера с мандатом на привлечение и M&amp;A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0" w:type="dxa"/>
              <w:end w:w="100" w:type="dxa"/>
            </w:tcMar>
            <w:shd w:val="clear" w:fill="F5F5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1 млн+ ₽/мес; совокупно 20–40 млн ₽/год</w:t>
            </w:r>
          </w:p>
        </w:tc>
        <w:tc>
          <w:tcPr>
            <w:tcW w:type="dxa" w:w="2211"/>
            <w:tcMar>
              <w:top w:w="60" w:type="dxa"/>
              <w:bottom w:w="60" w:type="dxa"/>
              <w:start w:w="100" w:type="dxa"/>
              <w:end w:w="100" w:type="dxa"/>
            </w:tcMar>
            <w:shd w:val="clear" w:fill="F5F5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единичные позиции; нужны 2–3 года видимости</w:t>
            </w:r>
          </w:p>
        </w:tc>
        <w:tc>
          <w:tcPr>
            <w:tcW w:type="dxa" w:w="2324"/>
            <w:tcMar>
              <w:top w:w="60" w:type="dxa"/>
              <w:bottom w:w="60" w:type="dxa"/>
              <w:start w:w="100" w:type="dxa"/>
              <w:end w:w="100" w:type="dxa"/>
            </w:tcMar>
            <w:shd w:val="clear" w:fill="F5F5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RosExpert, Ward Howell, Kontakt — по известным рынку людям</w:t>
            </w:r>
          </w:p>
        </w:tc>
      </w:tr>
      <w:tr>
        <w:tc>
          <w:tcPr>
            <w:tcW w:type="dxa" w:w="260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Портфель независимого директора (2–3 мандата)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1,5–4 млн ₽/год за мандат в частных компаниях</w:t>
            </w:r>
          </w:p>
        </w:tc>
        <w:tc>
          <w:tcPr>
            <w:tcW w:type="dxa" w:w="221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клубный рынок; вход 1,5–3 года, старт с дешёвого мандата</w:t>
            </w:r>
          </w:p>
        </w:tc>
        <w:tc>
          <w:tcPr>
            <w:tcW w:type="dxa" w:w="232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АНД, рекомендации, преподавание для видимости</w:t>
            </w:r>
          </w:p>
        </w:tc>
      </w:tr>
      <w:tr>
        <w:tc>
          <w:tcPr>
            <w:tcW w:type="dxa" w:w="2608"/>
            <w:tcMar>
              <w:top w:w="60" w:type="dxa"/>
              <w:bottom w:w="60" w:type="dxa"/>
              <w:start w:w="100" w:type="dxa"/>
              <w:end w:w="100" w:type="dxa"/>
            </w:tcMar>
            <w:shd w:val="clear" w:fill="F5F5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Debt advisory: привлечение и реструктуризация ПФ для средних застройщиков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00" w:type="dxa"/>
              <w:end w:w="100" w:type="dxa"/>
            </w:tcMar>
            <w:shd w:val="clear" w:fill="F5F5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success fee 0,5–1,5% от привлечения; сделка 3–5 млрд ₽ — десятки млн</w:t>
            </w:r>
          </w:p>
        </w:tc>
        <w:tc>
          <w:tcPr>
            <w:tcW w:type="dxa" w:w="2211"/>
            <w:tcMar>
              <w:top w:w="60" w:type="dxa"/>
              <w:bottom w:w="60" w:type="dxa"/>
              <w:start w:w="100" w:type="dxa"/>
              <w:end w:w="100" w:type="dxa"/>
            </w:tcMar>
            <w:shd w:val="clear" w:fill="F5F5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6–18 мес. нулевого дохода; нужен поток рекомендаций</w:t>
            </w:r>
          </w:p>
        </w:tc>
        <w:tc>
          <w:tcPr>
            <w:tcW w:type="dxa" w:w="2324"/>
            <w:tcMar>
              <w:top w:w="60" w:type="dxa"/>
              <w:bottom w:w="60" w:type="dxa"/>
              <w:start w:w="100" w:type="dxa"/>
              <w:end w:w="100" w:type="dxa"/>
            </w:tcMar>
            <w:shd w:val="clear" w:fill="F5F5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личная сеть в кредитных комитетах; возраст и родословная — в плюс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Roboto" w:hAnsi="Roboto" w:cs="Roboto" w:eastAsia="Roboto"/>
          <w:b w:val="0"/>
          <w:i/>
          <w:color w:val="808080"/>
          <w:sz w:val="18"/>
        </w:rPr>
        <w:t>Табл. 4. Шесть траекторий по данным исследования рынка труда (авг. 2026). Источники: hh.ru, Kontakt InterSearch, НОКС, Коммерсантъ, отраслевые обзоры</w:t>
      </w:r>
    </w:p>
    <w:p>
      <w:pPr>
        <w:spacing w:before="80" w:after="120" w:line="276" w:lineRule="auto"/>
        <w:jc w:val="both"/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Сквозной вывод: ни одна траектория не начинается с резюме — все начинаются с того, что человека кто-то знает. Зарплата санатория при этом превращается в финансирование неоплачиваемой фазы строительства практики: runway перестаёт быть анестезией в момент, когда на него покупается что-то конкретное.</w:t>
      </w:r>
    </w:p>
    <w:p>
      <w:pPr>
        <w:pStyle w:val="Heading1"/>
        <w:spacing w:before="360" w:after="200" w:line="276" w:lineRule="auto"/>
        <w:jc w:val="left"/>
        <w:keepNext/>
        <w:numPr>
          <w:ilvl w:val="0"/>
          <w:numId w:val="90"/>
        </w:numPr>
      </w:pPr>
      <w:r>
        <w:rPr>
          <w:rFonts w:ascii="Roboto" w:hAnsi="Roboto" w:cs="Roboto" w:eastAsia="Roboto"/>
          <w:b/>
          <w:i w:val="0"/>
          <w:color w:val="1A1A1A"/>
          <w:sz w:val="24"/>
        </w:rPr>
        <w:t>Стратегия «4+2» и её страховка</w:t>
      </w:r>
    </w:p>
    <w:p>
      <w:pPr>
        <w:pStyle w:val="Heading2"/>
        <w:spacing w:before="280" w:after="160" w:line="276" w:lineRule="auto"/>
        <w:jc w:val="left"/>
        <w:keepNext/>
        <w:numPr>
          <w:ilvl w:val="1"/>
          <w:numId w:val="90"/>
        </w:numPr>
      </w:pPr>
      <w:r>
        <w:rPr>
          <w:rFonts w:ascii="Roboto" w:hAnsi="Roboto" w:cs="Roboto" w:eastAsia="Roboto"/>
          <w:b/>
          <w:i w:val="0"/>
          <w:color w:val="1A1A1A"/>
          <w:sz w:val="24"/>
        </w:rPr>
        <w:t>Суть и главный риск</w:t>
      </w:r>
    </w:p>
    <w:p>
      <w:pPr>
        <w:spacing w:before="0" w:after="120" w:line="276" w:lineRule="auto"/>
        <w:jc w:val="both"/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Выбранная комбинация: оставаться в структуре, пока она позволяет (вариант 4), и строить собственное имя в банковском контуре и девелоперском сообществе (вариант 2) — с выходом со временем на собственный проект или на рыночную позицию высокого уровня. Комбинация рациональна: оплачиваемый runway финансирует строительство выхода.</w:t>
      </w:r>
    </w:p>
    <w:p>
      <w:pPr>
        <w:spacing w:before="0" w:after="120" w:line="276" w:lineRule="auto"/>
        <w:jc w:val="both"/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Главный риск зафиксирован честно: это единственный вариант, не требующий ничего сегодня. В среде, где восемь лет не выживало ни одно намерение, «4+2» по умолчанию схлопывается в чистую «4» — и обнаруживается это ретроспективой через годы. Против собственного паттерна стратегия проектируется фальсифицируемой: даты, метрики, растяжка.</w:t>
      </w:r>
    </w:p>
    <w:p>
      <w:pPr>
        <w:pStyle w:val="Heading2"/>
        <w:spacing w:before="280" w:after="160" w:line="276" w:lineRule="auto"/>
        <w:jc w:val="left"/>
        <w:keepNext/>
        <w:numPr>
          <w:ilvl w:val="1"/>
          <w:numId w:val="90"/>
        </w:numPr>
      </w:pPr>
      <w:r>
        <w:rPr>
          <w:rFonts w:ascii="Roboto" w:hAnsi="Roboto" w:cs="Roboto" w:eastAsia="Roboto"/>
          <w:b/>
          <w:i w:val="0"/>
          <w:color w:val="1A1A1A"/>
          <w:sz w:val="24"/>
        </w:rPr>
        <w:t>Манёвр: рабочее лицо экспертного фасада</w:t>
      </w:r>
    </w:p>
    <w:p>
      <w:pPr>
        <w:spacing w:before="0" w:after="120" w:line="276" w:lineRule="auto"/>
        <w:jc w:val="both"/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Вариант 2 политически конфликтует с вариантом 4: структура выживает незаметностью, а строительство имени — стратегия быть замеченным. Единственный найденный симбиоз — продать руководителю мою видимость как обслуживание его позиционирования: структура называется экспертной, фасаду не хватает содержания. Формула разговора: «Центральная тема отрасли — дословно наша заявленная миссия. Давайте я буду это представлять». Ему — наполнение легенды без рубля риска; мне — легальный канал в сеть кредитных комитетов и девелоперов.</w:t>
      </w:r>
    </w:p>
    <w:p>
      <w:pPr>
        <w:pStyle w:val="Heading2"/>
        <w:spacing w:before="280" w:after="160" w:line="276" w:lineRule="auto"/>
        <w:jc w:val="left"/>
        <w:keepNext/>
        <w:numPr>
          <w:ilvl w:val="1"/>
          <w:numId w:val="90"/>
        </w:numPr>
      </w:pPr>
      <w:r>
        <w:rPr>
          <w:rFonts w:ascii="Roboto" w:hAnsi="Roboto" w:cs="Roboto" w:eastAsia="Roboto"/>
          <w:b/>
          <w:i w:val="0"/>
          <w:color w:val="1A1A1A"/>
          <w:sz w:val="24"/>
        </w:rPr>
        <w:t>Конструкция-визитка</w:t>
      </w:r>
    </w:p>
    <w:p>
      <w:pPr>
        <w:spacing w:before="0" w:after="120" w:line="276" w:lineRule="auto"/>
        <w:jc w:val="both"/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Выношенная «конструкция партнёрства» не работает как волшебная таблетка (блок в системе волевой, а не интеллектуальный), но отлично работает как визитка: я ношу схему по рынку, и каждый показ работает на моё имя, даже когда схему не покупают. Люди запоминают не схемы — люди запоминают автора. Упрощённый вариант конструкции для кулуарных разговоров — отдельный документ «Конструкция-визитка» в этой же папке.</w:t>
      </w:r>
    </w:p>
    <w:p>
      <w:pPr>
        <w:pStyle w:val="Heading2"/>
        <w:spacing w:before="280" w:after="160" w:line="276" w:lineRule="auto"/>
        <w:jc w:val="left"/>
        <w:keepNext/>
        <w:numPr>
          <w:ilvl w:val="1"/>
          <w:numId w:val="90"/>
        </w:numPr>
      </w:pPr>
      <w:r>
        <w:rPr>
          <w:rFonts w:ascii="Roboto" w:hAnsi="Roboto" w:cs="Roboto" w:eastAsia="Roboto"/>
          <w:b/>
          <w:i w:val="0"/>
          <w:color w:val="1A1A1A"/>
          <w:sz w:val="24"/>
        </w:rPr>
        <w:t>Заявка: три гипотезы</w:t>
      </w:r>
    </w:p>
    <w:p>
      <w:pPr>
        <w:spacing w:before="0" w:after="120" w:line="276" w:lineRule="auto"/>
        <w:jc w:val="both"/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Имя строится на заявке «это тот человек, который ___». Заявка — пересечение трёх кругов: что умею доказуемо, за что платит рынок, на что хватит энергии на годы. Рабочие гипотезы:</w:t>
      </w:r>
    </w:p>
    <w:p>
      <w:pPr>
        <w:spacing w:before="0" w:after="60" w:line="276" w:lineRule="auto"/>
        <w:jc w:val="both"/>
        <w:numPr>
          <w:ilvl w:val="0"/>
          <w:numId w:val="103"/>
        </w:numPr>
      </w:pPr>
      <w:r>
        <w:rPr>
          <w:rFonts w:ascii="Roboto" w:hAnsi="Roboto" w:cs="Roboto" w:eastAsia="Roboto"/>
          <w:b/>
          <w:i w:val="0"/>
          <w:color w:val="333333"/>
          <w:sz w:val="22"/>
        </w:rPr>
        <w:t>Проводник</w:t>
      </w:r>
      <w:r>
        <w:rPr>
          <w:rFonts w:ascii="Roboto" w:hAnsi="Roboto" w:cs="Roboto" w:eastAsia="Roboto"/>
          <w:b w:val="0"/>
          <w:i w:val="0"/>
          <w:color w:val="333333"/>
          <w:sz w:val="22"/>
        </w:rPr>
        <w:t>: тот, кто проводит девелоперский проект через банковский контур — структурирование, получение ПФ, реструктуризация.</w:t>
      </w:r>
    </w:p>
    <w:p>
      <w:pPr>
        <w:spacing w:before="0" w:after="60" w:line="276" w:lineRule="auto"/>
        <w:jc w:val="both"/>
        <w:numPr>
          <w:ilvl w:val="0"/>
          <w:numId w:val="103"/>
        </w:numPr>
      </w:pPr>
      <w:r>
        <w:rPr>
          <w:rFonts w:ascii="Roboto" w:hAnsi="Roboto" w:cs="Roboto" w:eastAsia="Roboto"/>
          <w:b/>
          <w:i w:val="0"/>
          <w:color w:val="333333"/>
          <w:sz w:val="22"/>
        </w:rPr>
        <w:t>Оценщик</w:t>
      </w:r>
      <w:r>
        <w:rPr>
          <w:rFonts w:ascii="Roboto" w:hAnsi="Roboto" w:cs="Roboto" w:eastAsia="Roboto"/>
          <w:b w:val="0"/>
          <w:i w:val="0"/>
          <w:color w:val="333333"/>
          <w:sz w:val="22"/>
        </w:rPr>
        <w:t>: тот, кто оценивает девелоперские проекты глазами банка, — due diligence, стресс-тест экономики проекта.</w:t>
      </w:r>
    </w:p>
    <w:p>
      <w:pPr>
        <w:spacing w:before="0" w:after="60" w:line="276" w:lineRule="auto"/>
        <w:jc w:val="both"/>
        <w:numPr>
          <w:ilvl w:val="0"/>
          <w:numId w:val="103"/>
        </w:numPr>
      </w:pPr>
      <w:r>
        <w:rPr>
          <w:rFonts w:ascii="Roboto" w:hAnsi="Roboto" w:cs="Roboto" w:eastAsia="Roboto"/>
          <w:b/>
          <w:i w:val="0"/>
          <w:color w:val="333333"/>
          <w:sz w:val="22"/>
        </w:rPr>
        <w:t>Архитектор партнёрств</w:t>
      </w:r>
      <w:r>
        <w:rPr>
          <w:rFonts w:ascii="Roboto" w:hAnsi="Roboto" w:cs="Roboto" w:eastAsia="Roboto"/>
          <w:b w:val="0"/>
          <w:i w:val="0"/>
          <w:color w:val="333333"/>
          <w:sz w:val="22"/>
        </w:rPr>
        <w:t>: тот, кто собирает работающие связки «банк × девелопер» — СП, fee-девелопмент, мезонин, поэтапный вход.</w:t>
      </w:r>
    </w:p>
    <w:p>
      <w:pPr>
        <w:spacing w:before="0" w:after="120" w:line="276" w:lineRule="auto"/>
        <w:jc w:val="both"/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Заявка не вычисляется за столом — она откапывается итерациями: черновик → разговоры на мероприятиях → отклик → правка. Выбор гипотезы уточняется после четырёх списков инвентаризации (эпизоды, за чем приходили, анти-заявка, энергия).</w:t>
      </w:r>
    </w:p>
    <w:p>
      <w:pPr>
        <w:pStyle w:val="Heading1"/>
        <w:spacing w:before="360" w:after="200" w:line="276" w:lineRule="auto"/>
        <w:jc w:val="left"/>
        <w:keepNext/>
        <w:numPr>
          <w:ilvl w:val="0"/>
          <w:numId w:val="90"/>
        </w:numPr>
      </w:pPr>
      <w:r>
        <w:rPr>
          <w:rFonts w:ascii="Roboto" w:hAnsi="Roboto" w:cs="Roboto" w:eastAsia="Roboto"/>
          <w:b/>
          <w:i w:val="0"/>
          <w:color w:val="1A1A1A"/>
          <w:sz w:val="24"/>
        </w:rPr>
        <w:t>План и контрольные точки</w:t>
      </w:r>
    </w:p>
    <w:p>
      <w:pPr>
        <w:pStyle w:val="Heading2"/>
        <w:spacing w:before="280" w:after="160" w:line="276" w:lineRule="auto"/>
        <w:jc w:val="left"/>
        <w:keepNext/>
        <w:numPr>
          <w:ilvl w:val="1"/>
          <w:numId w:val="90"/>
        </w:numPr>
      </w:pPr>
      <w:r>
        <w:rPr>
          <w:rFonts w:ascii="Roboto" w:hAnsi="Roboto" w:cs="Roboto" w:eastAsia="Roboto"/>
          <w:b/>
          <w:i w:val="0"/>
          <w:color w:val="1A1A1A"/>
          <w:sz w:val="24"/>
        </w:rPr>
        <w:t>Ближайший месяц</w:t>
      </w:r>
    </w:p>
    <w:p>
      <w:pPr>
        <w:spacing w:before="0" w:after="60" w:line="276" w:lineRule="auto"/>
        <w:jc w:val="both"/>
        <w:numPr>
          <w:ilvl w:val="0"/>
          <w:numId w:val="104"/>
        </w:numPr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Дособрать четыре списка инвентаризации и выбрать рабочую гипотезу заявки (совместная сессия).</w:t>
      </w:r>
    </w:p>
    <w:p>
      <w:pPr>
        <w:spacing w:before="0" w:after="60" w:line="276" w:lineRule="auto"/>
        <w:jc w:val="both"/>
        <w:numPr>
          <w:ilvl w:val="0"/>
          <w:numId w:val="104"/>
        </w:numPr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Довести «Конструкцию-визитку» до версии, которую не стыдно показать, — к первому из мероприятий месяца; идти с ней, а не полировать вместо похода.</w:t>
      </w:r>
    </w:p>
    <w:p>
      <w:pPr>
        <w:spacing w:before="0" w:after="60" w:line="276" w:lineRule="auto"/>
        <w:jc w:val="both"/>
        <w:numPr>
          <w:ilvl w:val="0"/>
          <w:numId w:val="104"/>
        </w:numPr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Мероприятия девелоперской среды: минимум два кулуарных формата; цель каждого — три предметных разговора с обменом контактами и одной договорённостью о продолжении.</w:t>
      </w:r>
    </w:p>
    <w:p>
      <w:pPr>
        <w:spacing w:before="0" w:after="60" w:line="276" w:lineRule="auto"/>
        <w:jc w:val="both"/>
        <w:numPr>
          <w:ilvl w:val="0"/>
          <w:numId w:val="104"/>
        </w:numPr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Замер рынка: 3–4 разговора (хедхантер, знакомый девелопер, банковский контрагент) — не о работе, о цене профиля. Данные вместо страха «отката на 15 лет».</w:t>
      </w:r>
    </w:p>
    <w:p>
      <w:pPr>
        <w:spacing w:before="0" w:after="60" w:line="276" w:lineRule="auto"/>
        <w:jc w:val="both"/>
        <w:numPr>
          <w:ilvl w:val="0"/>
          <w:numId w:val="104"/>
        </w:numPr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Разговор с руководителем о роли «рабочего лица экспертного фасада» — с конкретной датой. Перенос разговора дальше месяца — сигнал растяжки.</w:t>
      </w:r>
    </w:p>
    <w:p>
      <w:pPr>
        <w:pStyle w:val="Heading2"/>
        <w:spacing w:before="280" w:after="160" w:line="276" w:lineRule="auto"/>
        <w:jc w:val="left"/>
        <w:keepNext/>
        <w:numPr>
          <w:ilvl w:val="1"/>
          <w:numId w:val="90"/>
        </w:numPr>
      </w:pPr>
      <w:r>
        <w:rPr>
          <w:rFonts w:ascii="Roboto" w:hAnsi="Roboto" w:cs="Roboto" w:eastAsia="Roboto"/>
          <w:b/>
          <w:i w:val="0"/>
          <w:color w:val="1A1A1A"/>
          <w:sz w:val="24"/>
        </w:rPr>
        <w:t>Метрики видимости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024"/>
        <w:gridCol w:w="3024"/>
        <w:gridCol w:w="3024"/>
      </w:tblGrid>
      <w:tr>
        <w:tc>
          <w:tcPr>
            <w:tcW w:type="dxa" w:w="4876"/>
            <w:tcMar>
              <w:top w:w="60" w:type="dxa"/>
              <w:bottom w:w="60" w:type="dxa"/>
              <w:start w:w="100" w:type="dxa"/>
              <w:end w:w="100" w:type="dxa"/>
            </w:tcMar>
            <w:tcBorders>
              <w:top w:val="single" w:sz="16" w:color="1A1A1A"/>
              <w:bottom w:val="single" w:sz="16" w:color="1A1A1A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/>
                <w:i w:val="0"/>
                <w:color w:val="1A1A1A"/>
                <w:sz w:val="20"/>
              </w:rPr>
              <w:t>Метрика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tcBorders>
              <w:top w:val="single" w:sz="16" w:color="1A1A1A"/>
              <w:bottom w:val="single" w:sz="16" w:color="1A1A1A"/>
            </w:tcBorders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Roboto" w:hAnsi="Roboto" w:cs="Roboto" w:eastAsia="Roboto"/>
                <w:b/>
                <w:i w:val="0"/>
                <w:color w:val="1A1A1A"/>
                <w:sz w:val="20"/>
              </w:rPr>
              <w:t>6 мес.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tcBorders>
              <w:top w:val="single" w:sz="16" w:color="1A1A1A"/>
              <w:bottom w:val="single" w:sz="16" w:color="1A1A1A"/>
            </w:tcBorders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Roboto" w:hAnsi="Roboto" w:cs="Roboto" w:eastAsia="Roboto"/>
                <w:b/>
                <w:i w:val="0"/>
                <w:color w:val="1A1A1A"/>
                <w:sz w:val="20"/>
              </w:rPr>
              <w:t>12 мес.</w:t>
            </w:r>
          </w:p>
        </w:tc>
      </w:tr>
      <w:tr>
        <w:tc>
          <w:tcPr>
            <w:tcW w:type="dxa" w:w="4876"/>
            <w:tcMar>
              <w:top w:w="60" w:type="dxa"/>
              <w:bottom w:w="60" w:type="dxa"/>
              <w:start w:w="100" w:type="dxa"/>
              <w:end w:w="100" w:type="dxa"/>
            </w:tcMar>
            <w:tcBorders>
              <w:bottom w:val="single" w:sz="8" w:color="D9D9D9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Публичные выступления / публикации / панели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tcBorders>
              <w:bottom w:val="single" w:sz="8" w:color="D9D9D9"/>
            </w:tcBorders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2–3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tcBorders>
              <w:bottom w:val="single" w:sz="8" w:color="D9D9D9"/>
            </w:tcBorders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6+</w:t>
            </w:r>
          </w:p>
        </w:tc>
      </w:tr>
      <w:tr>
        <w:tc>
          <w:tcPr>
            <w:tcW w:type="dxa" w:w="4876"/>
            <w:tcMar>
              <w:top w:w="60" w:type="dxa"/>
              <w:bottom w:w="60" w:type="dxa"/>
              <w:start w:w="100" w:type="dxa"/>
              <w:end w:w="100" w:type="dxa"/>
            </w:tcMar>
            <w:tcBorders>
              <w:bottom w:val="single" w:sz="8" w:color="D9D9D9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Отношения, проверенные реальной просьбой или помощью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tcBorders>
              <w:bottom w:val="single" w:sz="8" w:color="D9D9D9"/>
            </w:tcBorders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5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tcBorders>
              <w:bottom w:val="single" w:sz="8" w:color="D9D9D9"/>
            </w:tcBorders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12</w:t>
            </w:r>
          </w:p>
        </w:tc>
      </w:tr>
      <w:tr>
        <w:tc>
          <w:tcPr>
            <w:tcW w:type="dxa" w:w="4876"/>
            <w:tcMar>
              <w:top w:w="60" w:type="dxa"/>
              <w:bottom w:w="60" w:type="dxa"/>
              <w:start w:w="100" w:type="dxa"/>
              <w:end w:w="100" w:type="dxa"/>
            </w:tcMar>
            <w:tcBorders>
              <w:bottom w:val="single" w:sz="8" w:color="D9D9D9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Предметные контакты в контуре проектного финансирования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tcBorders>
              <w:bottom w:val="single" w:sz="8" w:color="D9D9D9"/>
            </w:tcBorders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3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tcBorders>
              <w:bottom w:val="single" w:sz="8" w:color="D9D9D9"/>
            </w:tcBorders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8</w:t>
            </w:r>
          </w:p>
        </w:tc>
      </w:tr>
      <w:tr>
        <w:tc>
          <w:tcPr>
            <w:tcW w:type="dxa" w:w="4876"/>
            <w:tcMar>
              <w:top w:w="60" w:type="dxa"/>
              <w:bottom w:w="60" w:type="dxa"/>
              <w:start w:w="100" w:type="dxa"/>
              <w:end w:w="100" w:type="dxa"/>
            </w:tcMar>
            <w:tcBorders>
              <w:bottom w:val="single" w:sz="8" w:color="D9D9D9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Показы «Конструкции-визитки» живым собеседникам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tcBorders>
              <w:bottom w:val="single" w:sz="8" w:color="D9D9D9"/>
            </w:tcBorders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10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tcBorders>
              <w:bottom w:val="single" w:sz="8" w:color="D9D9D9"/>
            </w:tcBorders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25</w:t>
            </w:r>
          </w:p>
        </w:tc>
      </w:tr>
      <w:tr>
        <w:tc>
          <w:tcPr>
            <w:tcW w:type="dxa" w:w="4876"/>
            <w:tcMar>
              <w:top w:w="60" w:type="dxa"/>
              <w:bottom w:w="60" w:type="dxa"/>
              <w:start w:w="100" w:type="dxa"/>
              <w:end w:w="100" w:type="dxa"/>
            </w:tcMar>
            <w:tcBorders>
              <w:bottom w:val="single" w:sz="16" w:color="1A1A1A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Входящие обращения за экспертизой (лакмус имени)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tcBorders>
              <w:bottom w:val="single" w:sz="16" w:color="1A1A1A"/>
            </w:tcBorders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1–2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tcBorders>
              <w:bottom w:val="single" w:sz="16" w:color="1A1A1A"/>
            </w:tcBorders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Roboto" w:hAnsi="Roboto" w:cs="Roboto" w:eastAsia="Roboto"/>
                <w:b w:val="0"/>
                <w:i w:val="0"/>
                <w:color w:val="333333"/>
                <w:sz w:val="20"/>
              </w:rPr>
              <w:t>5+</w:t>
            </w:r>
          </w:p>
        </w:tc>
      </w:tr>
    </w:tbl>
    <w:p>
      <w:pPr>
        <w:spacing w:before="0" w:after="80" w:line="276" w:lineRule="auto"/>
        <w:jc w:val="left"/>
      </w:pPr>
      <w:r>
        <w:rPr>
          <w:rFonts w:ascii="Roboto" w:hAnsi="Roboto" w:cs="Roboto" w:eastAsia="Roboto"/>
          <w:b w:val="0"/>
          <w:i/>
          <w:color w:val="808080"/>
          <w:sz w:val="18"/>
        </w:rPr>
        <w:t>Табл. 5. Если через 6 месяцев факт ниже половины плана — см. растяжку-детектор</w:t>
      </w:r>
    </w:p>
    <w:p>
      <w:pPr>
        <w:pStyle w:val="Heading2"/>
        <w:spacing w:before="280" w:after="160" w:line="276" w:lineRule="auto"/>
        <w:jc w:val="left"/>
        <w:keepNext/>
        <w:numPr>
          <w:ilvl w:val="1"/>
          <w:numId w:val="90"/>
        </w:numPr>
      </w:pPr>
      <w:r>
        <w:rPr>
          <w:rFonts w:ascii="Roboto" w:hAnsi="Roboto" w:cs="Roboto" w:eastAsia="Roboto"/>
          <w:b/>
          <w:i w:val="0"/>
          <w:color w:val="1A1A1A"/>
          <w:sz w:val="24"/>
        </w:rPr>
        <w:t>Растяжка-детектор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071"/>
      </w:tblGrid>
      <w:tr>
        <w:trPr>
          <w:cantSplit/>
        </w:trPr>
        <w:tc>
          <w:tcPr>
            <w:tcW w:type="dxa" w:w="9071"/>
            <w:shd w:val="clear" w:fill="F5F5F5"/>
            <w:tcMar>
              <w:top w:w="140" w:type="dxa"/>
              <w:bottom w:w="140" w:type="dxa"/>
              <w:start w:w="200" w:type="dxa"/>
              <w:end w:w="200" w:type="dxa"/>
            </w:tcMar>
          </w:tcPr>
          <w:p>
            <w:pPr>
              <w:spacing w:after="60" w:before="0"/>
            </w:pPr>
            <w:r/>
            <w:r>
              <w:rPr>
                <w:rFonts w:ascii="Roboto" w:hAnsi="Roboto" w:cs="Roboto" w:eastAsia="Roboto"/>
                <w:b/>
                <w:i w:val="0"/>
                <w:color w:val="C77B30"/>
                <w:sz w:val="18"/>
              </w:rPr>
              <w:t>УСЛОВИЕ, ЗАПИСАННОЕ ТРЕЗВЫМ ДЛЯ ПЬЯНОГО</w:t>
            </w:r>
          </w:p>
          <w:p>
            <w:pPr>
              <w:spacing w:before="0" w:after="0" w:line="276" w:lineRule="auto"/>
              <w:jc w:val="both"/>
            </w:pPr>
            <w:r>
              <w:rPr>
                <w:rFonts w:ascii="Roboto" w:hAnsi="Roboto" w:cs="Roboto" w:eastAsia="Roboto"/>
                <w:b w:val="0"/>
                <w:i w:val="0"/>
                <w:color w:val="333333"/>
                <w:sz w:val="22"/>
              </w:rPr>
              <w:t>Если к 1 марта 2027 г. не сделано: разговор с руководителем, 3 замера рынка, 5 показов конструкции и хотя бы одно публичное появление — значит, «4+2» схлопнулась в санаторий. Тогда включается вариант 3 в его сегодняшнем, неприятном виде: выход на рынок с тем, что есть, без ожидания «фигуры высокого плана». Это не наказание — это страховка от самого себя, оформленная заранее.</w:t>
            </w:r>
          </w:p>
        </w:tc>
      </w:tr>
    </w:tbl>
    <w:p>
      <w:pPr>
        <w:pStyle w:val="Heading2"/>
        <w:spacing w:before="280" w:after="160" w:line="276" w:lineRule="auto"/>
        <w:jc w:val="left"/>
        <w:keepNext/>
        <w:numPr>
          <w:ilvl w:val="1"/>
          <w:numId w:val="90"/>
        </w:numPr>
      </w:pPr>
      <w:r>
        <w:rPr>
          <w:rFonts w:ascii="Roboto" w:hAnsi="Roboto" w:cs="Roboto" w:eastAsia="Roboto"/>
          <w:b/>
          <w:i w:val="0"/>
          <w:color w:val="1A1A1A"/>
          <w:sz w:val="24"/>
        </w:rPr>
        <w:t>Открытые задачи</w:t>
      </w:r>
    </w:p>
    <w:p>
      <w:pPr>
        <w:spacing w:before="0" w:after="60" w:line="276" w:lineRule="auto"/>
        <w:jc w:val="both"/>
        <w:numPr>
          <w:ilvl w:val="0"/>
          <w:numId w:val="105"/>
        </w:numPr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Четыре списка инвентаризации — за мной (сырьё для заявки).</w:t>
      </w:r>
    </w:p>
    <w:p>
      <w:pPr>
        <w:spacing w:before="0" w:after="60" w:line="276" w:lineRule="auto"/>
        <w:jc w:val="both"/>
        <w:numPr>
          <w:ilvl w:val="0"/>
          <w:numId w:val="105"/>
        </w:numPr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Письменный ответ на вопрос «кому я доказываю» (№ 47) — гипотеза: себе двадцатилетней давности; проверить.</w:t>
      </w:r>
    </w:p>
    <w:p>
      <w:pPr>
        <w:spacing w:before="0" w:after="60" w:line="276" w:lineRule="auto"/>
        <w:jc w:val="both"/>
        <w:numPr>
          <w:ilvl w:val="0"/>
          <w:numId w:val="105"/>
        </w:numPr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Разговор с близкими: чего они на самом деле ждут — текущих денег любой ценой или живого меня.</w:t>
      </w:r>
    </w:p>
    <w:p>
      <w:pPr>
        <w:spacing w:before="0" w:after="60" w:line="276" w:lineRule="auto"/>
        <w:jc w:val="both"/>
        <w:numPr>
          <w:ilvl w:val="0"/>
          <w:numId w:val="105"/>
        </w:numPr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Календарь мероприятий месяца — список с датами, к каждому: цель, три вопроса собеседникам, версия конструкции.</w:t>
      </w: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left"/>
      </w:pPr>
      <w:r>
        <w:rPr>
          <w:rFonts w:ascii="Roboto" w:hAnsi="Roboto" w:cs="Roboto" w:eastAsia="Roboto"/>
          <w:b w:val="0"/>
          <w:i/>
          <w:color w:val="808080"/>
          <w:sz w:val="18"/>
        </w:rPr>
        <w:t>Документ обновляется по мере работы. Следующая ревизия — после первых мероприятий и четырёх списков.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13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right"/>
      <w:pBdr>
        <w:top w:val="single" w:sz="8" w:color="D9D9D9"/>
      </w:pBdr>
    </w:pPr>
    <w:r>
      <w:rPr>
        <w:rFonts w:ascii="Roboto" w:hAnsi="Roboto" w:cs="Roboto" w:eastAsia="Roboto"/>
        <w:b w:val="0"/>
        <w:i w:val="0"/>
        <w:color w:val="808080"/>
        <w:sz w:val="18"/>
      </w:rPr>
      <w:t xml:space="preserve">Стр. </w:t>
    </w:r>
    <w:r>
      <w:rPr>
        <w:rFonts w:ascii="Roboto" w:hAnsi="Roboto" w:cs="Roboto" w:eastAsia="Roboto"/>
        <w:b w:val="0"/>
        <w:i w:val="0"/>
        <w:color w:val="808080"/>
        <w:sz w:val="18"/>
      </w:rPr>
      <w:fldChar w:fldCharType="begin"/>
    </w:r>
    <w:r>
      <w:rPr>
        <w:rFonts w:ascii="Roboto" w:hAnsi="Roboto" w:cs="Roboto" w:eastAsia="Roboto"/>
        <w:b w:val="0"/>
        <w:i w:val="0"/>
        <w:color w:val="808080"/>
        <w:sz w:val="18"/>
      </w:rPr>
      <w:instrText xml:space="preserve"> PAGE </w:instrText>
    </w:r>
    <w:r>
      <w:rPr>
        <w:rFonts w:ascii="Roboto" w:hAnsi="Roboto" w:cs="Roboto" w:eastAsia="Roboto"/>
        <w:b w:val="0"/>
        <w:i w:val="0"/>
        <w:color w:val="808080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71" w:val="right"/>
      </w:tabs>
      <w:spacing w:after="40"/>
      <w:pBdr>
        <w:bottom w:val="single" w:sz="8" w:color="D9D9D9"/>
      </w:pBdr>
    </w:pPr>
    <w:r>
      <w:rPr>
        <w:rFonts w:ascii="Roboto" w:hAnsi="Roboto" w:cs="Roboto" w:eastAsia="Roboto"/>
        <w:b/>
        <w:i w:val="0"/>
        <w:color w:val="808080"/>
        <w:sz w:val="18"/>
      </w:rPr>
      <w:t>Новое начало</w:t>
    </w:r>
    <w:r>
      <w:rPr>
        <w:rFonts w:ascii="Roboto" w:hAnsi="Roboto" w:cs="Roboto" w:eastAsia="Roboto"/>
        <w:b w:val="0"/>
        <w:i w:val="0"/>
        <w:color w:val="808080"/>
        <w:sz w:val="18"/>
      </w:rPr>
      <w:tab/>
      <w:t>стратегическая записка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">
    <w:lvl w:ilvl="0">
      <w:start w:val="1"/>
      <w:numFmt w:val="decimal"/>
      <w:lvlText w:val="%1."/>
      <w:lvlJc w:val="left"/>
      <w:pPr>
        <w:ind w:left="0" w:firstLine="0"/>
      </w:pPr>
      <w:suff w:val="space"/>
    </w:lvl>
    <w:lvl w:ilvl="1">
      <w:start w:val="1"/>
      <w:numFmt w:val="decimal"/>
      <w:lvlText w:val="%1.%2."/>
      <w:lvlJc w:val="left"/>
      <w:pPr>
        <w:ind w:left="0" w:firstLine="0"/>
      </w:pPr>
      <w:suff w:val="space"/>
    </w:lvl>
    <w:lvl w:ilvl="2">
      <w:start w:val="1"/>
      <w:numFmt w:val="decimal"/>
      <w:lvlText w:val="%1.%2.%3."/>
      <w:lvlJc w:val="left"/>
      <w:pPr>
        <w:ind w:left="0" w:firstLine="0"/>
      </w:pPr>
      <w:suff w:val="space"/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</w:abstractNum>
  <w:abstractNum w:abstractNumId="102">
    <w:lvl w:ilvl="0">
      <w:start w:val="1"/>
      <w:numFmt w:val="bullet"/>
      <w:lvlText w:val="—"/>
      <w:lvlJc w:val="left"/>
      <w:pPr>
        <w:ind w:left="720" w:hanging="360"/>
      </w:pPr>
      <w:rPr>
        <w:rFonts w:ascii="Roboto" w:hAnsi="Roboto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Roboto" w:hAnsi="Roboto"/>
      </w:rPr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</w:abstractNum>
  <w:abstractNum w:abstractNumId="105">
    <w:lvl w:ilvl="0">
      <w:start w:val="1"/>
      <w:numFmt w:val="bullet"/>
      <w:lvlText w:val="—"/>
      <w:lvlJc w:val="left"/>
      <w:pPr>
        <w:ind w:left="720" w:hanging="360"/>
      </w:pPr>
      <w:rPr>
        <w:rFonts w:ascii="Roboto" w:hAnsi="Roboto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Roboto" w:hAnsi="Roboto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Roboto" w:hAnsi="Roboto"/>
      <w:color w:val="333333"/>
      <w:sz w:val="22"/>
      <w:rFonts w:ascii="Roboto" w:hAnsi="Roboto" w:cs="Robot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Roboto" w:hAnsi="Roboto"/>
      <w:b/>
      <w:bCs/>
      <w:color w:val="1A1A1A"/>
      <w:sz w:val="24"/>
      <w:szCs w:val="28"/>
      <w:rFonts w:ascii="Roboto" w:hAnsi="Roboto" w:cs="Roboto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Roboto" w:hAnsi="Roboto"/>
      <w:b/>
      <w:bCs/>
      <w:color w:val="1A1A1A"/>
      <w:sz w:val="24"/>
      <w:szCs w:val="26"/>
      <w:rFonts w:ascii="Roboto" w:hAnsi="Roboto" w:cs="Roboto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Roboto" w:hAnsi="Roboto"/>
      <w:b/>
      <w:bCs/>
      <w:color w:val="1A1A1A"/>
      <w:sz w:val="24"/>
      <w:rFonts w:ascii="Roboto" w:hAnsi="Roboto" w:cs="Roboto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