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Roboto" w:hAnsi="Roboto" w:cs="Roboto" w:eastAsia="Roboto"/>
          <w:b/>
          <w:i w:val="0"/>
          <w:color w:val="2C3E50"/>
          <w:sz w:val="28"/>
        </w:rPr>
        <w:t>Партнёрство банковского капитала и девелоперской компетенции</w:t>
      </w:r>
    </w:p>
    <w:p>
      <w:pPr>
        <w:spacing w:before="0" w:after="40" w:line="276" w:lineRule="auto"/>
        <w:jc w:val="left"/>
      </w:pPr>
      <w:r>
        <w:rPr>
          <w:rFonts w:ascii="Roboto" w:hAnsi="Roboto" w:cs="Roboto" w:eastAsia="Roboto"/>
          <w:b w:val="0"/>
          <w:i w:val="0"/>
          <w:color w:val="808080"/>
          <w:sz w:val="22"/>
        </w:rPr>
        <w:t>Рабочие конструкции сделок и механика разбора земельного навеса</w:t>
      </w:r>
    </w:p>
    <w:p>
      <w:pPr>
        <w:spacing w:before="0" w:after="200" w:line="276" w:lineRule="auto"/>
        <w:jc w:val="left"/>
      </w:pPr>
      <w:r>
        <w:rPr>
          <w:rFonts w:ascii="Roboto" w:hAnsi="Roboto" w:cs="Roboto" w:eastAsia="Roboto"/>
          <w:b w:val="0"/>
          <w:i/>
          <w:color w:val="808080"/>
          <w:sz w:val="18"/>
        </w:rPr>
        <w:t>Август 2026 г. · версия 0.2 (черновик для кулуарных разговоров, не оферта)</w:t>
      </w:r>
    </w:p>
    <w:p>
      <w:pPr>
        <w:pStyle w:val="Heading1"/>
        <w:spacing w:before="360" w:after="200" w:line="276" w:lineRule="auto"/>
        <w:jc w:val="left"/>
        <w:keepNext/>
        <w:numPr>
          <w:ilvl w:val="0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Почему это своевременно</w:t>
      </w:r>
    </w:p>
    <w:p>
      <w:pPr>
        <w:spacing w:before="0" w:after="60" w:line="276" w:lineRule="auto"/>
        <w:jc w:val="both"/>
        <w:numPr>
          <w:ilvl w:val="0"/>
          <w:numId w:val="101"/>
        </w:numPr>
      </w:pPr>
      <w:r>
        <w:rPr>
          <w:rFonts w:ascii="Roboto" w:hAnsi="Roboto" w:cs="Roboto" w:eastAsia="Roboto"/>
          <w:b/>
          <w:i w:val="0"/>
          <w:color w:val="333333"/>
          <w:sz w:val="22"/>
        </w:rPr>
        <w:t>Земля недоступна в кредит.</w:t>
      </w:r>
      <w:r>
        <w:rPr>
          <w:rFonts w:ascii="Roboto" w:hAnsi="Roboto" w:cs="Roboto" w:eastAsia="Roboto"/>
          <w:b w:val="0"/>
          <w:i w:val="0"/>
          <w:color w:val="333333"/>
          <w:sz w:val="22"/>
        </w:rPr>
        <w:t xml:space="preserve"> Бридж под площадку на пике ставки стоил 25–26% годовых и убивал экономику проекта. Вход в новые площадки идёт через КРТ, выкуп у проблемных игроков и партнёрства с землевладельцами.</w:t>
      </w:r>
    </w:p>
    <w:p>
      <w:pPr>
        <w:spacing w:before="0" w:after="60" w:line="276" w:lineRule="auto"/>
        <w:jc w:val="both"/>
        <w:numPr>
          <w:ilvl w:val="0"/>
          <w:numId w:val="101"/>
        </w:numPr>
      </w:pPr>
      <w:r>
        <w:rPr>
          <w:rFonts w:ascii="Roboto" w:hAnsi="Roboto" w:cs="Roboto" w:eastAsia="Roboto"/>
          <w:b/>
          <w:i w:val="0"/>
          <w:color w:val="333333"/>
          <w:sz w:val="22"/>
        </w:rPr>
        <w:t>Банкам не хватает equity в проектах.</w:t>
      </w:r>
      <w:r>
        <w:rPr>
          <w:rFonts w:ascii="Roboto" w:hAnsi="Roboto" w:cs="Roboto" w:eastAsia="Roboto"/>
          <w:b w:val="0"/>
          <w:i w:val="0"/>
          <w:color w:val="333333"/>
          <w:sz w:val="22"/>
        </w:rPr>
        <w:t xml:space="preserve"> Покрытие долга эскроу упало с 88% до ~70%, андеррайтинг смотрит на всю группу. Проекты с землёй и разрешением получают отказы из-за расчётного покрытия.</w:t>
      </w:r>
    </w:p>
    <w:p>
      <w:pPr>
        <w:spacing w:before="0" w:after="60" w:line="276" w:lineRule="auto"/>
        <w:jc w:val="both"/>
        <w:numPr>
          <w:ilvl w:val="0"/>
          <w:numId w:val="101"/>
        </w:numPr>
      </w:pPr>
      <w:r>
        <w:rPr>
          <w:rFonts w:ascii="Roboto" w:hAnsi="Roboto" w:cs="Roboto" w:eastAsia="Roboto"/>
          <w:b/>
          <w:i w:val="0"/>
          <w:color w:val="333333"/>
          <w:sz w:val="22"/>
        </w:rPr>
        <w:t>Компетенция и капитал разъехались по разным рукам.</w:t>
      </w:r>
      <w:r>
        <w:rPr>
          <w:rFonts w:ascii="Roboto" w:hAnsi="Roboto" w:cs="Roboto" w:eastAsia="Roboto"/>
          <w:b w:val="0"/>
          <w:i w:val="0"/>
          <w:color w:val="333333"/>
          <w:sz w:val="22"/>
        </w:rPr>
        <w:t xml:space="preserve"> У девелоперов — команды и опыт, но дорогие деньги; у держателей капитала — деньги без аппетита к стройке. Нужна конструкция, в которой вклад каждой стороны измерим и защитим.</w:t>
      </w:r>
    </w:p>
    <w:p>
      <w:pPr>
        <w:spacing w:before="0" w:after="60" w:line="276" w:lineRule="auto"/>
        <w:jc w:val="both"/>
        <w:numPr>
          <w:ilvl w:val="0"/>
          <w:numId w:val="101"/>
        </w:numPr>
      </w:pPr>
      <w:r>
        <w:rPr>
          <w:rFonts w:ascii="Roboto" w:hAnsi="Roboto" w:cs="Roboto" w:eastAsia="Roboto"/>
          <w:b/>
          <w:i w:val="0"/>
          <w:color w:val="333333"/>
          <w:sz w:val="22"/>
        </w:rPr>
        <w:t>Отрасль сама назвала тему года:</w:t>
      </w:r>
      <w:r>
        <w:rPr>
          <w:rFonts w:ascii="Roboto" w:hAnsi="Roboto" w:cs="Roboto" w:eastAsia="Roboto"/>
          <w:b w:val="0"/>
          <w:i w:val="0"/>
          <w:color w:val="333333"/>
          <w:sz w:val="22"/>
        </w:rPr>
        <w:t xml:space="preserve"> «От кредитования к совместному бизнесу» (форум «Движение»-2026). Банки начали входить в проекты как партнёры и соинвесторы.</w:t>
      </w:r>
    </w:p>
    <w:p>
      <w:pPr>
        <w:pStyle w:val="Heading1"/>
        <w:spacing w:before="360" w:after="200" w:line="276" w:lineRule="auto"/>
        <w:jc w:val="left"/>
        <w:keepNext/>
        <w:numPr>
          <w:ilvl w:val="0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Земельный навес: кто примет убыток</w:t>
      </w:r>
    </w:p>
    <w:p>
      <w:pPr>
        <w:pStyle w:val="Heading2"/>
        <w:spacing w:before="280" w:after="160" w:line="276" w:lineRule="auto"/>
        <w:jc w:val="left"/>
        <w:keepNext/>
        <w:numPr>
          <w:ilvl w:val="1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Масштаб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За годы дешёвых денег девелоперы сформировали земельные банки, потенциал застройки которых кратно — по экспертной оценке, в два-три раза — превышает реальный спрос. Значительная часть этих площадок куплена в 2020–2023 гг. на пике оптимизма, на бриджах, и стоит на балансах по ценам рынка, которого больше нет. Косвенные подтверждения по запущенным проектам: распроданность домов с вводом 2026 г. — 52% при норме ~70%; 27% строящегося портфеля — в зоне недостаточного спроса; срок реализации остатков — 3,2 года по стране и до 5,4 лет на юге (ДОМ.РФ, 2026).</w:t>
      </w:r>
    </w:p>
    <w:p>
      <w:pPr>
        <w:pStyle w:val="Heading2"/>
        <w:spacing w:before="280" w:after="160" w:line="276" w:lineRule="auto"/>
        <w:jc w:val="left"/>
        <w:keepNext/>
        <w:numPr>
          <w:ilvl w:val="1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Механика тупика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 xml:space="preserve">Девелопер не может продать площадку ниже цены покупки плюс бридж — это кристаллизация убытка, нарушение ковенантов, риск дефолта. Банк не хочет забирать и продавать залог — это переоценка всех аналогичных залогов портфеля и удар резервами по капиталу; пролонгировать дешевле. Оценщик оценивает землю «по сопоставимым сделкам», которых нет, потому что никто не продаёт. Круг замыкается: </w:t>
      </w:r>
      <w:r>
        <w:rPr>
          <w:rFonts w:ascii="Roboto" w:hAnsi="Roboto" w:cs="Roboto" w:eastAsia="Roboto"/>
          <w:b/>
          <w:i w:val="0"/>
          <w:color w:val="333333"/>
          <w:sz w:val="22"/>
        </w:rPr>
        <w:t>оценка залогов держится на том, что залоги не продаются.</w:t>
      </w:r>
      <w:r>
        <w:rPr>
          <w:rFonts w:ascii="Roboto" w:hAnsi="Roboto" w:cs="Roboto" w:eastAsia="Roboto"/>
          <w:b w:val="0"/>
          <w:i w:val="0"/>
          <w:color w:val="333333"/>
          <w:sz w:val="22"/>
        </w:rPr>
        <w:t xml:space="preserve"> Каждый участник рационален по отдельности — вместе они воспроизводят режим «пролонгируй и делай вид» (extend and pretend).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Психологический слой не слабее финансового: признать переплату — значит назвать имя того, кто покупал. Убыток не признаётся не потому, что его не видят, а потому, что у него нет добровольного хозяина.</w:t>
      </w:r>
    </w:p>
    <w:p>
      <w:pPr>
        <w:pStyle w:val="Heading2"/>
        <w:spacing w:before="280" w:after="160" w:line="276" w:lineRule="auto"/>
        <w:jc w:val="left"/>
        <w:keepNext/>
        <w:numPr>
          <w:ilvl w:val="1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Что ломает такие тупики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 xml:space="preserve">Четыре силы, и все уже включились: время — бриджи имеют сроки, каждая пролонгация дороже; регулятор — ЦБ фиксирует рост реструктуризаций и рано или поздно доберётся до честности залоговых оценок; первые вынужденные продажи — ~60 сделок M&amp;A за 2025 г. создают новые рыночные точки для оценщиков; и конструкции, позволяющие принять убыток, </w:t>
      </w:r>
      <w:r>
        <w:rPr>
          <w:rFonts w:ascii="Roboto" w:hAnsi="Roboto" w:cs="Roboto" w:eastAsia="Roboto"/>
          <w:b/>
          <w:i w:val="0"/>
          <w:color w:val="333333"/>
          <w:sz w:val="22"/>
        </w:rPr>
        <w:t>не называя его убытком</w:t>
      </w:r>
      <w:r>
        <w:rPr>
          <w:rFonts w:ascii="Roboto" w:hAnsi="Roboto" w:cs="Roboto" w:eastAsia="Roboto"/>
          <w:b w:val="0"/>
          <w:i w:val="0"/>
          <w:color w:val="333333"/>
          <w:sz w:val="22"/>
        </w:rPr>
        <w:t>. Тупик держится на том, что признание должно быть публичным и единовременным, — значит, ломается механизмами, которые делают его приватным и постепенным.</w:t>
      </w:r>
    </w:p>
    <w:p>
      <w:pPr>
        <w:pStyle w:val="Heading1"/>
        <w:spacing w:before="360" w:after="200" w:line="276" w:lineRule="auto"/>
        <w:jc w:val="left"/>
        <w:keepNext/>
        <w:numPr>
          <w:ilvl w:val="0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Ядро: два спора, один механизм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 xml:space="preserve">В партнёрских сделках банк × девелопер не решаются переговорами два спора: «сколько стоит компетенция девелопера» и «сколько стоит его земля». Оба упираются в одно: стоимость недоказуема на входе. Все конструкции ниже делают одно и то же — </w:t>
      </w:r>
      <w:r>
        <w:rPr>
          <w:rFonts w:ascii="Roboto" w:hAnsi="Roboto" w:cs="Roboto" w:eastAsia="Roboto"/>
          <w:b/>
          <w:i w:val="0"/>
          <w:color w:val="333333"/>
          <w:sz w:val="22"/>
        </w:rPr>
        <w:t>переводят спор из переговоров в механику сделки</w:t>
      </w:r>
      <w:r>
        <w:rPr>
          <w:rFonts w:ascii="Roboto" w:hAnsi="Roboto" w:cs="Roboto" w:eastAsia="Roboto"/>
          <w:b w:val="0"/>
          <w:i w:val="0"/>
          <w:color w:val="333333"/>
          <w:sz w:val="22"/>
        </w:rPr>
        <w:t>: вознаграждение компетенции привязывается к проверяемому результату, а переоценка земли распределяется во времени и между участниками, не требуя ни от кого публичного признания.</w:t>
      </w:r>
    </w:p>
    <w:p>
      <w:pPr>
        <w:pStyle w:val="Heading1"/>
        <w:spacing w:before="360" w:after="200" w:line="276" w:lineRule="auto"/>
        <w:jc w:val="left"/>
        <w:keepNext/>
        <w:numPr>
          <w:ilvl w:val="0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Конструкции входа в проект</w:t>
      </w:r>
    </w:p>
    <w:p>
      <w:pPr>
        <w:pStyle w:val="Heading2"/>
        <w:spacing w:before="280" w:after="160" w:line="276" w:lineRule="auto"/>
        <w:jc w:val="left"/>
        <w:keepNext/>
        <w:numPr>
          <w:ilvl w:val="1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СП с обязательным co-investment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Партнёр-девелопер входит не только компетенцией, но и деньгами — 10–20% equity; доли прибыли пропорциональны капиталу, вклад компетенции оплачивается управленческим fee и success fee за вехи (РнС, старт продаж, покрытие эскроу, ввод). Собственные деньги партнёра — единственный аргумент о качестве его компетенции, который контролирующие структуры принимают без экспертизы.</w:t>
      </w:r>
    </w:p>
    <w:p>
      <w:pPr>
        <w:pStyle w:val="Heading2"/>
        <w:spacing w:before="280" w:after="160" w:line="276" w:lineRule="auto"/>
        <w:jc w:val="left"/>
        <w:keepNext/>
        <w:numPr>
          <w:ilvl w:val="1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Fee-девелопмент с опционом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Капитал держит 100% проекта; девелопер-оператор работает за fee (ориентир 3–5% бюджета) плюс опцион на долю прибыли при превышении целевого IRR. Компетенция оплачивается по факту результата. В России формат занимает 3–5% проектов против ~75% на западных рынках — ниша впереди роста.</w:t>
      </w:r>
    </w:p>
    <w:p>
      <w:pPr>
        <w:pStyle w:val="Heading2"/>
        <w:spacing w:before="280" w:after="160" w:line="276" w:lineRule="auto"/>
        <w:jc w:val="left"/>
        <w:keepNext/>
        <w:numPr>
          <w:ilvl w:val="1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Мезонин с equity-kicker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Капитал входит мезонинным долгом с фиксированной доходностью и правом конверсии части долга в долю при успехе. Держателю капитала — долговой приоритет; девелоперу — деньги дешевле бриджа; контролёрам — понятная долговая природа. Рабочая связка с ЗПИФ недвижимости как источником капитала (сегмент ×1,5 за год, идёт к 1,35 трлн руб.).</w:t>
      </w:r>
    </w:p>
    <w:p>
      <w:pPr>
        <w:pStyle w:val="Heading2"/>
        <w:spacing w:before="280" w:after="160" w:line="276" w:lineRule="auto"/>
        <w:jc w:val="left"/>
        <w:keepNext/>
        <w:numPr>
          <w:ilvl w:val="1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Поэтапный вход по вехам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Капитал докупает долю траншами по мере снятия рисков: концепция — одна цена, после РнС — другая, после целевого покрытия эскроу — третья. Вклад компетенции материализуется в дельте стоимости между вехами и не требует априорной оценки.</w:t>
      </w:r>
    </w:p>
    <w:p>
      <w:pPr>
        <w:pStyle w:val="Heading1"/>
        <w:spacing w:before="360" w:after="200" w:line="276" w:lineRule="auto"/>
        <w:jc w:val="left"/>
        <w:keepNext/>
        <w:numPr>
          <w:ilvl w:val="0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Конструкции разбора навеса</w:t>
      </w:r>
    </w:p>
    <w:p>
      <w:pPr>
        <w:pStyle w:val="Heading2"/>
        <w:spacing w:before="280" w:after="160" w:line="276" w:lineRule="auto"/>
        <w:jc w:val="left"/>
        <w:keepNext/>
        <w:numPr>
          <w:ilvl w:val="1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Взнос земли в СП с субординацией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Девелопер вносит площадку в СП по согласованной стоимости, близкой к книжной, — лицо сохранено, дефолта по бриджу нет. Но его доля прибыли субординирована: сначала возврат капитала партнёра с доходностью, затем его доля. Не вырос рынок — дисконт реализовался тихо, через распределение; вырос — девелопер отстоял цену. Убыток принят, но не объявлен: механизм отложенного признания, приемлемый для обеих сторон.</w:t>
      </w:r>
    </w:p>
    <w:p>
      <w:pPr>
        <w:pStyle w:val="Heading2"/>
        <w:spacing w:before="280" w:after="160" w:line="276" w:lineRule="auto"/>
        <w:jc w:val="left"/>
        <w:keepNext/>
        <w:numPr>
          <w:ilvl w:val="1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Опцион вместо покупки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Покупать землю в затоваренном рынке сегодня — переплачивать. Опцион — нет: капитал платит премию, которой девелоперу хватает на обслуживание бриджа, и получает право входа через 1–2 года по формуле от будущей оценки. Девелопер получает кислород, банк — обслуживаемый кредит, капитал — вход по завтрашней честной цене без сегодняшнего спора о вчерашней. Цену ожидания платит тот, кто верит в разворот.</w:t>
      </w:r>
    </w:p>
    <w:p>
      <w:pPr>
        <w:pStyle w:val="Heading2"/>
        <w:spacing w:before="280" w:after="160" w:line="276" w:lineRule="auto"/>
        <w:jc w:val="left"/>
        <w:keepNext/>
        <w:numPr>
          <w:ilvl w:val="1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Конверсия бриджа в долю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 xml:space="preserve">Банк меняет часть проблемного бриджа на долю в проекте: убыток превращается в equity-риск с апсайдом, единовременное резервирование откладывается, девелопер разгружает долг. Ответ на вопрос «кто примет убыток»: </w:t>
      </w:r>
      <w:r>
        <w:rPr>
          <w:rFonts w:ascii="Roboto" w:hAnsi="Roboto" w:cs="Roboto" w:eastAsia="Roboto"/>
          <w:b/>
          <w:i w:val="0"/>
          <w:color w:val="333333"/>
          <w:sz w:val="22"/>
        </w:rPr>
        <w:t>все понемногу и никто целиком</w:t>
      </w:r>
      <w:r>
        <w:rPr>
          <w:rFonts w:ascii="Roboto" w:hAnsi="Roboto" w:cs="Roboto" w:eastAsia="Roboto"/>
          <w:b w:val="0"/>
          <w:i w:val="0"/>
          <w:color w:val="333333"/>
          <w:sz w:val="22"/>
        </w:rPr>
        <w:t xml:space="preserve"> — банк риском, девелопер долей, капитал ценой входа.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 xml:space="preserve">Существенная оговорка: конверсия — прежде всего </w:t>
      </w:r>
      <w:r>
        <w:rPr>
          <w:rFonts w:ascii="Roboto" w:hAnsi="Roboto" w:cs="Roboto" w:eastAsia="Roboto"/>
          <w:b/>
          <w:i w:val="0"/>
          <w:color w:val="333333"/>
          <w:sz w:val="22"/>
        </w:rPr>
        <w:t>внутригрупповая</w:t>
      </w:r>
      <w:r>
        <w:rPr>
          <w:rFonts w:ascii="Roboto" w:hAnsi="Roboto" w:cs="Roboto" w:eastAsia="Roboto"/>
          <w:b w:val="0"/>
          <w:i w:val="0"/>
          <w:color w:val="333333"/>
          <w:sz w:val="22"/>
        </w:rPr>
        <w:t xml:space="preserve"> механика. Банку невыгодно и дорого держать акционерный риск на собственном балансе (нагрузка на капитал), поэтому долю принимает профильная структура группы — приёмник акционерного риска. Внешнему контрагенту банк проблемный актив не продаст: продажа фиксирует цену и признание. Внутренняя передача — нет: это «усиление проекта профильной экспертизой», а не признание потерь.</w:t>
      </w:r>
    </w:p>
    <w:p>
      <w:pPr>
        <w:pStyle w:val="Heading2"/>
        <w:spacing w:before="280" w:after="160" w:line="276" w:lineRule="auto"/>
        <w:jc w:val="left"/>
        <w:keepNext/>
        <w:numPr>
          <w:ilvl w:val="1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Возврат отказников в комитет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 xml:space="preserve">Рабочий заход к любому банку — не «отдайте проблемные проекты» (ответ всегда: «у нас таких нет»), а работа с </w:t>
      </w:r>
      <w:r>
        <w:rPr>
          <w:rFonts w:ascii="Roboto" w:hAnsi="Roboto" w:cs="Roboto" w:eastAsia="Roboto"/>
          <w:b/>
          <w:i w:val="0"/>
          <w:color w:val="333333"/>
          <w:sz w:val="22"/>
        </w:rPr>
        <w:t>отказниками</w:t>
      </w:r>
      <w:r>
        <w:rPr>
          <w:rFonts w:ascii="Roboto" w:hAnsi="Roboto" w:cs="Roboto" w:eastAsia="Roboto"/>
          <w:b w:val="0"/>
          <w:i w:val="0"/>
          <w:color w:val="333333"/>
          <w:sz w:val="22"/>
        </w:rPr>
        <w:t>: заявками, не прошедшими по расчётному покрытию. Отказ уже состоялся — признаваться не в чем. Конструкция доукомплектовывает проект партнёрским equity и возвращает заявку в комитет. Для банка это не расчистка потерь, а прирост работающего портфеля.</w:t>
      </w:r>
    </w:p>
    <w:p>
      <w:pPr>
        <w:pStyle w:val="Heading1"/>
        <w:spacing w:before="360" w:after="200" w:line="276" w:lineRule="auto"/>
        <w:jc w:val="left"/>
        <w:keepNext/>
        <w:numPr>
          <w:ilvl w:val="0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Граница применимости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 xml:space="preserve">Часть навеса не спасается никакой конструкцией: если площадка не нужна рынку ни по какой цене — не то место, не тот формат, — структура сделки не сделает из неё проект. Поэтому первый вопрос любой конструкции — не «как войти», а </w:t>
      </w:r>
      <w:r>
        <w:rPr>
          <w:rFonts w:ascii="Roboto" w:hAnsi="Roboto" w:cs="Roboto" w:eastAsia="Roboto"/>
          <w:b/>
          <w:i w:val="0"/>
          <w:color w:val="333333"/>
          <w:sz w:val="22"/>
        </w:rPr>
        <w:t>«должен ли этот проект существовать»</w:t>
      </w:r>
      <w:r>
        <w:rPr>
          <w:rFonts w:ascii="Roboto" w:hAnsi="Roboto" w:cs="Roboto" w:eastAsia="Roboto"/>
          <w:b w:val="0"/>
          <w:i w:val="0"/>
          <w:color w:val="333333"/>
          <w:sz w:val="22"/>
        </w:rPr>
        <w:t>. Отличить переоценённую, но нужную площадку от ненужной ни за сколько — отдельная экспертиза, и в текущем рынке она в дефиците не меньше, чем капитал.</w:t>
      </w:r>
    </w:p>
    <w:p>
      <w:pPr>
        <w:pStyle w:val="Heading1"/>
        <w:spacing w:before="360" w:after="200" w:line="276" w:lineRule="auto"/>
        <w:jc w:val="left"/>
        <w:keepNext/>
        <w:numPr>
          <w:ilvl w:val="0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Что это даёт банку-кредитору</w:t>
      </w:r>
    </w:p>
    <w:p>
      <w:pPr>
        <w:spacing w:before="0" w:after="60" w:line="276" w:lineRule="auto"/>
        <w:jc w:val="both"/>
        <w:numPr>
          <w:ilvl w:val="0"/>
          <w:numId w:val="102"/>
        </w:numPr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Партнёрское equity повышает покрытие и LLCR — проект проходит кредитный комитет, который сегодня его отклоняет.</w:t>
      </w:r>
    </w:p>
    <w:p>
      <w:pPr>
        <w:spacing w:before="0" w:after="60" w:line="276" w:lineRule="auto"/>
        <w:jc w:val="both"/>
        <w:numPr>
          <w:ilvl w:val="0"/>
          <w:numId w:val="102"/>
        </w:numPr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Профессиональный оператор с оплатой за результат снижает риск срыва графика — при 58% объектов с переносами это фактор качества портфеля.</w:t>
      </w:r>
    </w:p>
    <w:p>
      <w:pPr>
        <w:spacing w:before="0" w:after="60" w:line="276" w:lineRule="auto"/>
        <w:jc w:val="both"/>
        <w:numPr>
          <w:ilvl w:val="0"/>
          <w:numId w:val="102"/>
        </w:numPr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Конструкции разбора навеса — механизм расчистки залоговой массы без единовременных резервов и публичных переоценок.</w:t>
      </w:r>
    </w:p>
    <w:p>
      <w:pPr>
        <w:spacing w:before="0" w:after="60" w:line="276" w:lineRule="auto"/>
        <w:jc w:val="both"/>
        <w:numPr>
          <w:ilvl w:val="0"/>
          <w:numId w:val="102"/>
        </w:numPr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Роль партнёра, а не только кредитора, — в русле отраслевого тренда «от кредитования к совместному бизнесу».</w:t>
      </w:r>
    </w:p>
    <w:p>
      <w:pPr>
        <w:pStyle w:val="Heading1"/>
        <w:spacing w:before="360" w:after="200" w:line="276" w:lineRule="auto"/>
        <w:jc w:val="left"/>
        <w:keepNext/>
        <w:numPr>
          <w:ilvl w:val="0"/>
          <w:numId w:val="90"/>
        </w:numPr>
      </w:pPr>
      <w:r>
        <w:rPr>
          <w:rFonts w:ascii="Roboto" w:hAnsi="Roboto" w:cs="Roboto" w:eastAsia="Roboto"/>
          <w:b/>
          <w:i w:val="0"/>
          <w:color w:val="1A1A1A"/>
          <w:sz w:val="24"/>
        </w:rPr>
        <w:t>Четыре вопроса для разговора</w:t>
      </w:r>
    </w:p>
    <w:p>
      <w:pPr>
        <w:spacing w:before="0" w:after="120" w:line="276" w:lineRule="auto"/>
        <w:jc w:val="both"/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Материал — не презентация со сцены, а опора для кулуарного диалога. Вопросы, с которых он начинается:</w:t>
      </w:r>
    </w:p>
    <w:p>
      <w:pPr>
        <w:spacing w:before="0" w:after="60" w:line="276" w:lineRule="auto"/>
        <w:jc w:val="both"/>
        <w:numPr>
          <w:ilvl w:val="0"/>
          <w:numId w:val="103"/>
        </w:numPr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Кто, по-вашему, в итоге примет убыток по земельному навесу — и в какой форме: продажей, субординацией, конверсией долга?</w:t>
      </w:r>
    </w:p>
    <w:p>
      <w:pPr>
        <w:spacing w:before="0" w:after="60" w:line="276" w:lineRule="auto"/>
        <w:jc w:val="both"/>
        <w:numPr>
          <w:ilvl w:val="0"/>
          <w:numId w:val="103"/>
        </w:numPr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Как вы сейчас решаете вход в новую площадку без живых денег — КРТ, рассрочка от собственника, партнёрство? Что из этого реально прошло кредитный комитет?</w:t>
      </w:r>
    </w:p>
    <w:p>
      <w:pPr>
        <w:spacing w:before="0" w:after="60" w:line="276" w:lineRule="auto"/>
        <w:jc w:val="both"/>
        <w:numPr>
          <w:ilvl w:val="0"/>
          <w:numId w:val="103"/>
        </w:numPr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Если бы капитал был готов войти в ваш проект equity — на каких условиях вы бы делили прибыль: co-investment, опцион, поэтапная продажа долей?</w:t>
      </w:r>
    </w:p>
    <w:p>
      <w:pPr>
        <w:spacing w:before="0" w:after="60" w:line="276" w:lineRule="auto"/>
        <w:jc w:val="both"/>
        <w:numPr>
          <w:ilvl w:val="0"/>
          <w:numId w:val="103"/>
        </w:numPr>
      </w:pPr>
      <w:r>
        <w:rPr>
          <w:rFonts w:ascii="Roboto" w:hAnsi="Roboto" w:cs="Roboto" w:eastAsia="Roboto"/>
          <w:b w:val="0"/>
          <w:i w:val="0"/>
          <w:color w:val="333333"/>
          <w:sz w:val="22"/>
        </w:rPr>
        <w:t>Какая из ваших заявок на проектное финансирование за последний год не прошла — и по какому именно расчётному параметру?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left"/>
      </w:pPr>
      <w:r>
        <w:rPr>
          <w:rFonts w:ascii="Roboto" w:hAnsi="Roboto" w:cs="Roboto" w:eastAsia="Roboto"/>
          <w:b w:val="0"/>
          <w:i/>
          <w:color w:val="808080"/>
          <w:sz w:val="18"/>
        </w:rPr>
        <w:t>Материал подготовлен для обсуждения; расчётные модели конструкций (квартальный CF, LLCR, чувствительность) предоставляются под конкретный проект. Оценка масштаба навеса — экспертная; уточняется по данным ЕРЗ/ДОМ.РФ по региону интереса.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13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  <w:pBdr>
        <w:top w:val="single" w:sz="8" w:color="D9D9D9"/>
      </w:pBdr>
    </w:pPr>
    <w:r>
      <w:rPr>
        <w:rFonts w:ascii="Roboto" w:hAnsi="Roboto" w:cs="Roboto" w:eastAsia="Roboto"/>
        <w:b w:val="0"/>
        <w:i w:val="0"/>
        <w:color w:val="808080"/>
        <w:sz w:val="18"/>
      </w:rPr>
      <w:t xml:space="preserve">Стр. </w:t>
    </w:r>
    <w:r>
      <w:rPr>
        <w:rFonts w:ascii="Roboto" w:hAnsi="Roboto" w:cs="Roboto" w:eastAsia="Roboto"/>
        <w:b w:val="0"/>
        <w:i w:val="0"/>
        <w:color w:val="808080"/>
        <w:sz w:val="18"/>
      </w:rPr>
      <w:fldChar w:fldCharType="begin"/>
    </w:r>
    <w:r>
      <w:rPr>
        <w:rFonts w:ascii="Roboto" w:hAnsi="Roboto" w:cs="Roboto" w:eastAsia="Roboto"/>
        <w:b w:val="0"/>
        <w:i w:val="0"/>
        <w:color w:val="808080"/>
        <w:sz w:val="18"/>
      </w:rPr>
      <w:instrText xml:space="preserve"> PAGE </w:instrText>
    </w:r>
    <w:r>
      <w:rPr>
        <w:rFonts w:ascii="Roboto" w:hAnsi="Roboto" w:cs="Roboto" w:eastAsia="Roboto"/>
        <w:b w:val="0"/>
        <w:i w:val="0"/>
        <w:color w:val="808080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1" w:val="right"/>
      </w:tabs>
      <w:spacing w:after="40"/>
      <w:pBdr>
        <w:bottom w:val="single" w:sz="8" w:color="D9D9D9"/>
      </w:pBdr>
    </w:pPr>
    <w:r>
      <w:rPr>
        <w:rFonts w:ascii="Roboto" w:hAnsi="Roboto" w:cs="Roboto" w:eastAsia="Roboto"/>
        <w:b/>
        <w:i w:val="0"/>
        <w:color w:val="808080"/>
        <w:sz w:val="18"/>
      </w:rPr>
      <w:t>Конструкция-визитка</w:t>
    </w:r>
    <w:r>
      <w:rPr>
        <w:rFonts w:ascii="Roboto" w:hAnsi="Roboto" w:cs="Roboto" w:eastAsia="Roboto"/>
        <w:b w:val="0"/>
        <w:i w:val="0"/>
        <w:color w:val="808080"/>
        <w:sz w:val="18"/>
      </w:rPr>
      <w:tab/>
      <w:t>материал для обсуждения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">
    <w:lvl w:ilvl="0">
      <w:start w:val="1"/>
      <w:numFmt w:val="decimal"/>
      <w:lvlText w:val="%1."/>
      <w:lvlJc w:val="left"/>
      <w:pPr>
        <w:ind w:left="0" w:firstLine="0"/>
      </w:pPr>
      <w:suff w:val="space"/>
    </w:lvl>
    <w:lvl w:ilvl="1">
      <w:start w:val="1"/>
      <w:numFmt w:val="decimal"/>
      <w:lvlText w:val="%1.%2."/>
      <w:lvlJc w:val="left"/>
      <w:pPr>
        <w:ind w:left="0" w:firstLine="0"/>
      </w:pPr>
      <w:suff w:val="space"/>
    </w:lvl>
    <w:lvl w:ilvl="2">
      <w:start w:val="1"/>
      <w:numFmt w:val="decimal"/>
      <w:lvlText w:val="%1.%2.%3."/>
      <w:lvlJc w:val="left"/>
      <w:pPr>
        <w:ind w:left="0" w:firstLine="0"/>
      </w:pPr>
      <w:suff w:val="space"/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</w:abstractNum>
  <w:abstractNum w:abstractNumId="102">
    <w:lvl w:ilvl="0">
      <w:start w:val="1"/>
      <w:numFmt w:val="bullet"/>
      <w:lvlText w:val="—"/>
      <w:lvlJc w:val="left"/>
      <w:pPr>
        <w:ind w:left="720" w:hanging="360"/>
      </w:pPr>
      <w:rPr>
        <w:rFonts w:ascii="Roboto" w:hAnsi="Roboto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Roboto" w:hAnsi="Roboto"/>
      </w:rPr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  <w:num w:numId="101">
    <w:abstractNumId w:val="101"/>
  </w:num>
  <w:num w:numId="102">
    <w:abstractNumId w:val="102"/>
  </w:num>
  <w:num w:numId="103">
    <w:abstractNumId w:val="1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/>
      <w:color w:val="333333"/>
      <w:sz w:val="22"/>
      <w:rFonts w:ascii="Roboto" w:hAnsi="Roboto" w:cs="Robot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Roboto" w:hAnsi="Roboto"/>
      <w:b/>
      <w:bCs/>
      <w:color w:val="1A1A1A"/>
      <w:sz w:val="24"/>
      <w:szCs w:val="28"/>
      <w:rFonts w:ascii="Roboto" w:hAnsi="Roboto" w:cs="Roboto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Roboto" w:hAnsi="Roboto"/>
      <w:b/>
      <w:bCs/>
      <w:color w:val="1A1A1A"/>
      <w:sz w:val="24"/>
      <w:szCs w:val="26"/>
      <w:rFonts w:ascii="Roboto" w:hAnsi="Roboto" w:cs="Roboto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Roboto" w:hAnsi="Roboto"/>
      <w:b/>
      <w:bCs/>
      <w:color w:val="1A1A1A"/>
      <w:sz w:val="24"/>
      <w:rFonts w:ascii="Roboto" w:hAnsi="Roboto" w:cs="Robot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