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200" w:after="240"/>
        <w:jc w:val="center"/>
        <w:rPr/>
      </w:pPr>
      <w:r>
        <w:rPr>
          <w:rFonts w:eastAsia="Roboto" w:cs="Roboto"/>
          <w:b/>
          <w:bCs/>
          <w:color w:val="808080"/>
          <w:sz w:val="24"/>
          <w:szCs w:val="24"/>
        </w:rPr>
        <w:t>АНАЛИТИЧЕСКАЯ СПРАВКА</w:t>
      </w:r>
    </w:p>
    <w:p>
      <w:pPr>
        <w:pStyle w:val="Normal"/>
        <w:spacing w:lineRule="auto" w:line="276" w:before="0" w:after="200"/>
        <w:jc w:val="center"/>
        <w:rPr/>
      </w:pPr>
      <w:r>
        <w:rPr>
          <w:rFonts w:eastAsia="Roboto" w:cs="Roboto"/>
          <w:b/>
          <w:bCs/>
          <w:color w:val="2C3E50"/>
          <w:sz w:val="52"/>
          <w:szCs w:val="52"/>
        </w:rPr>
        <w:t>Служебный автомобиль юридического лица: полный комплект документов</w:t>
      </w:r>
    </w:p>
    <w:p>
      <w:pPr>
        <w:pStyle w:val="Normal"/>
        <w:spacing w:before="0" w:after="160"/>
        <w:jc w:val="center"/>
        <w:rPr/>
      </w:pPr>
      <w:r>
        <w:rPr>
          <w:rFonts w:eastAsia="Roboto" w:cs="Roboto"/>
          <w:i/>
          <w:iCs/>
          <w:color w:val="808080"/>
          <w:sz w:val="28"/>
          <w:szCs w:val="28"/>
        </w:rPr>
        <w:t>Модель: один штатный водитель, автомобиль персонально закреплён</w:t>
      </w:r>
    </w:p>
    <w:p>
      <w:pPr>
        <w:pStyle w:val="Normal"/>
        <w:spacing w:before="0" w:after="1800"/>
        <w:jc w:val="center"/>
        <w:rPr/>
      </w:pPr>
      <w:r>
        <w:rPr>
          <w:rFonts w:eastAsia="Roboto" w:cs="Roboto"/>
          <w:i/>
          <w:iCs/>
          <w:color w:val="808080"/>
          <w:sz w:val="22"/>
          <w:szCs w:val="22"/>
        </w:rPr>
        <w:t>Редакция 3 — перестроена под базовую модель эксплуатации</w:t>
      </w:r>
    </w:p>
    <w:p>
      <w:pPr>
        <w:pStyle w:val="Normal"/>
        <w:spacing w:before="0" w:after="0"/>
        <w:jc w:val="center"/>
        <w:rPr/>
      </w:pPr>
      <w:r>
        <w:rPr>
          <w:rFonts w:eastAsia="Roboto" w:cs="Roboto"/>
          <w:color w:val="333333"/>
          <w:sz w:val="24"/>
          <w:szCs w:val="24"/>
        </w:rPr>
        <w:t>19 августа 2026 года</w:t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Roboto" w:cs="Roboto"/>
          <w:b/>
          <w:bCs/>
          <w:color w:val="2C3E50"/>
          <w:sz w:val="28"/>
          <w:szCs w:val="28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003_2694416175">
            <w:r>
              <w:rPr>
                <w:rStyle w:val="IndexLink"/>
              </w:rPr>
              <w:t>1. Резюме и базовая модель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05_2694416175">
            <w:r>
              <w:rPr>
                <w:rStyle w:val="IndexLink"/>
              </w:rPr>
              <w:t>2. Приобретение и оформление права собственности</w:t>
              <w:tab/>
              <w:t>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07_2694416175">
            <w:r>
              <w:rPr>
                <w:rStyle w:val="IndexLink"/>
              </w:rPr>
              <w:t>3. ОСАГО, регистрация и допуск к дорожному движению</w:t>
              <w:tab/>
              <w:t>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09_2694416175">
            <w:r>
              <w:rPr>
                <w:rStyle w:val="IndexLink"/>
              </w:rPr>
              <w:t>4. Бухгалтерский и налоговый учёт</w:t>
              <w:tab/>
              <w:t>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11_2694416175">
            <w:r>
              <w:rPr>
                <w:rStyle w:val="IndexLink"/>
              </w:rPr>
              <w:t>4.1. Бухгалтерский учёт (ФСБУ 6/2020)</w:t>
              <w:tab/>
              <w:t>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13_2694416175">
            <w:r>
              <w:rPr>
                <w:rStyle w:val="IndexLink"/>
              </w:rPr>
              <w:t>4.2. Налоговый учёт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15_2694416175">
            <w:r>
              <w:rPr>
                <w:rStyle w:val="IndexLink"/>
              </w:rPr>
              <w:t>4.3. УСН и НДС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17_2694416175">
            <w:r>
              <w:rPr>
                <w:rStyle w:val="IndexLink"/>
              </w:rPr>
              <w:t>5. Внутренние организационно-распорядительные документы</w:t>
              <w:tab/>
              <w:t>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19_2694416175">
            <w:r>
              <w:rPr>
                <w:rStyle w:val="IndexLink"/>
              </w:rPr>
              <w:t>6. Водитель: оформление, допуск, обязанности, пределы ответственности</w:t>
              <w:tab/>
              <w:t>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21_2694416175">
            <w:r>
              <w:rPr>
                <w:rStyle w:val="IndexLink"/>
              </w:rPr>
              <w:t>6.1. Трудовая функция — в трудовом договоре</w:t>
              <w:tab/>
              <w:t>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23_2694416175">
            <w:r>
              <w:rPr>
                <w:rStyle w:val="IndexLink"/>
              </w:rPr>
              <w:t>6.2. Режим рабочего времени и времени отдыха</w:t>
              <w:tab/>
              <w:t>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25_2694416175">
            <w:r>
              <w:rPr>
                <w:rStyle w:val="IndexLink"/>
              </w:rPr>
              <w:t>6.3. Медицинский допуск</w:t>
              <w:tab/>
              <w:t>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27_2694416175">
            <w:r>
              <w:rPr>
                <w:rStyle w:val="IndexLink"/>
              </w:rPr>
              <w:t>6.4. Операционные обязанности водителя</w:t>
              <w:tab/>
              <w:t>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29_2694416175">
            <w:r>
              <w:rPr>
                <w:rStyle w:val="IndexLink"/>
              </w:rPr>
              <w:t>6.5. Пределы ответственности водителя</w:t>
              <w:tab/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31_2694416175">
            <w:r>
              <w:rPr>
                <w:rStyle w:val="IndexLink"/>
              </w:rPr>
              <w:t>7. Текущая эксплуатация: путевые листы, топливо, обслуживание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33_2694416175">
            <w:r>
              <w:rPr>
                <w:rStyle w:val="IndexLink"/>
              </w:rPr>
              <w:t>7.1. Путевые листы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35_2694416175">
            <w:r>
              <w:rPr>
                <w:rStyle w:val="IndexLink"/>
              </w:rPr>
              <w:t>7.2. Топливо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037_2694416175">
            <w:r>
              <w:rPr>
                <w:rStyle w:val="IndexLink"/>
              </w:rPr>
              <w:t>7.3. Обслуживание и содержание</w:t>
              <w:tab/>
              <w:t>12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39_2694416175">
            <w:r>
              <w:rPr>
                <w:rStyle w:val="IndexLink"/>
              </w:rPr>
              <w:t>8. Ответственность, штрафы и порядок действий при ДТП</w:t>
              <w:tab/>
              <w:t>12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41_2694416175">
            <w:r>
              <w:rPr>
                <w:rStyle w:val="IndexLink"/>
              </w:rPr>
              <w:t>9. Возврат и выбытие автомобиля</w:t>
              <w:tab/>
              <w:t>13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43_2694416175">
            <w:r>
              <w:rPr>
                <w:rStyle w:val="IndexLink"/>
              </w:rPr>
              <w:t>10. Карта обязанностей и зон риска</w:t>
              <w:tab/>
              <w:t>14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45_2694416175">
            <w:r>
              <w:rPr>
                <w:rStyle w:val="IndexLink"/>
              </w:rPr>
              <w:t>11. Выводы, план действий и календарь сроков</w:t>
              <w:tab/>
              <w:t>15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47_2694416175">
            <w:r>
              <w:rPr>
                <w:rStyle w:val="IndexLink"/>
              </w:rPr>
              <w:t>12. Ключевые допущения и источники</w:t>
              <w:tab/>
              <w:t>16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049_2694416175">
            <w:r>
              <w:rPr>
                <w:rStyle w:val="IndexLink"/>
              </w:rPr>
              <w:t>Приложение 1. Комплект документов под базовую модель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120"/>
        <w:jc w:val="left"/>
        <w:rPr>
          <w:rFonts w:ascii="Roboto" w:hAnsi="Roboto" w:eastAsia="Roboto" w:cs="Roboto"/>
          <w:color w:val="333333"/>
          <w:sz w:val="22"/>
          <w:szCs w:val="22"/>
        </w:rPr>
      </w:pPr>
      <w:r>
        <w:rPr>
          <w:rFonts w:eastAsia="Roboto" w:cs="Roboto"/>
          <w:color w:val="333333"/>
          <w:sz w:val="22"/>
          <w:szCs w:val="22"/>
        </w:rPr>
      </w:r>
    </w:p>
    <w:p>
      <w:pPr>
        <w:pStyle w:val="Normal"/>
        <w:spacing w:before="120" w:after="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Оглавление — автоматическое поле: при открытии файла согласитесь на обновление полей или нажмите F9.</w:t>
      </w:r>
      <w:r>
        <w:br w:type="page"/>
      </w:r>
    </w:p>
    <w:p>
      <w:pPr>
        <w:pStyle w:val="Normal"/>
        <w:spacing w:lineRule="auto" w:line="276" w:before="0" w:after="200"/>
        <w:rPr/>
      </w:pPr>
      <w:r>
        <w:rPr>
          <w:rFonts w:eastAsia="Roboto" w:cs="Roboto"/>
          <w:b/>
          <w:bCs/>
          <w:color w:val="2C3E50"/>
          <w:sz w:val="28"/>
          <w:szCs w:val="28"/>
        </w:rPr>
        <w:t>Служебный автомобиль юридического лица: полный комплект документов</w:t>
      </w:r>
    </w:p>
    <w:p>
      <w:pPr>
        <w:pStyle w:val="Heading1"/>
        <w:keepNext w:val="true"/>
        <w:numPr>
          <w:ilvl w:val="0"/>
          <w:numId w:val="15"/>
        </w:numPr>
        <w:rPr/>
      </w:pPr>
      <w:bookmarkStart w:id="0" w:name="__RefHeading___Toc1003_2694416175"/>
      <w:bookmarkEnd w:id="0"/>
      <w:r>
        <w:rPr>
          <w:rFonts w:eastAsia="Roboto" w:cs="Roboto"/>
          <w:b/>
          <w:bCs/>
          <w:color w:val="1A1A1A"/>
          <w:sz w:val="24"/>
          <w:szCs w:val="24"/>
        </w:rPr>
        <w:t>Резюме и базовая модель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Справка описывает комплект документов для конкретной модели эксплуатации служебного легкового автомобиля. Базовая модель зафиксирована так: автомобиль принадлежит организации и используется для собственных нужд (не такси, не коммерческие перевозки); имеется один сотрудник, в трудовую функцию которого входит управление автомобилем; автомобиль персонально закреплён за ним, он — основной допущенный водитель, иных допущенных водителей нет; личное использование и передача управления третьим лицам запрещены, если отдельно не разрешены письменным решением работодателя; водитель отвечает за эксплуатацию, сохранность, комплектность, документы, топливную дисциплину и своевременное информирование работодателя; регистрация, страхование, бухгалтерский и налоговый учёт остаются обязанностями организации и её должностных лиц. Полное обоснование — в разделах 2–9, карта обязанностей — в разделе 10, план действий — в разделе 11, реестр документов по блокам — в приложении 1.</w:t>
      </w:r>
    </w:p>
    <w:p>
      <w:pPr>
        <w:pStyle w:val="ListParagraph"/>
        <w:numPr>
          <w:ilvl w:val="0"/>
          <w:numId w:val="16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Управление автомобилем закрепляется как трудовая функция в трудовом договоре — приказа о закреплении, доверенности или фразы в должностной инструкции недостаточно (разд. 6).</w:t>
      </w:r>
    </w:p>
    <w:p>
      <w:pPr>
        <w:pStyle w:val="ListParagraph"/>
        <w:numPr>
          <w:ilvl w:val="0"/>
          <w:numId w:val="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В этой модели медосмотры и путевые листы обязательны без оговорок: водитель перевозит руководителя, работников и иных лиц, поэтому путевой лист оформляется до выпуска автомобиля на линию, а медицинский контур действует весь период работы (разд. 6–7).</w:t>
      </w:r>
    </w:p>
    <w:p>
      <w:pPr>
        <w:pStyle w:val="ListParagraph"/>
        <w:numPr>
          <w:ilvl w:val="0"/>
          <w:numId w:val="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ОСАГО оформляется до первого использования автомобиля в дорожном движении (отсрочки с 1 марта 2025 года нет); изменения регистрационных данных вносятся в течение десяти дней со дня приобретения прав владельца; полис для регистрации не требуется (разд. 3).</w:t>
      </w:r>
    </w:p>
    <w:p>
      <w:pPr>
        <w:pStyle w:val="ListParagraph"/>
        <w:numPr>
          <w:ilvl w:val="0"/>
          <w:numId w:val="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Полную материальную ответственность за автомобиль на водителя возложить нельзя — на него возлагается операционная ответственность в пределах трудового законодательства, а крупный имущественный риск закрывается каско (разд. 6, 8).</w:t>
      </w:r>
    </w:p>
    <w:p>
      <w:pPr>
        <w:pStyle w:val="ListParagraph"/>
        <w:numPr>
          <w:ilvl w:val="0"/>
          <w:numId w:val="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До первого выезда должны быть готовы: кадровое оформление, медицинский допуск, закрепление с актом передачи, приказ об эксплуатационных обязанностях и путевой лист (разд. 11).</w:t>
      </w:r>
    </w:p>
    <w:p>
      <w:pPr>
        <w:pStyle w:val="Normal"/>
        <w:spacing w:before="120" w:after="0"/>
        <w:rPr/>
      </w:pPr>
      <w:r>
        <w:rPr/>
      </w:r>
    </w:p>
    <w:tbl>
      <w:tblPr>
        <w:tblW w:w="9071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71"/>
      </w:tblGrid>
      <w:tr>
        <w:trPr>
          <w:cantSplit w:val="true"/>
        </w:trPr>
        <w:tc>
          <w:tcPr>
            <w:tcW w:w="9071" w:type="dxa"/>
            <w:tcBorders/>
            <w:shd w:fill="F5F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Roboto" w:cs="Roboto"/>
                <w:b/>
                <w:bCs/>
                <w:color w:val="1F3A5F"/>
                <w:sz w:val="18"/>
                <w:szCs w:val="18"/>
              </w:rPr>
              <w:t>КЛЮЧЕВОЙ ВЫВОД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rFonts w:eastAsia="Roboto" w:cs="Roboto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>Правильная модель — не «вся ответственность за автомобиль возложена на работника», а «автомобиль персонально закреплён за штатным водителем, на которого возложены трудовые обязанности по управлению, эксплуатации, сохранности и документальному сопровождению автомобиля, при сохранении за работодателем установленных законом обязанностей владельца транспортного средства». Из этой установки спроектирован весь комплект: трудовая функция — в трудовом договоре; операционные обязанности — в приказе и должностной инструкции; предел материальной ответственности — по Трудовому кодексу; крупный имущественный риск — на каско; публично-правовые обязанности владельца — на организации.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1" w:name="__RefHeading___Toc1005_2694416175"/>
      <w:bookmarkEnd w:id="1"/>
      <w:r>
        <w:rPr>
          <w:rFonts w:eastAsia="Roboto" w:cs="Roboto"/>
          <w:b/>
          <w:bCs/>
          <w:color w:val="1A1A1A"/>
          <w:sz w:val="24"/>
          <w:szCs w:val="24"/>
        </w:rPr>
        <w:t>Приобретение и оформление права собственности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Первый блок — документы сделки. Они подтверждают переход права собственности и служат первичными документами для бухгалтерского учёта и вычета НДС.</w:t>
      </w:r>
    </w:p>
    <w:p>
      <w:pPr>
        <w:pStyle w:val="ListParagraph"/>
        <w:numPr>
          <w:ilvl w:val="0"/>
          <w:numId w:val="17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Договор купли-продажи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 продавцом (дилером или собственником) со спецификацией: марка, модель, VIN, год выпуска, комплектация, цена, порядок оплаты и передачи. Отдельно проверить, каким моментом договор определяет переход права собственности: по общему правилу право возникает при передаче вещи, но договор может установить иной момент (ст. 223 ГК РФ).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Акт приёма-передачи автомобиля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 фиксацией VIN, пробега, комплектации, состояния и передаваемых принадлежностей (ключи, документы). Если по договору право собственности переходит при передаче, дата акта становится днём приобретения прав владельца — от него исчисляется десятидневный срок на регистрацию.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Универсальный передаточный документ (УПД)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либо счёт-фактура и товарная накладная — основание для вычета НДС и принятия автомобиля к учёту.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Платёжные документы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платёжное поручение, выписка банка.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Электронный паспорт транспортного средства (ЭПТС)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продавец вносит запись о смене собственника; у большинства новых автомобилей бумажного ПТС нет, статус записи стоит проверить в системе электронных паспортов до оплаты.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Если автомобиль приобретается в лизинг, вместо договора купли-продажи оформляется договор лизинга с графиком платежей и актом приёма-передачи предмета лизинга. Дополнительно фиксируются: балансодержатель, страхователь по каско (лизинговые компании, как правило, требуют каско на весь срок), порядок регистрации в ГИБДД (на лизингодателя или лизингополучателя) и выкупная стоимость. Учёт ведётся по правилам ФСБУ 25/2018.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2" w:name="__RefHeading___Toc1007_2694416175"/>
      <w:bookmarkEnd w:id="2"/>
      <w:r>
        <w:rPr>
          <w:rFonts w:eastAsia="Roboto" w:cs="Roboto"/>
          <w:b/>
          <w:bCs/>
          <w:color w:val="1A1A1A"/>
          <w:sz w:val="24"/>
          <w:szCs w:val="24"/>
        </w:rPr>
        <w:t>ОСАГО, регистрация и допуск к дорожному движению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Порядок первых шагов изменился с 1 марта 2025 года, поэтому его стоит зафиксировать точно:</w:t>
      </w:r>
    </w:p>
    <w:p>
      <w:pPr>
        <w:pStyle w:val="ListParagraph"/>
        <w:numPr>
          <w:ilvl w:val="0"/>
          <w:numId w:val="18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Полис ОСАГО — до первого использования автомобиля в дорожном движении.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Прежний десятидневный период, в течение которого новый владелец мог ездить без страховки, отменён с 1 марта 2025 года: действующая редакция ст. 4 закона об ОСАГО требует застраховать ответственность до начала эксплуатации. Страхователь — организация; водитель вписывается в полис либо полис оформляется без ограничения круга допущенных лиц.</w:t>
      </w:r>
    </w:p>
    <w:p>
      <w:pPr>
        <w:pStyle w:val="ListParagraph"/>
        <w:numPr>
          <w:ilvl w:val="0"/>
          <w:numId w:val="4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Изменение регистрационных данных в ГИБДД — в течение десяти дней со дня приобретения прав владельца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(ст. 8 закона № 283-ФЗ). Момент приобретения прав определяется договором и фактической передачей автомобиля (разд. 2). Полис ОСАГО с 1 марта 2025 года исключён из перечня документов для регистрационных действий: поставить автомобиль на учёт можно и без полиса, но использовать его в дорожном движении без ОСАГО нельзя. Понадобятся: заявление, документы организации и представителя (доверенность), договор, акт, выписка из ЭПТС, платёжные документы об уплате госпошлины. Результат — свидетельство о регистрации (СТС) и государственные регистрационные знаки.</w:t>
      </w:r>
    </w:p>
    <w:p>
      <w:pPr>
        <w:pStyle w:val="ListParagraph"/>
        <w:numPr>
          <w:ilvl w:val="0"/>
          <w:numId w:val="4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Диагностическая карта (техосмотр)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для автомобилей организаций техосмотр обязателен (отмена 2021 года коснулась только личных автомобилей граждан). Новый автомобиль первые четыре года освобождён от техосмотра; в возрасте от четырёх до десяти лет карта оформляется раз в два года, старше десяти лет — ежегодно (ст. 15 закона № 170-ФЗ).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Размеры госпошлин за регистрационные действия периодически индексируются — актуальные суммы нужно проверить на дату обращения на портале Госуслуг.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3" w:name="__RefHeading___Toc1009_2694416175"/>
      <w:bookmarkEnd w:id="3"/>
      <w:r>
        <w:rPr>
          <w:rFonts w:eastAsia="Roboto" w:cs="Roboto"/>
          <w:b/>
          <w:bCs/>
          <w:color w:val="1A1A1A"/>
          <w:sz w:val="24"/>
          <w:szCs w:val="24"/>
        </w:rPr>
        <w:t>Бухгалтерский и налоговый учёт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Бухгалтерский и налоговый учёт автомобиля ведутся по разным правилам — в том числе срок полезного использования определяется в каждом учёте самостоятельно. Смешение этих правил — типовая методологическая ошибка. Учёт — обязанность организации и бухгалтерии; на водителя эти функции не переносятся.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4" w:name="__RefHeading___Toc1011_2694416175"/>
      <w:bookmarkEnd w:id="4"/>
      <w:r>
        <w:rPr>
          <w:rFonts w:eastAsia="Roboto" w:cs="Roboto"/>
          <w:b/>
          <w:bCs/>
          <w:color w:val="1A1A1A"/>
          <w:sz w:val="24"/>
          <w:szCs w:val="24"/>
        </w:rPr>
        <w:t>Бухгалтерский учёт (ФСБУ 6/2020)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Автомобиль принимается к учёту как основное средство: приказ о вводе в эксплуатацию (дата, первоначальная стоимость, срок полезного использования, инвентарный номер), акт приёма-передачи основного средства (форма ОС-1 или собственная форма с реквизитами закона № 402-ФЗ), инвентарная карточка (ОС-6 или собственная). Лимит стоимости основных средств организация устанавливает сама в учётной политике.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Срок полезного использования в бухгалтерском учёте организация определяет самостоятельно — исходя из ожидаемого периода эксплуатации, предполагаемого пробега и режима использования, физического износа, технического и морального устаревания и планов руководства по замене автомобиля. Он может совпасть с налоговым, но совпадение должно быть экономически обосновано, а не перенесено из налоговой классификации автоматически.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5" w:name="__RefHeading___Toc1013_2694416175"/>
      <w:bookmarkEnd w:id="5"/>
      <w:r>
        <w:rPr>
          <w:rFonts w:eastAsia="Roboto" w:cs="Roboto"/>
          <w:b/>
          <w:bCs/>
          <w:color w:val="1A1A1A"/>
          <w:sz w:val="24"/>
          <w:szCs w:val="24"/>
        </w:rPr>
        <w:t>Налоговый учёт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Амортизируемым признаётся имущество дороже 100 тыс. руб. Амортизационная группа определяется по Классификации основных средств: большинство легковых автомобилей — третья группа (свыше трёх до пяти лет); автомобили большого и высшего класса, в том числе с рабочим объёмом двигателя свыше 3,5 литра, — пятая группа (свыше семи до десяти лет). Входной НДС по счёту-фактуре или УПД принимается к вычету после принятия автомобиля к учёту — при условии, что организация является плательщиком НДС и не применяет освобождение или специальные ставки без права на вычет (см. ниже про УСН).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1. Налоги и регулярные платежи, связанные с автомобилем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050"/>
        <w:gridCol w:w="2050"/>
        <w:gridCol w:w="207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Платёж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База и порядок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Периодичность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Примечание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Транспортный налог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Мощность двигателя × ставка региона; налог считает организация, ФНС присылает сообщение для сверки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Авансовые платежи поквартально (если установлены регионом), налог — по итогам года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Уплата в составе единого налогового платежа, подача уведомлений об исчисленных суммах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Повышающий коэффициент («налог на роскошь»)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Коэффициент 3 к транспортному налогу для автомобилей из перечня Минпромторга (стоимостью от 10 млн руб.)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Вместе с транспортным налогом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Перечень обновляется ежегодно; проверить модель на сайте Минпромторга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Налог на имущество организаций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Не уплачивается: движимое имущество объектом налогообложения не является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Актуально для общего режима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ОСАГО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Страховая премия по тарифу страховщика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Ежегодно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Контроль срока — в календаре ответственного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Техосмотр</w:t>
            </w:r>
          </w:p>
        </w:tc>
        <w:tc>
          <w:tcPr>
            <w:tcW w:w="3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Стоимость диагностической карты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 возрасту автомобиля (разд. 3)</w:t>
            </w:r>
          </w:p>
        </w:tc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Для автомобилей организаций обязателен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гл. 28 НК РФ, ФСБУ 6/2020, Классификация основных средств (постановление Правительства РФ № 1); детали — в разд. 12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6" w:name="__RefHeading___Toc1015_2694416175"/>
      <w:bookmarkEnd w:id="6"/>
      <w:r>
        <w:rPr>
          <w:rFonts w:eastAsia="Roboto" w:cs="Roboto"/>
          <w:b/>
          <w:bCs/>
          <w:color w:val="1A1A1A"/>
          <w:sz w:val="24"/>
          <w:szCs w:val="24"/>
        </w:rPr>
        <w:t>УСН и НДС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 2025 года организации на УСН являются плательщиками НДС; для части из них действует освобождение. В 2026 году НДС-статус зависит от доходов: при доходах за 2025 год не более 20 млн руб. действует освобождение; при превышении лимита организация исчисляет НДС — либо по специальным ставкам 5% или 7% без права на вычет входного налога, либо по общеустановленной ставке с вычетом. Отсюда следствия для автомобиля: при общеустановленной ставке входной НДС принимается к вычету; при освобождении или специальных ставках — учитывается в стоимости как невозмещаемый налог. Обязанность начислить НДС при последующей продаже автомобиля определяется НДС-статусом организации на момент реализации, а не самим фактом применения УСН.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Списание стоимости и ранняя продажа.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При УСН «доходы минус расходы» стоимость автомобиля, приобретённого в период применения УСН, оплаченного и введённого в эксплуатацию, списывается в расходы равными долями по отчётным периодам до конца года. Важное последствие ранней продажи: если автомобиль реализован до истечения трёх лет с момента учёта расходов, налоговую базу за прошлые периоды необходимо пересчитать по правилам гл. 25 НК РФ (амортизация вместо единовременного списания) и доплатить налог и пени (п. 3 ст. 346.16 НК РФ).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7" w:name="__RefHeading___Toc1017_2694416175"/>
      <w:bookmarkEnd w:id="7"/>
      <w:r>
        <w:rPr>
          <w:rFonts w:eastAsia="Roboto" w:cs="Roboto"/>
          <w:b/>
          <w:bCs/>
          <w:color w:val="1A1A1A"/>
          <w:sz w:val="24"/>
          <w:szCs w:val="24"/>
        </w:rPr>
        <w:t>Внутренние организационно-распорядительные документы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Внутренние документы распределяют функции и создают доказательственную базу, но не изменяют требования трудового, налогового и административного законодательства. В выбранной модели водитель и внутренний ответственный за эксплуатационное сопровождение автомобиля — одно лицо, однако приказ о закреплении, акт приёма-передачи и приказ об эксплуатационных обязанностях сохраняются как отдельные документы: у них разные юридические функции. Роли разделены так: водитель готовит и ведёт эксплуатационную документацию; руководитель или уполномоченное лицо утверждает документы и принимает решения; бухгалтерия осуществляет учёт и списание; медицинская организация оформляет медицинский допуск.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2. Пакет внутренних документов организации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4200"/>
        <w:gridCol w:w="2071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Документ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Что закрепляет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Когда оформляется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Положение об эксплуатации служебного легкового автомобиля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Порядок использования: основания поездок, закрепление, заправка, обслуживание, парковка и хранение ключей, действия при ДТП и штрафах, запрет личного использования и передачи управления без письменного разрешения работодателя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Один раз, до начала эксплуатации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Раздел (положение) о рабочем времени и времени отдыха водителя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Режим работы, учёт времени управления, перерывы, сверхурочная работа, командировки, табельный учёт — по правилам, действующим с 1 сентября 2026 года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начала эксплуатации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вводе автомобиля в эксплуатацию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Дата ввода, первоначальная стоимость, сроки полезного использования (бухгалтерский и налоговый), инвентарный номер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 принятии к учёту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закреплении автомобиля за водителем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Персональное закрепление автомобиля за конкретным работником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Акт приёма-передачи автомобиля водителю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Состояние, комплектность, пробег, принадлежности на момент передачи; основа для фиксации последующих повреждений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 закреплении; при возврате — акт возврата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возложении эксплуатационных обязанностей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Обязанности по эксплуатации, сохранности, документам, топливной дисциплине, парковке, контролю сроков ТО и страхования (перечень — разд. 6)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об утверждении норм расхода топлива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Базовые и сезонные нормы; за основу берутся методические рекомендации Минтранса (АМ-23-р) или данные завода-изготовителя и контрольные замеры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Один раз; пересмотр по сезону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лимитах эксплуатационных расходов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Лимиты на мойку, парковку, мелкий ремонт; порядок выдачи подотчётных средств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 усмотрению организации</w:t>
            </w:r>
          </w:p>
        </w:tc>
      </w:tr>
      <w:tr>
        <w:trPr/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Журналы: регистрации путевых листов, медосмотров, инструктажей, учёта неисправностей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Регистрация путевых листов, отметок медосмотров, инструктажей, сообщений о неисправностях</w:t>
            </w:r>
          </w:p>
        </w:tc>
        <w:tc>
          <w:tcPr>
            <w:tcW w:w="20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Ведутся постоянно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практика документооборота; обязательность отдельных процедур — в разд. 6–7 и 10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8" w:name="__RefHeading___Toc1019_2694416175"/>
      <w:bookmarkEnd w:id="8"/>
      <w:r>
        <w:rPr>
          <w:rFonts w:eastAsia="Roboto" w:cs="Roboto"/>
          <w:b/>
          <w:bCs/>
          <w:color w:val="1A1A1A"/>
          <w:sz w:val="24"/>
          <w:szCs w:val="24"/>
        </w:rPr>
        <w:t>Водитель: оформление, допуск, обязанности, пределы ответственности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9" w:name="__RefHeading___Toc1021_2694416175"/>
      <w:bookmarkEnd w:id="9"/>
      <w:r>
        <w:rPr>
          <w:rFonts w:eastAsia="Roboto" w:cs="Roboto"/>
          <w:b/>
          <w:bCs/>
          <w:color w:val="1A1A1A"/>
          <w:sz w:val="24"/>
          <w:szCs w:val="24"/>
        </w:rPr>
        <w:t>Трудовая функция — в трудовом договоре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Управление автомобилем должно быть закреплено как трудовая функция — обязательное условие трудового договора (ст. 57 ТК РФ). Устного поручения, доверенности, приказа о закреплении автомобиля, упоминания в положении о транспорте или отдельной фразы в должностной инструкции недостаточно, если сам договор предусматривает другую работу.</w:t>
      </w:r>
    </w:p>
    <w:p>
      <w:pPr>
        <w:pStyle w:val="ListParagraph"/>
        <w:numPr>
          <w:ilvl w:val="0"/>
          <w:numId w:val="19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Базовая конструкция: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должность — водитель автомобиля; трудовая функция — управление закреплённым служебным легковым автомобилем при выполнении служебных поручений работодателя и перевозке работников и иных лиц для собственных нужд организации. Подробный перечень функций раскрывается в должностной инструкции. В договоре также фиксируются характер работы (при необходимости — разъездной), режим и территория постоянных поездок.</w:t>
      </w:r>
    </w:p>
    <w:p>
      <w:pPr>
        <w:pStyle w:val="ListParagraph"/>
        <w:numPr>
          <w:ilvl w:val="0"/>
          <w:numId w:val="5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Если сотрудник сейчас оформлен на другой должности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(менеджер, помощник, заведующий хозяйством), предпочтительный вариант — изменить трудовую функцию: письменное дополнительное соглашение и приказ о переводе на должность водителя (ст. 72 ТК РФ). Альтернатива — совмещение должности водителя с основной работой: письменное согласие, определение содержания, объёма и срока дополнительной работы, отдельная доплата (ст. 60.2, 151 ТК РФ). Если управление автомобилем будет ежедневной основной деятельностью, совмещение создаёт искусственную кадровую конструкцию и споры о рабочем времени, оплате и ответственности — основной должностью должен быть водитель.</w:t>
      </w:r>
    </w:p>
    <w:p>
      <w:pPr>
        <w:pStyle w:val="ListParagraph"/>
        <w:numPr>
          <w:ilvl w:val="0"/>
          <w:numId w:val="5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Сопутствующие кадровые документы: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должность водителя в штатном расписании, приказ о приёме или переводе, должностная инструкция, копия водительского удостоверения соответствующей категории.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0" w:name="__RefHeading___Toc1023_2694416175"/>
      <w:bookmarkEnd w:id="10"/>
      <w:r>
        <w:rPr>
          <w:rFonts w:eastAsia="Roboto" w:cs="Roboto"/>
          <w:b/>
          <w:bCs/>
          <w:color w:val="1A1A1A"/>
          <w:sz w:val="24"/>
          <w:szCs w:val="24"/>
        </w:rPr>
        <w:t>Режим рабочего времени и времени отдыха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Поскольку управление автомобилем — трудовая обязанность, на работника распространяются специальные правила рабочего времени и времени отдыха водителей. С 1 сентября 2026 года вступает в силу новый приказ Минтранса № 160, заменяющий приказ № 424, — правила внутреннего трудового распорядка, графики работы и сменности целесообразно сразу проектировать под него: продолжительность рабочего дня, учёт времени управления автомобилем, перерывы, порядок привлечения к работе сверх установленного времени, командировки за пределы обычной территории, табельный учёт.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1" w:name="__RefHeading___Toc1025_2694416175"/>
      <w:bookmarkEnd w:id="11"/>
      <w:r>
        <w:rPr>
          <w:rFonts w:eastAsia="Roboto" w:cs="Roboto"/>
          <w:b/>
          <w:bCs/>
          <w:color w:val="1A1A1A"/>
          <w:sz w:val="24"/>
          <w:szCs w:val="24"/>
        </w:rPr>
        <w:t>Медицинский допуск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После закрепления управления автомобилем как трудовой функции медицинский контур обязателен однозначно, в течение всего периода работы:</w:t>
      </w:r>
    </w:p>
    <w:p>
      <w:pPr>
        <w:pStyle w:val="ListParagraph"/>
        <w:numPr>
          <w:ilvl w:val="0"/>
          <w:numId w:val="20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предварительный медицинский осмотр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при приёме на работу или переводе на должность водителя;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обязательное психиатрическое освидетельствование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в предусмотренных законодательством случаях;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периодические медицинские осмотры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не реже одного раза в два года;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предрейсовые (предсменные) медицинские осмотры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в течение всего времени работы в качестве водителя (ст. 23 закона № 196-ФЗ, приказ Минздрава № 266н). Проводит лицензированный медицинский работник или медицинская организация по договору; сам водитель или административный сотрудник отметку ставить не вправе. Отметка — в путевом листе и журнале;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послерейсовые (послесменные) осмотры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закладываются в систему, поскольку водитель перевозит руководителя, работников и иных лиц: закон связывает их обязательность с перевозкой пассажиров;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дистанционные осмотры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допускаются с использованием зарегистрированных медицинских изделий, но не реже двух раз в год работник проходит очные осмотры с химико-токсикологическими исследованиями;</w:t>
      </w:r>
    </w:p>
    <w:p>
      <w:pPr>
        <w:pStyle w:val="ListParagraph"/>
        <w:numPr>
          <w:ilvl w:val="0"/>
          <w:numId w:val="6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инструктажи по безопасности дорожного движения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вводный и периодические, с записью в журнале.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2" w:name="__RefHeading___Toc1027_2694416175"/>
      <w:bookmarkEnd w:id="12"/>
      <w:r>
        <w:rPr>
          <w:rFonts w:eastAsia="Roboto" w:cs="Roboto"/>
          <w:b/>
          <w:bCs/>
          <w:color w:val="1A1A1A"/>
          <w:sz w:val="24"/>
          <w:szCs w:val="24"/>
        </w:rPr>
        <w:t>Операционные обязанности водителя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Приказом о возложении эксплуатационных обязанностей и должностной инструкцией на водителя возлагается операционная ответственность за автомобиль:</w:t>
      </w:r>
    </w:p>
    <w:p>
      <w:pPr>
        <w:pStyle w:val="ListParagraph"/>
        <w:numPr>
          <w:ilvl w:val="0"/>
          <w:numId w:val="21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принимать автомобиль по акту и обеспечивать сохранность автомобиля, ключей, регистрационных документов, принадлежностей и дополнительного оборудования;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использовать автомобиль исключительно для выполнения оформленных служебных заданий; личные поездки — только по письменному разрешению работодателя;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не передавать управление третьим лицам без письменного разрешения работодателя;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до начала работы проходить предусмотренные медицинские осмотры;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до выезда проверять очевидное техническое состояние: шины, внешние повреждения, световые приборы, уровни эксплуатационных жидкостей, наличие аптечки, огнетушителя и знака аварийной остановки, отсутствие сигналов неисправностей; не эксплуатировать автомобиль при неисправностях, запрещающих движение, и немедленно сообщать о них работодателю;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соблюдать ПДД, установленный маршрут, режим труда и отдыха, место парковки и порядок хранения ключей;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оформлять или заполнять свою часть путевого листа: пробег, показания одометра, маршрут, служебное задание;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соблюдать топливную дисциплину: правильно использовать топливную карту, сохранять чеки, представлять отчётность по топливу;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своевременно представлять автомобиль на ТО, ремонт, шиномонтаж и страховой осмотр; немедленно сообщать о ДТП, повреждениях, штрафах, эвакуации, утрате документов и иных происшествиях; участвовать в фиксации повреждений и служебном расследовании;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при прекращении закрепления или увольнении возвратить автомобиль по акту в установленной комплектности и состоянии с учётом нормального износа.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Именно такой набор обязанностей создаёт доказуемую связь между автомобилем, трудовой функцией работника и его действиями.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3" w:name="__RefHeading___Toc1029_2694416175"/>
      <w:bookmarkEnd w:id="13"/>
      <w:r>
        <w:rPr>
          <w:rFonts w:eastAsia="Roboto" w:cs="Roboto"/>
          <w:b/>
          <w:bCs/>
          <w:color w:val="1A1A1A"/>
          <w:sz w:val="24"/>
          <w:szCs w:val="24"/>
        </w:rPr>
        <w:t>Пределы ответственности водителя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Полную материальную ответственность за автомобиль возложить нельзя.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Условие вида «водитель несёт полную материальную ответственность за закреплённый автомобиль и возмещает любые расходы на ремонт» не будет действовать, в каком бы документе оно ни стояло: должность водителя и работа по управлению автомобилем не включены в действующие перечни, позволяющие заключить договор о полной материальной ответственности за автомобиль (с 1 сентября 2025 года — перечни приказа Минтруда № 251н). Акт передачи подтверждает состояние, комплектность и факт получения имущества, но полной ответственности не создаёт. По общему правилу ответственность работника ограничена средним месячным заработком; полное возмещение — только в случаях ст. 243 ТК РФ (умысел, опьянение, установленное административное правонарушение и другие). Корректная формулировка для документов: «Водитель несёт дисциплинарную и материальную ответственность за виновное неисполнение своих обязанностей в порядке, случаях и пределах, установленных законодательством Российской Федерации». Экономический риск крупного повреждения автомобиля закрывается прежде всего каско.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Обязанности организации приказом не переносятся.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Даже при назначении водителя ответственным за автомобиль за организацией как работодателем и владельцем транспортного средства сохраняются: организация труда водителя и обязательных медосмотров, техническая исправность автомобиля, страхование, своевременное ТО, соблюдение режима труда и отдыха, бухгалтерский и налоговый учёт, надлежащее расследование ДТП и ущерба. Внутренний приказ распределяет функции внутри компании, но не освобождает юридическое лицо от публично-правовой ответственности.</w:t>
      </w:r>
    </w:p>
    <w:tbl>
      <w:tblPr>
        <w:tblW w:w="9071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71"/>
      </w:tblGrid>
      <w:tr>
        <w:trPr>
          <w:cantSplit w:val="true"/>
        </w:trPr>
        <w:tc>
          <w:tcPr>
            <w:tcW w:w="9071" w:type="dxa"/>
            <w:tcBorders/>
            <w:shd w:fill="F5F5F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Roboto" w:cs="Roboto"/>
                <w:b/>
                <w:bCs/>
                <w:color w:val="C77B30"/>
                <w:sz w:val="18"/>
                <w:szCs w:val="18"/>
              </w:rPr>
              <w:t>ФОРМУЛИРОВКИ ПРИКАЗОВ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rFonts w:eastAsia="Roboto" w:cs="Roboto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>Допустимые формулировки внутренних документов: «лицо, за которым закреплён автомобиль», «ответственный за эксплуатацию и сохранность автомобиля», «ответственный за ведение эксплуатационной документации», «ответственный за контроль сроков ТО и страхования». Без необходимости не использовать: «специалист, ответственный за обеспечение безопасности дорожного движения», «контролёр технического состояния транспортных средств», «ответственный за выпуск автомобиля на линию» — это специальные регулируемые функции с квалификационными требованиями и аттестацией. Требования п. 2 ст. 20 закона № 196-ФЗ (аттестованный специалист по БДД, формальный предрейсовый технический контроль) по буквальному тексту относятся к коммерческим перевозкам и перевозкам для собственных нужд автобусами и грузовыми автомобилями, а не к служебному легковому автомобилю; при этом общая обязанность организации поддерживать автомобиль в исправном состоянии сохраняется. Водитель выполняет ежедневную проверку автомобиля, но статус квалифицированного контролёра ему не присваивается.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14" w:name="__RefHeading___Toc1031_2694416175"/>
      <w:bookmarkEnd w:id="14"/>
      <w:r>
        <w:rPr>
          <w:rFonts w:eastAsia="Roboto" w:cs="Roboto"/>
          <w:b/>
          <w:bCs/>
          <w:color w:val="1A1A1A"/>
          <w:sz w:val="24"/>
          <w:szCs w:val="24"/>
        </w:rPr>
        <w:t>Текущая эксплуатация: путевые листы, топливо, обслуживание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5" w:name="__RefHeading___Toc1033_2694416175"/>
      <w:bookmarkEnd w:id="15"/>
      <w:r>
        <w:rPr>
          <w:rFonts w:eastAsia="Roboto" w:cs="Roboto"/>
          <w:b/>
          <w:bCs/>
          <w:color w:val="1A1A1A"/>
          <w:sz w:val="24"/>
          <w:szCs w:val="24"/>
        </w:rPr>
        <w:t>Путевые листы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В выбранной модели путевой лист — постоянный элемент документооборота, а не предмет спора о допустимости альтернативных доказательств. Водитель перевозит руководителя, работников и иных лиц для нужд организации — автомобиль движется при перевозке пассажиров, поэтому путевой лист оформляется до выпуска автомобиля на линию (ст. 6 Устава автомобильного транспорта; обязательные реквизиты — приказ Минтранса № 390 от 28.09.2022; допускается электронная форма). Путевой лист одновременно обеспечивает:</w:t>
      </w:r>
    </w:p>
    <w:p>
      <w:pPr>
        <w:pStyle w:val="ListParagraph"/>
        <w:numPr>
          <w:ilvl w:val="0"/>
          <w:numId w:val="2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подтверждение служебной цели поездки и маршрута (служебного задания);</w:t>
      </w:r>
    </w:p>
    <w:p>
      <w:pPr>
        <w:pStyle w:val="ListParagraph"/>
        <w:numPr>
          <w:ilvl w:val="0"/>
          <w:numId w:val="8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идентификацию водителя и установление лица, управлявшего автомобилем в конкретный момент, — в том числе для обжалования штрафов с камер;</w:t>
      </w:r>
    </w:p>
    <w:p>
      <w:pPr>
        <w:pStyle w:val="ListParagraph"/>
        <w:numPr>
          <w:ilvl w:val="0"/>
          <w:numId w:val="8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учёт пробега и фиксацию показаний одометра;</w:t>
      </w:r>
    </w:p>
    <w:p>
      <w:pPr>
        <w:pStyle w:val="ListParagraph"/>
        <w:numPr>
          <w:ilvl w:val="0"/>
          <w:numId w:val="8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отметку медицинского осмотра;</w:t>
      </w:r>
    </w:p>
    <w:p>
      <w:pPr>
        <w:pStyle w:val="ListParagraph"/>
        <w:numPr>
          <w:ilvl w:val="0"/>
          <w:numId w:val="8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основание для списания топлива.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Для одного автомобиля и одного водителя форму можно сделать компактной: приказ № 390 допускает включение дополнительных сведений, необходимых собственнику, и не требует реквизитов, не относящихся к его деятельности. Ведутся журнал регистрации путевых листов, служебные задания или маршрутные сведения, журнал учёта неисправностей.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6" w:name="__RefHeading___Toc1035_2694416175"/>
      <w:bookmarkEnd w:id="16"/>
      <w:r>
        <w:rPr>
          <w:rFonts w:eastAsia="Roboto" w:cs="Roboto"/>
          <w:b/>
          <w:bCs/>
          <w:color w:val="1A1A1A"/>
          <w:sz w:val="24"/>
          <w:szCs w:val="24"/>
        </w:rPr>
        <w:t>Топливо</w:t>
      </w:r>
    </w:p>
    <w:p>
      <w:pPr>
        <w:pStyle w:val="ListParagraph"/>
        <w:numPr>
          <w:ilvl w:val="0"/>
          <w:numId w:val="23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Топливная карта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договор с оператором, отчёты процессинга, чеки; водитель отвечает за правильное использование карты и сохранение чеков.</w:t>
      </w:r>
    </w:p>
    <w:p>
      <w:pPr>
        <w:pStyle w:val="ListParagraph"/>
        <w:numPr>
          <w:ilvl w:val="0"/>
          <w:numId w:val="9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Нормы расхода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приказ об утверждении базовых и сезонных норм (АМ-23-р или данные производителя и контрольные замеры).</w:t>
      </w:r>
    </w:p>
    <w:p>
      <w:pPr>
        <w:pStyle w:val="ListParagraph"/>
        <w:numPr>
          <w:ilvl w:val="0"/>
          <w:numId w:val="9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Списание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ежемесячный акт списания топлива по нормам с учётом фактического пробега по путевым листам; готовит водитель и бухгалтерия, утверждает руководитель.</w:t>
      </w:r>
    </w:p>
    <w:p>
      <w:pPr>
        <w:pStyle w:val="Heading2"/>
        <w:keepNext w:val="true"/>
        <w:numPr>
          <w:ilvl w:val="1"/>
          <w:numId w:val="1"/>
        </w:numPr>
        <w:rPr/>
      </w:pPr>
      <w:bookmarkStart w:id="17" w:name="__RefHeading___Toc1037_2694416175"/>
      <w:bookmarkEnd w:id="17"/>
      <w:r>
        <w:rPr>
          <w:rFonts w:eastAsia="Roboto" w:cs="Roboto"/>
          <w:b/>
          <w:bCs/>
          <w:color w:val="1A1A1A"/>
          <w:sz w:val="24"/>
          <w:szCs w:val="24"/>
        </w:rPr>
        <w:t>Обслуживание и содержание</w:t>
      </w:r>
    </w:p>
    <w:p>
      <w:pPr>
        <w:pStyle w:val="ListParagraph"/>
        <w:numPr>
          <w:ilvl w:val="0"/>
          <w:numId w:val="24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Техническое обслуживание и ремонт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договор с сервисным центром, заказ-наряды, акты выполненных работ; в гарантийный период — сервисная книжка и регламент ТО производителя. Водитель представляет автомобиль на ТО по поручению работодателя.</w:t>
      </w:r>
    </w:p>
    <w:p>
      <w:pPr>
        <w:pStyle w:val="ListParagraph"/>
        <w:numPr>
          <w:ilvl w:val="0"/>
          <w:numId w:val="10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Шины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учёт комплектов, акты сезонной замены, договор хранения (если шины хранит сервис).</w:t>
      </w:r>
    </w:p>
    <w:p>
      <w:pPr>
        <w:pStyle w:val="ListParagraph"/>
        <w:numPr>
          <w:ilvl w:val="0"/>
          <w:numId w:val="10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Парковка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договор аренды машиноместа или абонемент; установленное место парковки и порядок хранения ключей фиксируются в положении.</w:t>
      </w:r>
    </w:p>
    <w:p>
      <w:pPr>
        <w:pStyle w:val="ListParagraph"/>
        <w:numPr>
          <w:ilvl w:val="0"/>
          <w:numId w:val="10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Мойка и расходные материалы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чеки и авансовые отчёты в пределах лимитов, утверждённых приказом.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18" w:name="__RefHeading___Toc1039_2694416175"/>
      <w:bookmarkEnd w:id="18"/>
      <w:r>
        <w:rPr>
          <w:rFonts w:eastAsia="Roboto" w:cs="Roboto"/>
          <w:b/>
          <w:bCs/>
          <w:color w:val="1A1A1A"/>
          <w:sz w:val="24"/>
          <w:szCs w:val="24"/>
        </w:rPr>
        <w:t>Ответственность, штрафы и порядок действий при ДТП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Автомобиль — источник повышенной опасности. Вред, причинённый третьим лицам, возмещает владелец — организация (ст. 1079 ГК РФ), даже если за рулём был работник; затем организация вправе предъявить работнику регрессное требование (ст. 1081 ГК РФ) с учётом ограничений трудового законодательства.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Штрафы с дорожных камер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при автоматической фиксации выносятся на собственника — юридическое лицо, и суммы для организаций кратно выше, чем для граждан. Первый путь — обжалование: собственник освобождается от ответственности, если докажет, что в момент нарушения автомобилем управляло другое лицо (ч. 2 ст. 2.6.1 КоАП РФ). Это процедура обжалования с оценкой доказательств, а не автоматическое «переоформление»; в выбранной модели ключевые доказательства создаются штатно — приказ о закреплении, акт передачи, путевой лист на конкретный день, объяснения водителя. При оплате в льготный срок действует скидка (с 2025 года — 25% при оплате в течение 30 дней; параметры проверить на дату оплаты).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Взыскание с работника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зона осторожности. Уплаченный организацией административный штраф не во всех случаях признаётся прямым действительным ущербом, который можно переложить на работника: судебная практика неоднородна, часть судов считает штраф ответственностью самого юридического лица. Если решение о взыскании принято, соблюдается процедура ТК РФ: служебное расследование, установление противоправности, вины, причинной связи и размера ущерба; при размере не более среднего месячного заработка — распоряжение работодателя в течение месяца со дня окончательного установления размера ущерба (согласие работника на такое распоряжение не требуется); свыше предела или при пропуске срока — только через суд. Письменное обязательство работника нужно при добровольном возмещении с рассрочкой. Положение об эксплуатации фиксирует порядок действий, но само по себе право на взыскание не создаёт.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При ДТП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водитель действует по правилам дорожного движения (остановка, знак, вызов ГИБДД или европротокол при мелком ущербе), немедленно уведомляет работодателя, получает документы о ДТП. Организация уведомляет страховщика в срок, установленный договором и правилами страхования, фиксирует повреждения актом, проводит служебное расследование с определением ущерба, ремонтирует автомобиль по ОСАГО виновника или каско.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Личное использование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в базовой модели запрещено, если отдельно не разрешено письменным решением работодателя. Если разрешение выдаётся, поездки оформляются: у работника возникает доход в натуральной форме с удержанием НДФЛ и начислением взносов, либо заключается договор аренды или безвозмездного пользования с отдельным налоговым режимом. Неоформленное личное использование — типовое основание для доначислений при налоговой проверке.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19" w:name="__RefHeading___Toc1041_2694416175"/>
      <w:bookmarkEnd w:id="19"/>
      <w:r>
        <w:rPr>
          <w:rFonts w:eastAsia="Roboto" w:cs="Roboto"/>
          <w:b/>
          <w:bCs/>
          <w:color w:val="1A1A1A"/>
          <w:sz w:val="24"/>
          <w:szCs w:val="24"/>
        </w:rPr>
        <w:t>Возврат и выбытие автомобиля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Закрепление автомобиля прекращается актом возврата: при переводе или увольнении водителя, при уходе в отпуск с передачей автомобиля другому лицу (по письменному разрешению работодателя), при списании или продаже. Акт фиксирует комплектность и состояние с учётом нормального износа. Выбытие самого автомобиля закрывается документами:</w:t>
      </w:r>
    </w:p>
    <w:p>
      <w:pPr>
        <w:pStyle w:val="ListParagraph"/>
        <w:numPr>
          <w:ilvl w:val="0"/>
          <w:numId w:val="25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Продажа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договор купли-продажи, акт приёма-передачи, УПД; НДС начисляется, если организация на момент реализации является плательщиком НДС (разд. 4). Запись о смене собственника вносится в ЭПТС. Если покупатель не перерегистрировал автомобиль в течение десяти дней, организация подаёт заявление о прекращении регистрации, иначе транспортный налог и штрафы продолжат приходить прежнему собственнику. При УСН «доходы минус расходы» продажа ранее трёх лет с момента учёта расходов влечёт пересчёт налоговой базы (разд. 4).</w:t>
      </w:r>
    </w:p>
    <w:p>
      <w:pPr>
        <w:pStyle w:val="ListParagraph"/>
        <w:numPr>
          <w:ilvl w:val="0"/>
          <w:numId w:val="11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Списание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(гибель, износ) — приказ о создании комиссии, акт о списании (форма ОС-4 или собственная), документы об утилизации, снятие с учёта в ГИБДД в связи с утилизацией.</w:t>
      </w:r>
    </w:p>
    <w:p>
      <w:pPr>
        <w:pStyle w:val="ListParagraph"/>
        <w:numPr>
          <w:ilvl w:val="0"/>
          <w:numId w:val="11"/>
        </w:numPr>
        <w:spacing w:lineRule="auto" w:line="276" w:before="0" w:after="60"/>
        <w:jc w:val="both"/>
        <w:rPr/>
      </w:pPr>
      <w:r>
        <w:rPr>
          <w:rFonts w:eastAsia="Roboto" w:cs="Roboto"/>
          <w:b/>
          <w:bCs/>
          <w:i w:val="false"/>
          <w:iCs w:val="false"/>
          <w:color w:val="333333"/>
          <w:sz w:val="22"/>
          <w:szCs w:val="22"/>
        </w:rPr>
        <w:t xml:space="preserve">Учёт и транспортный налог </w:t>
      </w: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— выбытие отражается в инвентарной карточке, остаточная стоимость списывается. Транспортный налог считается с коэффициентом владения по правилу 15-го числа (п. 3 ст. 362 НК РФ): если автомобиль снят с регистрации до 15-го числа месяца включительно, этот месяц в расчёт не входит; если после 15-го числа — месяц учитывается как полный.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20" w:name="__RefHeading___Toc1043_2694416175"/>
      <w:bookmarkEnd w:id="20"/>
      <w:r>
        <w:rPr>
          <w:rFonts w:eastAsia="Roboto" w:cs="Roboto"/>
          <w:b/>
          <w:bCs/>
          <w:color w:val="1A1A1A"/>
          <w:sz w:val="24"/>
          <w:szCs w:val="24"/>
        </w:rPr>
        <w:t>Карта обязанностей и зон риска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Карта построена под базовую модель: обязанности по медосмотрам и путевым листам в ней действуют безусловно — спорной зоны «эпизодического управленца за рулём» больше нет. Для каждой зоны указано, когда возникает обязанность, чем грозит невыполнение и каким документом подтверждается контроль. Остаточный риск оценивается после фактического внедрения контрольных мероприятий.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3. Карта обязанностей и зон риска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1799"/>
        <w:gridCol w:w="1451"/>
        <w:gridCol w:w="1799"/>
        <w:gridCol w:w="2422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Зона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Триггер применимости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Основание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Возможное последствие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Контроль и подтверждение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ОСАГО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Использование автомобиля в дорожном движении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4 закона № 40-ФЗ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Штрафы; регресс страховщика при ДТП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Полис до первого выезда; контроль срока в календаре; полис в деле автомобиля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Регистрация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Приобретение прав владельца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8 закона № 283-ФЗ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Штрафы; запрет эксплуатации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Заявление в 10-дневный срок; СТС в деле автомобиля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Кадровое оформление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Управление автомобилем — трудовая функция работника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57, 72 ТК РФ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Споры о функции и оплате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Трудовой договор или допсоглашение; приказ; должностная инструкция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Медосмотры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Штатный водитель — действует постоянно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23 закона № 196-ФЗ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 на компанию и должностных лиц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Договор с медорганизацией; журнал; отметки в путевом листе; очные ХТИ при дистанционных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Режим труда и отдыха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Работник занят в качестве водителя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329 ТК РФ; приказ Минтранса № 160 (с 01.09.2026)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 инспекции труда; споры об оплате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ПВТР или положение; графики; табель; учёт времени управления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Путевые листы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Перевозка руководителя и работников — постоянно в данной модели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6 закона № 259-ФЗ (УАТ)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Штрафы; расходы на топливо под угрозой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Путевой лист до выпуска на линию; журнал регистрации; акты списания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Техосмотр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Автомобиль организации старше четырёх лет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15 закона № 170-ФЗ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 за эксплуатацию без техосмотра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Календарь сроков; карта в деле автомобиля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Штрафы с камер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Автоматическая фиксация нарушений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2.6.1 КоАП РФ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Оплата штрафов организацией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Порядок обжалования и взыскания в положении; акты передачи; путевые листы; расследования</w:t>
            </w:r>
          </w:p>
        </w:tc>
      </w:tr>
      <w:tr>
        <w:trPr/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Личные поездки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Письменное разрешение работодателя</w:t>
            </w:r>
          </w:p>
        </w:tc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гл. 23, 34 НК РФ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НДФЛ, взносы, пени при проверке</w:t>
            </w:r>
          </w:p>
        </w:tc>
        <w:tc>
          <w:tcPr>
            <w:tcW w:w="2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 умолчанию запрет; при разрешении — оформление (аренда или доход в натуральной форме)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нормы, указанные в разд. 12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21" w:name="__RefHeading___Toc1045_2694416175"/>
      <w:bookmarkEnd w:id="21"/>
      <w:r>
        <w:rPr>
          <w:rFonts w:eastAsia="Roboto" w:cs="Roboto"/>
          <w:b/>
          <w:bCs/>
          <w:color w:val="1A1A1A"/>
          <w:sz w:val="24"/>
          <w:szCs w:val="24"/>
        </w:rPr>
        <w:t>Выводы, план действий и календарь сроков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План действий упорядочен по жёсткости сроков. Принципиально: кадровое оформление, медицинский допуск, закрепление автомобиля с актом передачи и путевой лист должны быть готовы до первого выезда, а не «в течение месяца». Рекомендации адресованы ролям; исполнителей организация назначает приказом.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4. План действий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"/>
        <w:gridCol w:w="3700"/>
        <w:gridCol w:w="2301"/>
        <w:gridCol w:w="2570"/>
      </w:tblGrid>
      <w:tr>
        <w:trPr>
          <w:tblHeader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№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Рекомендация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Ответственный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Срок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Оформить трудовую функцию водителя: договор или допсоглашение с приказом о переводе, должностная инструкция, штатное расписание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Руководитель, кадровая служба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Обеспечить медицинский допуск: предварительный осмотр, психиатрическое освидетельствование (в предусмотренных случаях), договор на предрейсовые и послерейсовые осмотры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Кадровая служба, медорганизация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Оформить ОСАГО (каско — рекомендовано как ключевой инструмент имущественного риска)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Ответственный за транспорт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использования автомобиля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Издать приказ о закреплении, подписать акт приёма-передачи, приказ об эксплуатационных обязанностях; запустить путевые листы и журналы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Руководитель, водитель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Подать заявление об изменении регистрационных данных в ГИБДД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Ответственный за транспорт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10 дней со дня приобретения прав владельца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Утвердить положение об эксплуатации автомобиля и раздел о рабочем времени и отдыхе водителя (под правила, действующие с 01.09.2026)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Руководитель, кадровая служба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5 рабочих дней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Принять автомобиль к учёту (сроки полезного использования — отдельно для БУ и НУ); заключить договоры: сервис, топливная карта, парковка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Главный бухгалтер, административная служба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Месяц принятия к учёту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3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Вести календарь юридически значимых сроков (ниже)</w:t>
            </w:r>
          </w:p>
        </w:tc>
        <w:tc>
          <w:tcPr>
            <w:tcW w:w="2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Ответственный за транспорт, бухгалтерия</w:t>
            </w:r>
          </w:p>
        </w:tc>
        <w:tc>
          <w:tcPr>
            <w:tcW w:w="25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Постоянно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разделы 2–9 настоящей справки</w:t>
      </w:r>
    </w:p>
    <w:p>
      <w:pPr>
        <w:pStyle w:val="Normal"/>
        <w:keepNext w:val="tru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Календарные сроки не исчерпываются первыми десятью днями. В календарь включаются как минимум:</w:t>
      </w:r>
    </w:p>
    <w:p>
      <w:pPr>
        <w:pStyle w:val="ListParagraph"/>
        <w:numPr>
          <w:ilvl w:val="0"/>
          <w:numId w:val="26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срок действия ОСАГО и дата продления; каско;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периодичность техосмотра по возрасту автомобиля;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периодические медосмотры водителя и очные ХТИ при дистанционных осмотрах;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графики работы водителя и учёт времени управления;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сроки уплаты транспортного налога и авансовых платежей, подача уведомлений;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сроки обжалования постановлений и льготной оплаты штрафов;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срок уведомления страховщика о ДТП по договору страхования;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месячный срок для распоряжения о взыскании ущерба с работника;</w:t>
      </w:r>
    </w:p>
    <w:p>
      <w:pPr>
        <w:pStyle w:val="ListParagraph"/>
        <w:numPr>
          <w:ilvl w:val="0"/>
          <w:numId w:val="12"/>
        </w:numPr>
        <w:spacing w:lineRule="auto" w:line="276" w:before="0" w:after="6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регламентные ТО по пробегу и сезонная замена шин.</w:t>
      </w:r>
    </w:p>
    <w:p>
      <w:pPr>
        <w:pStyle w:val="Heading1"/>
        <w:keepNext w:val="true"/>
        <w:numPr>
          <w:ilvl w:val="0"/>
          <w:numId w:val="1"/>
        </w:numPr>
        <w:rPr/>
      </w:pPr>
      <w:bookmarkStart w:id="22" w:name="__RefHeading___Toc1047_2694416175"/>
      <w:bookmarkEnd w:id="22"/>
      <w:r>
        <w:rPr>
          <w:rFonts w:eastAsia="Roboto" w:cs="Roboto"/>
          <w:b/>
          <w:bCs/>
          <w:color w:val="1A1A1A"/>
          <w:sz w:val="24"/>
          <w:szCs w:val="24"/>
        </w:rPr>
        <w:t>Ключевые допущения и источники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Справка построена под базовую модель: российское юридическое лицо на общем режиме или УСН; легковой автомобиль для собственных нужд (не такси, не коммерческие перевозки), зарегистрированный на организацию; один штатный водитель, управление автомобилем — его основная трудовая функция; автомобиль персонально закреплён, иных допущенных водителей нет; личное использование и передача управления запрещены без письменного разрешения работодателя. Альтернативная модель — эпизодическое управление автомобилем директором или менеджером без водительской трудовой функции — из справки исключена: при её выборе объём обязанностей по медосмотрам и путевым листам требует отдельной оценки по фактической модели использования. Для перевозочной деятельности состав обязательных документов существенно шире и здесь не рассматривается. Нормативные акты указаны в редакциях, действующих на август 2026 года.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5. Статус ключевых утверждений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99"/>
        <w:gridCol w:w="2300"/>
        <w:gridCol w:w="3272"/>
      </w:tblGrid>
      <w:tr>
        <w:trPr>
          <w:tblHeader w:val="true"/>
        </w:trPr>
        <w:tc>
          <w:tcPr>
            <w:tcW w:w="3499" w:type="dxa"/>
            <w:tcBorders>
              <w:top w:val="single" w:sz="12" w:space="0" w:color="1A1A1A"/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Утверждение</w:t>
            </w:r>
          </w:p>
        </w:tc>
        <w:tc>
          <w:tcPr>
            <w:tcW w:w="2300" w:type="dxa"/>
            <w:tcBorders>
              <w:top w:val="single" w:sz="12" w:space="0" w:color="1A1A1A"/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Статус</w:t>
            </w:r>
          </w:p>
        </w:tc>
        <w:tc>
          <w:tcPr>
            <w:tcW w:w="3272" w:type="dxa"/>
            <w:tcBorders>
              <w:top w:val="single" w:sz="12" w:space="0" w:color="1A1A1A"/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Основание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ОСАГО — до начала использования; десятидневная отсрочка отменена с 01.03.2025; полис не требуется для регистрации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4 закона № 40-ФЗ и закон № 283-ФЗ в ред. с 01.03.2025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Регистрация — 10 дней со дня приобретения прав владельца; момент перехода права определяется договором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8 закона № 283-ФЗ; ст. 223 ГК РФ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Трудовая функция — обязательное условие трудового договора; изменение — по письменному соглашению; совмещение — с согласием и доплатой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57, 60.2, 72, 151 ТК РФ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Медосмотры штатного водителя: предварительные, периодические, предрейсовые — обязательны; послерейсовые — при перевозке пассажиров; дистанционные — с очными ХТИ дважды в год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Нормы и подзаконные акты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23 закона № 196-ФЗ; ст. 220 ТК РФ; приказ Минздрава № 266н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Психиатрическое освидетельствование — в предусмотренных законодательством случаях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закона; порядок — подзаконный акт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220 ТК РФ; акты Минздрава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Режим труда и отдыха водителей — с 01.09.2026 новый приказ Минтранса № 160 (заменяет № 424)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Подзаконный акт; реквизиты проверить на дату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329 ТК РФ; приказ Минтранса № 160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Путевой лист обязателен при перевозках пассажиров, багажа, грузов; допускаются дополнительные реквизиты собственника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 и подзаконный акт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6 закона № 259-ФЗ (УАТ); приказ Минтранса № 390 от 28.09.2022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Полная матответственность водителя за автомобиль невозможна; предел — средний месячный заработок, кроме случаев ст. 243 ТК РФ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закона; перечни с 01.09.2025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241–244 ТК РФ; приказ Минтруда № 251н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Удержание ущерба: распоряжение в месячный срок в пределах среднего заработка; взыскание адм. штрафов — практика неоднородна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закона; судебная практика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238, 243, 248 ТК РФ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Требования об аттестованном специалисте по БДД и предрейсовом техконтроле — для перевозок и автобусов/грузовиков для собственных нужд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 (буквальный текст)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п. 2 ст. 20 закона № 196-ФЗ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Возмещение вреда третьим лицам — владелец, регресс к работнику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1079, 1081 ГК РФ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Техосмотр автомобилей организаций обязателен; коэффициент владения при выбытии — правило 15-го числа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15 закона № 170-ФЗ; п. 3 ст. 362 НК РФ</w:t>
            </w:r>
          </w:p>
        </w:tc>
      </w:tr>
      <w:tr>
        <w:trPr/>
        <w:tc>
          <w:tcPr>
            <w:tcW w:w="3499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НДС на УСН: освобождение при доходах за 2025 год не выше 20 млн руб.; спецставки 5% и 7% без вычета; пересчёт при продаже ОС ранее трёх лет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Норма закона; параметры проверить на дату</w:t>
            </w:r>
          </w:p>
        </w:tc>
        <w:tc>
          <w:tcPr>
            <w:tcW w:w="3272" w:type="dxa"/>
            <w:tcBorders>
              <w:bottom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гл. 21, 26.2 НК РФ; п. 3 ст. 346.16 НК РФ</w:t>
            </w:r>
          </w:p>
        </w:tc>
      </w:tr>
      <w:tr>
        <w:trPr/>
        <w:tc>
          <w:tcPr>
            <w:tcW w:w="3499" w:type="dxa"/>
            <w:tcBorders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Размеры госпошлин и параметры скидки по штрафам</w:t>
            </w:r>
          </w:p>
        </w:tc>
        <w:tc>
          <w:tcPr>
            <w:tcW w:w="2300" w:type="dxa"/>
            <w:tcBorders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Уточнить на дату оформления</w:t>
            </w:r>
          </w:p>
        </w:tc>
        <w:tc>
          <w:tcPr>
            <w:tcW w:w="3272" w:type="dxa"/>
            <w:tcBorders>
              <w:bottom w:val="single" w:sz="12" w:space="0" w:color="1A1A1A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ст. 333.33 НК РФ; ст. 32.2 КоАП РФ в действующей редакции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указанные нормативные акты; редакции — на август 2026 года</w:t>
      </w:r>
      <w:r>
        <w:br w:type="page"/>
      </w:r>
    </w:p>
    <w:p>
      <w:pPr>
        <w:pStyle w:val="Heading1"/>
        <w:keepNext w:val="true"/>
        <w:numPr>
          <w:ilvl w:val="0"/>
          <w:numId w:val="27"/>
        </w:numPr>
        <w:rPr/>
      </w:pPr>
      <w:bookmarkStart w:id="23" w:name="__RefHeading___Toc1049_2694416175"/>
      <w:bookmarkEnd w:id="23"/>
      <w:r>
        <w:rPr>
          <w:rFonts w:eastAsia="Roboto" w:cs="Roboto"/>
          <w:b/>
          <w:bCs/>
          <w:color w:val="1A1A1A"/>
          <w:sz w:val="24"/>
          <w:szCs w:val="24"/>
        </w:rPr>
        <w:t>Комплект документов под базовую модель</w:t>
      </w:r>
    </w:p>
    <w:p>
      <w:pPr>
        <w:pStyle w:val="Normal"/>
        <w:keepNext w:val="false"/>
        <w:spacing w:lineRule="auto" w:line="276" w:before="0" w:after="120"/>
        <w:jc w:val="both"/>
        <w:rPr/>
      </w:pPr>
      <w:r>
        <w:rPr>
          <w:rFonts w:eastAsia="Roboto" w:cs="Roboto"/>
          <w:b w:val="false"/>
          <w:bCs w:val="false"/>
          <w:i w:val="false"/>
          <w:iCs w:val="false"/>
          <w:color w:val="333333"/>
          <w:sz w:val="22"/>
          <w:szCs w:val="22"/>
        </w:rPr>
        <w:t>Реестр сгруппирован по десяти блокам жизненного цикла модели «один штатный водитель — персонально закреплённый автомобиль». Документы сделки, регистрации и учёта (разд. 2–4) оформляются параллельно и в реестр кадрово-эксплуатационных блоков не включены.</w:t>
      </w:r>
    </w:p>
    <w:p>
      <w:pPr>
        <w:pStyle w:val="Normal"/>
        <w:keepNext w:val="true"/>
        <w:spacing w:lineRule="auto" w:line="276" w:before="120" w:after="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Табл. 6. Реестр документов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99"/>
        <w:gridCol w:w="2500"/>
        <w:gridCol w:w="2772"/>
      </w:tblGrid>
      <w:tr>
        <w:trPr>
          <w:tblHeader w:val="true"/>
        </w:trPr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Документ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Когда оформляется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Примечание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1. Кадровое оформление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Штатное расписание с должностью водителя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приёма или перевода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Трудовой договор или дополнительное соглашение; приказ о приёме или переводе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Трудовая функция — управление закреплённым автомобилем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Должностная инструкция; условие о разъездном характере работы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Вместе с договором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Перечень обязанностей — разд. 6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Копия водительского удостоверения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 оформлении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Контроль срока действия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2. Медицинский допуск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Направление и заключение предварительного медосмотра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допуска к работе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Психиатрическое освидетельствование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 предусмотренных случаях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допуска к работе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Периодические медосмотры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Не реже одного раза в два года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Контроль — в календаре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Договор на предрейсовые (и послерейсовые) осмотры; журналы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Дистанционные — с очными ХТИ дважды в год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3. Закрепление автомобиля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закреплении автомобиля за водителем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Персональное закрепление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Акт приёма-передачи автомобиля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 закреплении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Состояние, комплектность, пробег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4. Эксплуатационные обязанности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возложении обязанностей по эксплуатации, сохранности, документам, топливу, парковке, контролю сроков ТО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выезда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Формулировки — разд. 6; без статусов «ответственный за БДД» и «контролёр техсостояния»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5. Локальное регулирование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Положение об эксплуатации служебного легкового автомобиля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начала эксплуатации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Включая запрет личного использования и передачи управления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Положение (раздел) о рабочем времени и отдыхе водителя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начала эксплуатации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Под правила, действующие с 01.09.2026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6. Текущая эксплуатация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Путевые листы; журнал их регистрации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На каждый день, смену или рейс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выпуска автомобиля на линию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Служебные задания или маршрутные сведения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На поездку / период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Связь поездки с деловой целью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Журнал учёта неисправностей; документы ТО и ремонта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Постоянно; по событиям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Заказ-наряды, акты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7. Топливо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Приказ о нормах расхода; топливная карта (договор)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Один раз; пересмотр по сезону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АМ-23-р или данные производителя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Отчёты оператора, чеки, ежемесячный акт списания ГСМ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Ежемесячно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 пробегу из путевых листов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8. Ответственность и происшествия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Порядок действий при ДТП; порядок фиксации повреждений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Раздел положения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Форма служебной записки; приказ о расследовании; акт определения ущерба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 событиям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Взыскание — в пределах ТК РФ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9. Страхование и защита актива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Полис ОСАГО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До первого использования; ежегодно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5F5F5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Водитель вписан либо полис без ограничения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Полис каско; порядок уведомления страховщика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Рекомендовано; при лизинге — обязателен по договору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Ключевой инструмент имущественного риска</w:t>
            </w:r>
          </w:p>
        </w:tc>
      </w:tr>
      <w:tr>
        <w:trPr/>
        <w:tc>
          <w:tcPr>
            <w:tcW w:w="907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6E0EC" w:val="clear"/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/>
                <w:bCs/>
                <w:color w:val="333333"/>
                <w:sz w:val="20"/>
                <w:szCs w:val="20"/>
              </w:rPr>
              <w:t>Блок 10. Возврат автомобиля</w:t>
            </w:r>
          </w:p>
        </w:tc>
      </w:tr>
      <w:tr>
        <w:trPr/>
        <w:tc>
          <w:tcPr>
            <w:tcW w:w="3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Акт возврата автомобиля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Смена водителя, отпуск с передачей, перевод, увольнение</w:t>
            </w:r>
          </w:p>
        </w:tc>
        <w:tc>
          <w:tcPr>
            <w:tcW w:w="2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spacing w:lineRule="auto" w:line="252" w:before="0" w:after="0"/>
              <w:jc w:val="left"/>
              <w:rPr/>
            </w:pPr>
            <w:r>
              <w:rPr>
                <w:rFonts w:eastAsia="Roboto" w:cs="Roboto"/>
                <w:b w:val="false"/>
                <w:bCs w:val="false"/>
                <w:color w:val="333333"/>
                <w:sz w:val="20"/>
                <w:szCs w:val="20"/>
              </w:rPr>
              <w:t>Комплектность и состояние с учётом нормального износа</w:t>
            </w:r>
          </w:p>
        </w:tc>
      </w:tr>
    </w:tbl>
    <w:p>
      <w:pPr>
        <w:pStyle w:val="Normal"/>
        <w:spacing w:lineRule="auto" w:line="276" w:before="60" w:after="160"/>
        <w:rPr/>
      </w:pPr>
      <w:r>
        <w:rPr>
          <w:rFonts w:eastAsia="Roboto" w:cs="Roboto"/>
          <w:i/>
          <w:iCs/>
          <w:color w:val="808080"/>
          <w:sz w:val="18"/>
          <w:szCs w:val="18"/>
        </w:rPr>
        <w:t>Источник: разделы 2–9 настоящей справки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9D9D9"/>
      </w:pBdr>
      <w:spacing w:before="0" w:after="0"/>
      <w:jc w:val="right"/>
      <w:rPr/>
    </w:pPr>
    <w:r>
      <w:rPr>
        <w:rFonts w:eastAsia="Roboto" w:cs="Roboto"/>
        <w:color w:val="808080"/>
        <w:sz w:val="18"/>
        <w:szCs w:val="18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D9D9"/>
      </w:pBdr>
      <w:tabs>
        <w:tab w:val="clear" w:pos="720"/>
        <w:tab w:val="right" w:pos="9071" w:leader="none"/>
      </w:tabs>
      <w:spacing w:before="0" w:after="0"/>
      <w:rPr/>
    </w:pPr>
    <w:r>
      <w:rPr>
        <w:rFonts w:eastAsia="Roboto" w:cs="Roboto"/>
        <w:b/>
        <w:bCs/>
        <w:color w:val="808080"/>
        <w:sz w:val="18"/>
        <w:szCs w:val="18"/>
      </w:rPr>
      <w:t>Аналитическая справка</w:t>
    </w:r>
    <w:r>
      <w:rPr>
        <w:rFonts w:eastAsia="Roboto" w:cs="Roboto"/>
        <w:color w:val="808080"/>
        <w:sz w:val="18"/>
        <w:szCs w:val="18"/>
      </w:rPr>
      <w:tab/>
      <w:t>Служебный автомобиль юридического лица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—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Приложение %1."/>
      <w:lvlJc w:val="left"/>
      <w:pPr>
        <w:tabs>
          <w:tab w:val="num" w:pos="0"/>
        </w:tabs>
        <w:ind w:left="0" w:hanging="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boto" w:hAnsi="Roboto" w:eastAsia="Roboto" w:cs="Roboto"/>
        <w:color w:val="333333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20"/>
      <w:jc w:val="left"/>
    </w:pPr>
    <w:rPr>
      <w:rFonts w:ascii="Roboto" w:hAnsi="Roboto" w:eastAsia="Roboto" w:cs="Roboto"/>
      <w:color w:val="333333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276" w:before="360" w:after="200"/>
      <w:outlineLvl w:val="0"/>
    </w:pPr>
    <w:rPr>
      <w:rFonts w:ascii="Roboto" w:hAnsi="Roboto" w:eastAsia="Roboto" w:cs="Roboto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76" w:before="280" w:after="160"/>
      <w:outlineLvl w:val="1"/>
    </w:pPr>
    <w:rPr>
      <w:rFonts w:ascii="Roboto" w:hAnsi="Roboto" w:eastAsia="Roboto" w:cs="Roboto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200" w:after="120"/>
      <w:outlineLvl w:val="2"/>
    </w:pPr>
    <w:rPr>
      <w:rFonts w:ascii="Roboto" w:hAnsi="Roboto" w:eastAsia="Roboto" w:cs="Roboto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71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8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2026-08-19T09:40:33Z</dcterms:created>
  <dc:creator>Un-named</dc:creator>
  <dc:description/>
  <dc:language>en-US</dc:language>
  <cp:lastModifiedBy/>
  <dcterms:modified xsi:type="dcterms:W3CDTF">2026-08-19T09:40:36Z</dcterms:modified>
  <cp:revision>2</cp:revision>
  <dc:subject/>
  <dc:title/>
</cp:coreProperties>
</file>