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Roboto" w:cs="Roboto" w:eastAsia="Roboto" w:hAnsi="Roboto"/>
          <w:b/>
          <w:bCs/>
          <w:color w:val="808080"/>
          <w:sz w:val="24"/>
          <w:szCs w:val="24"/>
        </w:rPr>
        <w:t xml:space="preserve">АНАЛИТИЧЕСКАЯ СПРАВКА</w:t>
      </w:r>
    </w:p>
    <w:p>
      <w:pPr>
        <w:spacing w:after="200"/>
        <w:jc w:val="center"/>
      </w:pPr>
      <w:r>
        <w:rPr>
          <w:rFonts w:ascii="Roboto" w:cs="Roboto" w:eastAsia="Roboto" w:hAnsi="Roboto"/>
          <w:b/>
          <w:bCs/>
          <w:color w:val="2C3E50"/>
          <w:sz w:val="52"/>
          <w:szCs w:val="52"/>
        </w:rPr>
        <w:t xml:space="preserve">Служебный автомобиль юридического лица: полный комплект документов</w:t>
      </w:r>
    </w:p>
    <w:p>
      <w:pPr>
        <w:spacing w:after="2000"/>
        <w:jc w:val="center"/>
      </w:pPr>
      <w:r>
        <w:rPr>
          <w:rFonts w:ascii="Roboto" w:cs="Roboto" w:eastAsia="Roboto" w:hAnsi="Roboto"/>
          <w:i/>
          <w:iCs/>
          <w:color w:val="808080"/>
          <w:sz w:val="28"/>
          <w:szCs w:val="28"/>
        </w:rPr>
        <w:t xml:space="preserve">Приобретение, учёт, эксплуатация, ответственность, выбытие</w:t>
      </w:r>
    </w:p>
    <w:p>
      <w:pPr>
        <w:spacing w:after="0"/>
        <w:jc w:val="center"/>
      </w:pPr>
      <w:r>
        <w:rPr>
          <w:rFonts w:ascii="Roboto" w:cs="Roboto" w:eastAsia="Roboto" w:hAnsi="Roboto"/>
          <w:color w:val="333333"/>
          <w:sz w:val="24"/>
          <w:szCs w:val="24"/>
        </w:rPr>
        <w:t xml:space="preserve">19 августа 2026 года</w:t>
      </w:r>
    </w:p>
    <w:p>
      <w:pPr>
        <w:pageBreakBefore/>
        <w:spacing w:after="200"/>
      </w:pPr>
      <w:r>
        <w:rPr>
          <w:rFonts w:ascii="Roboto" w:cs="Roboto" w:eastAsia="Roboto" w:hAnsi="Roboto"/>
          <w:b/>
          <w:bCs/>
          <w:color w:val="2C3E50"/>
          <w:sz w:val="28"/>
          <w:szCs w:val="28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120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Оглавление формируется автоматически: выделите поле и нажмите F9 (или согласитесь на обновление полей при открытии файла).</w:t>
      </w:r>
    </w:p>
    <w:p>
      <w:pPr>
        <w:pageBreakBefore/>
        <w:spacing w:after="200"/>
      </w:pPr>
      <w:r>
        <w:rPr>
          <w:rFonts w:ascii="Roboto" w:cs="Roboto" w:eastAsia="Roboto" w:hAnsi="Roboto"/>
          <w:b/>
          <w:bCs/>
          <w:color w:val="2C3E50"/>
          <w:sz w:val="28"/>
          <w:szCs w:val="28"/>
        </w:rPr>
        <w:t xml:space="preserve">Служебный автомобиль юридического лица: полный комплект документов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Резюме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Справка отвечает на вопрос: какие документы должна оформить организация, чтобы полностью закрыть жизненный цикл легкового автомобиля — от покупки до выбытия. Полное обоснование — в разделах 2–9, риски и план действий — в разделах 10–11, сводный чек-лист — в приложении 1.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Документальный контур автомобиля состоит из пяти блоков: сделка и регистрация, бухгалтерский и налоговый учёт, внутренние организационно-распорядительные документы, допуск водителей, текущая эксплуатация. Всего — порядка 30 документов; примерно треть оформляется один раз, остальные ведутся регулярно.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Жёсткие сроки действуют только в первые десять дней: за это время нужно оформить полис ОСАГО и поставить автомобиль на государственный учёт. Всё остальное — вопрос организации процессов, а не дедлайнов.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Основные риски лежат не в сделке, а в эксплуатации: без путевых листов налоговая инспекция снимает расходы на топливо, без предрейсовых медосмотров организация получает административные штрафы, а штрафы с дорожных камер приходят на юридическое лицо независимо от того, кто был за рулём.</w:t>
      </w:r>
    </w:p>
    <w:p>
      <w:pPr>
        <w:pStyle w:val="ListParagraph"/>
        <w:numPr>
          <w:ilvl w:val="0"/>
          <w:numId w:val="3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Отдельная риск-зона — автомобиль, которым управляет не штатный водитель, а директор или менеджер: требования о путевых листах и медосмотрах для этого случая сформулированы в законе неоднозначно, практика противоречива (разд. 6).</w:t>
      </w:r>
    </w:p>
    <w:p>
      <w:pPr>
        <w:spacing w:after="0" w:before="120"/>
      </w:pPr>
    </w:p>
    <w:tbl>
      <w:tblPr>
        <w:tblW w:type="dxa" w:w="90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shd w:fill="F5F5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Roboto" w:cs="Roboto" w:eastAsia="Roboto" w:hAnsi="Roboto"/>
                <w:b/>
                <w:bCs/>
                <w:color w:val="1F3A5F"/>
                <w:sz w:val="18"/>
                <w:szCs w:val="18"/>
              </w:rPr>
              <w:t xml:space="preserve">КЛЮЧЕВОЙ ВЫВОД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 xml:space="preserve">Сделка и регистрация закрываются за десять дней пятью документами. Долгосрочную нагрузку создаёт эксплуатационный контур: положение о служебном транспорте, приказы, путевые листы, медосмотры и учёт топлива. Два действия закрывают большинство организационных вопросов: назначить приказом одного ответственного за автомобиль и утвердить положение о служебном транспорте, в котором зафиксированы порядок использования, закрепление, топливо, штрафы и запрет либо порядок личных поездок.</w:t>
            </w:r>
          </w:p>
        </w:tc>
      </w:tr>
    </w:tbl>
    <w:p>
      <w:pPr>
        <w:spacing w:after="0" w:before="160"/>
      </w:pP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Приобретение и оформление права собственности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Первый блок — документы сделки. Они подтверждают переход права собственности и служат первичными документами для бухгалтерского учёта и вычета НДС.</w:t>
      </w:r>
    </w:p>
    <w:p>
      <w:pPr>
        <w:pStyle w:val="ListParagraph"/>
        <w:numPr>
          <w:ilvl w:val="0"/>
          <w:numId w:val="4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Договор купли-продажи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 продавцом (дилером или собственником) со спецификацией: марка, модель, VIN, год выпуска, комплектация, цена, порядок оплаты и передачи.</w:t>
      </w:r>
    </w:p>
    <w:p>
      <w:pPr>
        <w:pStyle w:val="ListParagraph"/>
        <w:numPr>
          <w:ilvl w:val="0"/>
          <w:numId w:val="4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Акт приёма-передачи автомобиля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 фиксацией VIN, пробега, комплектации, состояния и передаваемых принадлежностей (ключи, документы). Дата акта — точка отсчёта десятидневного срока на регистрацию.</w:t>
      </w:r>
    </w:p>
    <w:p>
      <w:pPr>
        <w:pStyle w:val="ListParagraph"/>
        <w:numPr>
          <w:ilvl w:val="0"/>
          <w:numId w:val="4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Универсальный передаточный документ (УПД)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либо счёт-фактура и товарная накладная — основание для вычета НДС и принятия автомобиля к учёту.</w:t>
      </w:r>
    </w:p>
    <w:p>
      <w:pPr>
        <w:pStyle w:val="ListParagraph"/>
        <w:numPr>
          <w:ilvl w:val="0"/>
          <w:numId w:val="4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Платёжные документы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платёжное поручение, выписка банка.</w:t>
      </w:r>
    </w:p>
    <w:p>
      <w:pPr>
        <w:pStyle w:val="ListParagraph"/>
        <w:numPr>
          <w:ilvl w:val="0"/>
          <w:numId w:val="4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Электронный паспорт транспортного средства (ЭПТС)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продавец вносит запись о смене собственника; у большинства новых автомобилей бумажного ПТС нет, статус записи стоит проверить в системе электронных паспортов до оплаты.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Если автомобиль приобретается в лизинг,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вместо договора купли-продажи оформляется договор лизинга с графиком платежей и актом приёма-передачи предмета лизинга. Дополнительно фиксируются: балансодержатель, страхователь по каско (лизинговые компании, как правило, требуют каско на весь срок), порядок регистрации в ГИБДД (на лизингодателя или лизингополучателя) и выкупная стоимость. Учёт ведётся по правилам ФСБУ 25/2018.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Регистрация и допуск автомобиля к дорожному движению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Второй блок оформляется в первые десять дней после подписания акта приёма-передачи, в следующем порядке:</w:t>
      </w:r>
    </w:p>
    <w:p>
      <w:pPr>
        <w:pStyle w:val="ListParagraph"/>
        <w:numPr>
          <w:ilvl w:val="0"/>
          <w:numId w:val="5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Полис ОСАГО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оформляется на юридическое лицо как страхователя до обращения в ГИБДД: без полиса автомобиль на учёт не поставят. Управлять автомобилем без полиса допустимо не более десяти дней с даты приобретения.</w:t>
      </w:r>
    </w:p>
    <w:p>
      <w:pPr>
        <w:pStyle w:val="ListParagraph"/>
        <w:numPr>
          <w:ilvl w:val="0"/>
          <w:numId w:val="5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Постановка на государственный учёт в ГИБДД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в течение десяти суток с даты приобретения. Понадобятся: заявление, документы организации и представителя (доверенность), договор купли-продажи, акт, выписка из ЭПТС, полис ОСАГО, платёжные документы об уплате госпошлины. Результат — свидетельство о регистрации (СТС) и государственные регистрационные знаки.</w:t>
      </w:r>
    </w:p>
    <w:p>
      <w:pPr>
        <w:pStyle w:val="ListParagraph"/>
        <w:numPr>
          <w:ilvl w:val="0"/>
          <w:numId w:val="5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Диагностическая карта (техосмотр)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для автомобилей организаций техосмотр обязателен (отмена 2021 года коснулась только личных автомобилей граждан). Новый автомобиль первые четыре года освобождён от техосмотра; в возрасте от четырёх до десяти лет карта оформляется раз в два года, старше десяти лет — ежегодно.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Размеры госпошлин за регистрационные действия (выдача знаков, СТС, внесение изменений в ЭПТС) периодически индексируются — актуальные суммы нужно проверить на дату обращения на портале Госуслуг.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Бухгалтерский и налоговый учёт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Автомобиль принимается к учёту как основное средство. Для этого оформляются:</w:t>
      </w:r>
    </w:p>
    <w:p>
      <w:pPr>
        <w:pStyle w:val="ListParagraph"/>
        <w:numPr>
          <w:ilvl w:val="0"/>
          <w:numId w:val="6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Приказ о вводе основного средства в эксплуатацию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с датой ввода, первоначальной стоимостью, сроком полезного использования и назначением инвентарного номера; при необходимости — приказ о создании комиссии по приёмке.</w:t>
      </w:r>
    </w:p>
    <w:p>
      <w:pPr>
        <w:pStyle w:val="ListParagraph"/>
        <w:numPr>
          <w:ilvl w:val="0"/>
          <w:numId w:val="6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Акт о приёме-передаче основного средства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(по форме ОС-1 или самостоятельно разработанной форме с реквизитами закона о бухгалтерском учёте № 402-ФЗ).</w:t>
      </w:r>
    </w:p>
    <w:p>
      <w:pPr>
        <w:pStyle w:val="ListParagraph"/>
        <w:numPr>
          <w:ilvl w:val="0"/>
          <w:numId w:val="6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Инвентарная карточка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(форма ОС-6 или собственная).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Срок полезного использования определяется по Классификации основных средств: легковые автомобили относятся к третьей амортизационной группе (свыше трёх до пяти лет); автомобили большого и высшего класса (с рабочим объёмом двигателя свыше 3,5 литра) — к пятой группе (свыше семи до десяти лет). В бухгалтерском учёте применяется ФСБУ 6/2020 (лимит стоимости основных средств организация устанавливает сама в учётной политике), в налоговом — амортизируемым признаётся имущество дороже 100 тыс. руб. НДС по счёту-фактуре или УПД принимается к вычету после принятия автомобиля к учёту в общем порядке.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1. Налоги и регулярные платежи, связанные с автомобилем</w:t>
      </w:r>
    </w:p>
    <w:tbl>
      <w:tblPr>
        <w:tblW w:type="dxa" w:w="9071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00"/>
        <w:gridCol w:w="3050"/>
        <w:gridCol w:w="2050"/>
        <w:gridCol w:w="2071"/>
      </w:tblGrid>
      <w:tr>
        <w:trPr>
          <w:tblHeader/>
        </w:trPr>
        <w:tc>
          <w:tcPr>
            <w:tcW w:type="dxa" w:w="19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Платёж</w:t>
            </w:r>
          </w:p>
        </w:tc>
        <w:tc>
          <w:tcPr>
            <w:tcW w:type="dxa" w:w="305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База и порядок</w:t>
            </w:r>
          </w:p>
        </w:tc>
        <w:tc>
          <w:tcPr>
            <w:tcW w:type="dxa" w:w="205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Периодичность</w:t>
            </w:r>
          </w:p>
        </w:tc>
        <w:tc>
          <w:tcPr>
            <w:tcW w:type="dxa" w:w="2071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Транспортный налог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Мощность двигателя × ставка региона; налог считает организация, ФНС присылает сообщение для сверки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Авансовые платежи поквартально (если установлены регионом), налог — по итогам года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Уплата в составе единого налогового платежа, подача уведомлений об исчисленных суммах</w:t>
            </w:r>
          </w:p>
        </w:tc>
      </w:tr>
      <w:tr>
        <w:trPr>
          <w:cantSplit/>
        </w:trPr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Повышающий коэффициент («налог на роскошь»)</w:t>
            </w:r>
          </w:p>
        </w:tc>
        <w:tc>
          <w:tcPr>
            <w:tcW w:type="dxa" w:w="30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Коэффициент 3 к транспортному налогу для автомобилей из перечня Минпромторга (стоимостью от 10 млн руб.)</w:t>
            </w:r>
          </w:p>
        </w:tc>
        <w:tc>
          <w:tcPr>
            <w:tcW w:type="dxa" w:w="20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Вместе с транспортным налогом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Перечень обновляется ежегодно; проверить модель на сайте Минпромторга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Налог на имущество организаций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Не уплачивается: движимое имущество объектом налогообложения не является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Актуально для общего режима</w:t>
            </w:r>
          </w:p>
        </w:tc>
      </w:tr>
      <w:tr>
        <w:trPr>
          <w:cantSplit/>
        </w:trPr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ОСАГО</w:t>
            </w:r>
          </w:p>
        </w:tc>
        <w:tc>
          <w:tcPr>
            <w:tcW w:type="dxa" w:w="30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Страховая премия по тарифу страховщика</w:t>
            </w:r>
          </w:p>
        </w:tc>
        <w:tc>
          <w:tcPr>
            <w:tcW w:type="dxa" w:w="20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Ежегодно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Контроль срока — в календаре ответственного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Техосмотр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Стоимость диагностической карты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возрасту автомобиля (разд. 3)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Для автомобилей организаций обязателен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гл. 28 НК РФ, ФСБУ 6/2020, Классификация основных средств (постановление Правительства РФ № 1); детали — в разд. 12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Если организация применяет УСН «доходы минус расходы», стоимость автомобиля списывается в расходы равными долями в течение года приобретения (при условии оплаты и ввода в эксплуатацию), а НДС учитывается в стоимости.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Внутренние организационно-распорядительные документы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Третий блок — внутренние документы, которые распределяют ответственность и делают расходы на автомобиль обоснованными для налогового учёта. Именно их чаще всего забывают оформить.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2. Пакет внутренних документов организации</w:t>
      </w:r>
    </w:p>
    <w:tbl>
      <w:tblPr>
        <w:tblW w:type="dxa" w:w="9071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800"/>
        <w:gridCol w:w="4200"/>
        <w:gridCol w:w="2071"/>
      </w:tblGrid>
      <w:tr>
        <w:trPr>
          <w:tblHeader/>
        </w:trPr>
        <w:tc>
          <w:tcPr>
            <w:tcW w:type="dxa" w:w="28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42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Что закрепляет</w:t>
            </w:r>
          </w:p>
        </w:tc>
        <w:tc>
          <w:tcPr>
            <w:tcW w:type="dxa" w:w="2071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Когда оформляется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Положение о служебном транспорте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Порядок использования автомобилей: кто и на каком основании ездит, закрепление, заправка, обслуживание, парковка, порядок действий при ДТП и штрафах, запрет либо порядок использования в личных целях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Один раз, до начала эксплуатации</w:t>
            </w:r>
          </w:p>
        </w:tc>
      </w:tr>
      <w:tr>
        <w:trPr>
          <w:cantSplit/>
        </w:trPr>
        <w:tc>
          <w:tcPr>
            <w:tcW w:type="dxa" w:w="2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вводе автомобиля в эксплуатацию</w:t>
            </w:r>
          </w:p>
        </w:tc>
        <w:tc>
          <w:tcPr>
            <w:tcW w:type="dxa" w:w="4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Дата ввода, первоначальная стоимость, срок полезного использования, инвентарный номер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 принятии к учёту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назначении ответственного за автомобиль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Сотрудник, отвечающий за техническое состояние, документы, страховки, ТО и календарь сроков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 начала эксплуатации</w:t>
            </w:r>
          </w:p>
        </w:tc>
      </w:tr>
      <w:tr>
        <w:trPr>
          <w:cantSplit/>
        </w:trPr>
        <w:tc>
          <w:tcPr>
            <w:tcW w:type="dxa" w:w="2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закреплении автомобиля за водителем (сотрудником)</w:t>
            </w:r>
          </w:p>
        </w:tc>
        <w:tc>
          <w:tcPr>
            <w:tcW w:type="dxa" w:w="4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Кто управляет автомобилем; передача — по акту приёма-передачи с фиксацией состояния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 первого выезда; при смене водителя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об утверждении норм расхода топлива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Базовые и сезонные нормы; за основу берутся методические рекомендации Минтранса (АМ-23-р) или данные завода-изготовителя и контрольные замеры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Один раз; пересмотр по сезону</w:t>
            </w:r>
          </w:p>
        </w:tc>
      </w:tr>
      <w:tr>
        <w:trPr>
          <w:cantSplit/>
        </w:trPr>
        <w:tc>
          <w:tcPr>
            <w:tcW w:type="dxa" w:w="2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лимитах эксплуатационных расходов</w:t>
            </w:r>
          </w:p>
        </w:tc>
        <w:tc>
          <w:tcPr>
            <w:tcW w:type="dxa" w:w="4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Лимиты на мойку, парковку, мелкий ремонт; порядок выдачи подотчётных средств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усмотрению организации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Журнал учёта путевых листов; журналы медосмотров и инструктажей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Регистрация выданных путевых листов, отметок медосмотров, инструктажей водителей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Ведутся постоянно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практика документооборота; обязательность отдельных документов — в разд. 6–7 и 12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Водители: кадровые документы, медосмотры, ответственность</w:t>
      </w:r>
    </w:p>
    <w:p>
      <w:pPr>
        <w:pStyle w:val="Heading2"/>
        <w:keepNext/>
        <w:numPr>
          <w:ilvl w:val="1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Штатный водитель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Если автомобилем управляет сотрудник в должности водителя, оформляются: трудовой договор и должностная инструкция с функцией управления автомобилем, копия водительского удостоверения соответствующей категории, справка об отсутствии судимости не требуется, но при приёме на работу водитель проходит обязательный предварительный медицинский осмотр. Далее — в постоянном режиме:</w:t>
      </w:r>
    </w:p>
    <w:p>
      <w:pPr>
        <w:pStyle w:val="ListParagraph"/>
        <w:numPr>
          <w:ilvl w:val="0"/>
          <w:numId w:val="7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Предрейсовые медицинские осмотры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обязательны для работников, занятых в качестве водителей (ст. 23 закона о безопасности дорожного движения № 196-ФЗ, порядок — приказ Минздрава № 266н). Проводятся штатным медработником или по договору с медицинской организацией; с 2023 года допускаются дистанционные осмотры с использованием медицинских изделий. Отметка — в путевом листе и журнале.</w:t>
      </w:r>
    </w:p>
    <w:p>
      <w:pPr>
        <w:pStyle w:val="ListParagraph"/>
        <w:numPr>
          <w:ilvl w:val="0"/>
          <w:numId w:val="7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Инструктажи по безопасности дорожного движения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вводный и периодические, с записью в журнале.</w:t>
      </w:r>
    </w:p>
    <w:p>
      <w:pPr>
        <w:pStyle w:val="ListParagraph"/>
        <w:numPr>
          <w:ilvl w:val="0"/>
          <w:numId w:val="7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Договор с медицинской организацией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(или оператором дистанционных осмотров) — если своего медработника нет.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Материальная ответственность.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Заключить с водителем договор о полной материальной ответственности за автомобиль нельзя: должность водителя не входит в перечень Минтруда (постановление № 85), и такой договор не будет иметь силы. Автомобиль передаётся по акту, а ущерб взыскивается по общим правилам Трудового кодекса: в пределах среднемесячного заработка — приказом, полная ответственность — только в случаях ст. 243 ТК РФ (умысел, опьянение, административное правонарушение, установленное госорганом, и другие).</w:t>
      </w:r>
    </w:p>
    <w:p>
      <w:pPr>
        <w:pStyle w:val="Heading2"/>
        <w:keepNext/>
        <w:numPr>
          <w:ilvl w:val="1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За рулём — директор или менеджер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Распространённая ситуация: автомобиль закреплён за руководителем или сотрудником, для которого управление автомобилем не является трудовой функцией. Формально требования о предрейсовых медосмотрах и путевых листах закон связывает с работниками-водителями и с перевозками; для управленческих поездок на служебном легковом автомобиле практика контролирующих органов и судов противоречива.</w:t>
      </w:r>
    </w:p>
    <w:tbl>
      <w:tblPr>
        <w:tblW w:type="dxa" w:w="90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1"/>
      </w:tblGrid>
      <w:tr>
        <w:trPr>
          <w:cantSplit/>
        </w:trPr>
        <w:tc>
          <w:tcPr>
            <w:tcW w:type="dxa" w:w="9071"/>
            <w:shd w:fill="F5F5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Roboto" w:cs="Roboto" w:eastAsia="Roboto" w:hAnsi="Roboto"/>
                <w:b/>
                <w:bCs/>
                <w:color w:val="C77B30"/>
                <w:sz w:val="18"/>
                <w:szCs w:val="18"/>
              </w:rPr>
              <w:t xml:space="preserve">РИСК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 xml:space="preserve">Если директор или менеджер использует служебный автомобиль без путевых листов и медосмотров, организация рискует дважды: налоговая инспекция может снять расходы на топливо как документально не подтверждённые, а ГИБДД или инспекция труда — квалифицировать поездки как деятельность по эксплуатации транспорта без обязательных процедур. Безопасная стратегия: оформлять путевые листы на любые служебные поездки (для списания топлива они нужны в любом случае) и либо организовать медосмотры, либо получить письменное заключение юриста о неприменимости этого требования к конкретной модели использования автомобиля.</w:t>
            </w:r>
          </w:p>
        </w:tc>
      </w:tr>
    </w:tbl>
    <w:p>
      <w:pPr>
        <w:spacing w:after="0" w:before="160"/>
      </w:pP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Текущая эксплуатация: путевые листы, топливо, обслуживание</w:t>
      </w:r>
    </w:p>
    <w:p>
      <w:pPr>
        <w:pStyle w:val="Heading2"/>
        <w:keepNext/>
        <w:numPr>
          <w:ilvl w:val="1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Путевые листы и списание топлива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Путевой лист — ключевой первичный документ эксплуатации: он подтверждает служебный характер поездок и обосновывает списание топлива в расходы. Обязательные реквизиты установлены приказом Минтранса № 390 от 28.09.2022: сведения о собственнике, автомобиле, водителе, показания одометра, даты и время выезда и возвращения, отметки медосмотра. Путевой лист оформляется на день, смену или рейс — до начала поездки; допускается электронная форма. Дополнительно ведутся:</w:t>
      </w:r>
    </w:p>
    <w:p>
      <w:pPr>
        <w:pStyle w:val="ListParagraph"/>
        <w:numPr>
          <w:ilvl w:val="0"/>
          <w:numId w:val="8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журнал учёта путевых листов;</w:t>
      </w:r>
    </w:p>
    <w:p>
      <w:pPr>
        <w:pStyle w:val="ListParagraph"/>
        <w:numPr>
          <w:ilvl w:val="0"/>
          <w:numId w:val="8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договор с оператором топливных карт и отчёты процессинга — либо авансовые отчёты с чеками АЗС;</w:t>
      </w:r>
    </w:p>
    <w:p>
      <w:pPr>
        <w:pStyle w:val="ListParagraph"/>
        <w:numPr>
          <w:ilvl w:val="0"/>
          <w:numId w:val="8"/>
        </w:numPr>
        <w:spacing w:after="6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ежемесячные акты на списание топлива по утверждённым нормам с учётом фактического пробега по путевым листам.</w:t>
      </w:r>
    </w:p>
    <w:p>
      <w:pPr>
        <w:pStyle w:val="Heading2"/>
        <w:keepNext/>
        <w:numPr>
          <w:ilvl w:val="1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Обслуживание и содержание</w:t>
      </w:r>
    </w:p>
    <w:p>
      <w:pPr>
        <w:pStyle w:val="ListParagraph"/>
        <w:numPr>
          <w:ilvl w:val="0"/>
          <w:numId w:val="9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Техническое обслуживание и ремонт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договор с сервисным центром, заказ-наряды, акты выполненных работ; в гарантийный период — сервисная книжка и соблюдение регламента ТО производителя.</w:t>
      </w:r>
    </w:p>
    <w:p>
      <w:pPr>
        <w:pStyle w:val="ListParagraph"/>
        <w:numPr>
          <w:ilvl w:val="0"/>
          <w:numId w:val="9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Шины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забалансовый или количественный учёт комплектов, акты сезонной замены, договор хранения (если шины хранит сервис).</w:t>
      </w:r>
    </w:p>
    <w:p>
      <w:pPr>
        <w:pStyle w:val="ListParagraph"/>
        <w:numPr>
          <w:ilvl w:val="0"/>
          <w:numId w:val="9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Парковка и гараж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договор аренды машиноместа или парковочный абонемент.</w:t>
      </w:r>
    </w:p>
    <w:p>
      <w:pPr>
        <w:pStyle w:val="ListParagraph"/>
        <w:numPr>
          <w:ilvl w:val="0"/>
          <w:numId w:val="9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Мойка и расходные материалы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чеки и авансовые отчёты в пределах лимитов, утверждённых приказом.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Ответственность, штрафы и порядок действий при ДТП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Автомобиль — источник повышенной опасности. Вред, причинённый третьим лицам, возмещает владелец — организация (ст. 1079 ГК РФ), даже если за рулём был работник; затем организация вправе предъявить работнику регрессное требование (ст. 1081 ГК РФ) с учётом ограничений трудового законодательства.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Штрафы с дорожных камер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приходят на собственника — юридическое лицо, и штрафы для организаций кратно выше, чем для граждан. Варианта два: обжаловать постановление с доказательством, что автомобилем управлял конкретный работник (тогда штраф переоформляется на него как на физическое лицо, ч. 2 ст. 2.6.1 КоАП РФ), либо оплатить и решить вопрос о взыскании с работника в порядке регресса: удержание возможно только с соблюдением процедуры Трудового кодекса — приказ в месячный срок, в пределах среднемесячного заработка, с письменного согласия работника на удержание из зарплаты. Практику удержаний имеет смысл заранее описать в положении о служебном транспорте. При оплате в льготный срок действует скидка (с 2025 года — 25% при оплате в течение 30 дней; параметры стоит проверить на дату оплаты).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При ДТП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водитель действует по правилам дорожного движения (остановка, знак, вызов ГИБДД или европротокол при мелком ущербе), уведомляет ответственного за автомобиль, получает документы о ДТП. Организация уведомляет страховщика в установленный полисом срок, оформляет внутренний акт о повреждении имущества, проводит служебное расследование для решения вопроса о взыскании ущерба с виновного работника, ремонтирует автомобиль по ОСАГО виновника или каско.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Использование в личных целях.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Самый чистый вариант — прямой запрет в положении о служебном транспорте. Если личные поездки допускаются, их нужно оформить: компенсация расходов организацией не признаётся, а у работника возникает доход в натуральной форме с удержанием НДФЛ и начислением взносов, либо заключается договор аренды или безвозмездного пользования с отдельным налоговым режимом. Неоформленное личное использование — типовое основание для доначислений при налоговой проверке.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Выбытие автомобиля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Жизненный цикл закрывается документами выбытия:</w:t>
      </w:r>
    </w:p>
    <w:p>
      <w:pPr>
        <w:pStyle w:val="ListParagraph"/>
        <w:numPr>
          <w:ilvl w:val="0"/>
          <w:numId w:val="10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Продажа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договор купли-продажи, акт приёма-передачи, УПД (с НДС при общем режиме), запись о смене собственника в ЭПТС. Если покупатель не перерегистрировал автомобиль в течение десяти дней, организация подаёт заявление о прекращении регистрации, иначе транспортный налог и штрафы продолжат приходить прежнему собственнику.</w:t>
      </w:r>
    </w:p>
    <w:p>
      <w:pPr>
        <w:pStyle w:val="ListParagraph"/>
        <w:numPr>
          <w:ilvl w:val="0"/>
          <w:numId w:val="10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(гибель, износ) — приказ о создании комиссии, акт о списании (форма ОС-4 или собственная), документы об утилизации, снятие с учёта в ГИБДД в связи с утилизацией.</w:t>
      </w:r>
    </w:p>
    <w:p>
      <w:pPr>
        <w:pStyle w:val="ListParagraph"/>
        <w:numPr>
          <w:ilvl w:val="0"/>
          <w:numId w:val="10"/>
        </w:numPr>
        <w:spacing w:after="60" w:line="276" w:lineRule="auto"/>
        <w:jc w:val="both"/>
      </w:pPr>
      <w:r>
        <w:rPr>
          <w:rFonts w:ascii="Roboto" w:cs="Roboto" w:eastAsia="Roboto" w:hAnsi="Roboto"/>
          <w:b/>
          <w:bCs/>
          <w:i w:val="false"/>
          <w:iCs w:val="false"/>
          <w:color w:val="333333"/>
          <w:sz w:val="22"/>
          <w:szCs w:val="22"/>
        </w:rPr>
        <w:t xml:space="preserve">Учёт 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— отражение выбытия в инвентарной карточке, списание остаточной стоимости, транспортный налог начисляется по месяц снятия с учёта включительно.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Реестр рисков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3. Основные риски эксплуатации служебного автомобиля</w:t>
      </w:r>
    </w:p>
    <w:tbl>
      <w:tblPr>
        <w:tblW w:type="dxa" w:w="9071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50"/>
        <w:gridCol w:w="1750"/>
        <w:gridCol w:w="1600"/>
        <w:gridCol w:w="2071"/>
        <w:gridCol w:w="1700"/>
      </w:tblGrid>
      <w:tr>
        <w:trPr>
          <w:tblHeader/>
        </w:trPr>
        <w:tc>
          <w:tcPr>
            <w:tcW w:type="dxa" w:w="195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Риск</w:t>
            </w:r>
          </w:p>
        </w:tc>
        <w:tc>
          <w:tcPr>
            <w:tcW w:type="dxa" w:w="175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Вероятность</w:t>
            </w:r>
          </w:p>
        </w:tc>
        <w:tc>
          <w:tcPr>
            <w:tcW w:type="dxa" w:w="16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Влияние</w:t>
            </w:r>
          </w:p>
        </w:tc>
        <w:tc>
          <w:tcPr>
            <w:tcW w:type="dxa" w:w="2071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Митигация</w:t>
            </w:r>
          </w:p>
        </w:tc>
        <w:tc>
          <w:tcPr>
            <w:tcW w:type="dxa" w:w="17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Статус</w:t>
            </w:r>
          </w:p>
        </w:tc>
      </w:tr>
      <w:tr>
        <w:trPr>
          <w:cantSplit w:val="false"/>
        </w:trPr>
        <w:tc>
          <w:tcPr>
            <w:tcW w:type="dxa" w:w="1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Пропуск десятидневного срока регистрации или езда без ОСАГО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Штрафы, запрет эксплуатации, регресс страховщика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Календарь сроков у ответственного; ОСАГО — до визита в ГИБДД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Под контролем</w:t>
            </w:r>
          </w:p>
        </w:tc>
      </w:tr>
      <w:tr>
        <w:trPr>
          <w:cantSplit w:val="false"/>
        </w:trPr>
        <w:tc>
          <w:tcPr>
            <w:tcW w:type="dxa" w:w="19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Снятие налоговой инспекцией расходов на топливо и содержание</w:t>
            </w:r>
          </w:p>
        </w:tc>
        <w:tc>
          <w:tcPr>
            <w:tcW w:type="dxa" w:w="17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6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Налог, пени, штраф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Путевые листы на каждую поездку, утверждённые нормы, акты списания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Требует внимания</w:t>
            </w:r>
          </w:p>
        </w:tc>
      </w:tr>
      <w:tr>
        <w:trPr>
          <w:cantSplit w:val="false"/>
        </w:trPr>
        <w:tc>
          <w:tcPr>
            <w:tcW w:type="dxa" w:w="1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Штрафы за отсутствие предрейсовых медосмотров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Штрафы на компанию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 на медосмотры (в т. ч. дистанционные) либо письменное заключение юриста по модели использования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Требует внимания</w:t>
            </w:r>
          </w:p>
        </w:tc>
      </w:tr>
      <w:tr>
        <w:trPr>
          <w:cantSplit w:val="false"/>
        </w:trPr>
        <w:tc>
          <w:tcPr>
            <w:tcW w:type="dxa" w:w="19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Штрафы с камер на юридическое лицо</w:t>
            </w:r>
          </w:p>
        </w:tc>
        <w:tc>
          <w:tcPr>
            <w:tcW w:type="dxa" w:w="17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16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Кратно повышенные суммы штрафов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Порядок обжалования и регресса в положении о транспорте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Под контролем</w:t>
            </w:r>
          </w:p>
        </w:tc>
      </w:tr>
      <w:tr>
        <w:trPr>
          <w:cantSplit w:val="false"/>
        </w:trPr>
        <w:tc>
          <w:tcPr>
            <w:tcW w:type="dxa" w:w="1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Ущерб автомобилю без возможности взыскания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Прямой убыток организации</w:t>
            </w:r>
          </w:p>
        </w:tc>
        <w:tc>
          <w:tcPr>
            <w:tcW w:type="dxa" w:w="2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Каско; акты передачи автомобиля; служебные расследования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Требует внимания</w:t>
            </w:r>
          </w:p>
        </w:tc>
      </w:tr>
      <w:tr>
        <w:trPr>
          <w:cantSplit w:val="false"/>
        </w:trPr>
        <w:tc>
          <w:tcPr>
            <w:tcW w:type="dxa" w:w="19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Неоформленное личное использование</w:t>
            </w:r>
          </w:p>
        </w:tc>
        <w:tc>
          <w:tcPr>
            <w:tcW w:type="dxa" w:w="17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6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НДФЛ, взносы, пени при проверке</w:t>
            </w:r>
          </w:p>
        </w:tc>
        <w:tc>
          <w:tcPr>
            <w:tcW w:type="dxa" w:w="20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Запрет либо оформление аренды или дохода в натуральной форме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Требует внимания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анализ нормативной базы (разд. 12) и практики налоговых и административных споров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Выводы и рекомендации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Все документы жизненного цикла автомобиля укладываются в шесть последовательных шагов. Рекомендации адресованы ролям; конкретных исполнителей организация назначает приказом.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4. План действий</w:t>
      </w:r>
    </w:p>
    <w:tbl>
      <w:tblPr>
        <w:tblW w:type="dxa" w:w="9071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500"/>
        <w:gridCol w:w="3700"/>
        <w:gridCol w:w="2300"/>
        <w:gridCol w:w="2571"/>
      </w:tblGrid>
      <w:tr>
        <w:trPr>
          <w:tblHeader/>
        </w:trPr>
        <w:tc>
          <w:tcPr>
            <w:tcW w:type="dxa" w:w="5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№</w:t>
            </w:r>
          </w:p>
        </w:tc>
        <w:tc>
          <w:tcPr>
            <w:tcW w:type="dxa" w:w="37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Рекомендация</w:t>
            </w:r>
          </w:p>
        </w:tc>
        <w:tc>
          <w:tcPr>
            <w:tcW w:type="dxa" w:w="23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Ответственный</w:t>
            </w:r>
          </w:p>
        </w:tc>
        <w:tc>
          <w:tcPr>
            <w:tcW w:type="dxa" w:w="2571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Оформить ОСАГО и поставить автомобиль на учёт в ГИБДД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Ответственный за транспорт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10 дней с даты акта приёма-передачи</w:t>
            </w:r>
          </w:p>
        </w:tc>
      </w:tr>
      <w:tr>
        <w:trPr>
          <w:cantSplit/>
        </w:trPr>
        <w:tc>
          <w:tcPr>
            <w:tcW w:type="dxa" w:w="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Принять автомобиль к учёту: приказ о вводе, акт, инвентарная карточка, срок полезного использования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Главный бухгалтер</w:t>
            </w:r>
          </w:p>
        </w:tc>
        <w:tc>
          <w:tcPr>
            <w:tcW w:type="dxa" w:w="25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Месяц принятия к учёту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Утвердить положение о служебном транспорте и издать приказы: ответственный, закрепление, нормы топлива, лимиты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Руководитель, кадровая служба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5 рабочих дней</w:t>
            </w:r>
          </w:p>
        </w:tc>
      </w:tr>
      <w:tr>
        <w:trPr>
          <w:cantSplit/>
        </w:trPr>
        <w:tc>
          <w:tcPr>
            <w:tcW w:type="dxa" w:w="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Заключить договоры: медосмотры, сервис, топливные карты, парковка; при необходимости — каско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Административная служба</w:t>
            </w:r>
          </w:p>
        </w:tc>
        <w:tc>
          <w:tcPr>
            <w:tcW w:type="dxa" w:w="25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1 месяц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Запустить путевые листы, журналы и ежемесячное списание топлива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Бухгалтерия, ответственный за транспорт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 первого выезда</w:t>
            </w:r>
          </w:p>
        </w:tc>
      </w:tr>
      <w:tr>
        <w:trPr>
          <w:cantSplit/>
        </w:trPr>
        <w:tc>
          <w:tcPr>
            <w:tcW w:type="dxa" w:w="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Вести календарь сроков: ОСАГО, техосмотр, ТО, налоги, сезонная замена шин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Ответственный за транспорт</w:t>
            </w:r>
          </w:p>
        </w:tc>
        <w:tc>
          <w:tcPr>
            <w:tcW w:type="dxa" w:w="25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Постоянно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разделы 2–9 настоящей справки</w:t>
      </w:r>
    </w:p>
    <w:p>
      <w:pPr>
        <w:pStyle w:val="Heading1"/>
        <w:keepNext/>
        <w:numPr>
          <w:ilvl w:val="0"/>
          <w:numId w:val="2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Ключевые допущения и источники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Справка исходит из следующих допущений: организация — российское юридическое лицо на общем режиме или УСН; автомобиль — легковой, используется для собственных нужд (не такси, не коммерческие перевозки); регистрация — на организацию. Для перевозочной деятельности состав обязательных документов существенно шире (лицензирование, ответственный за безопасность дорожного движения с аттестацией, предрейсовый технический контроль) и в настоящей справке не рассматривается.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5. Статус ключевых утверждений</w:t>
      </w:r>
    </w:p>
    <w:tbl>
      <w:tblPr>
        <w:tblW w:type="dxa" w:w="90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00"/>
        <w:gridCol w:w="2300"/>
        <w:gridCol w:w="3271"/>
      </w:tblGrid>
      <w:tr>
        <w:trPr>
          <w:tblHeader/>
        </w:trPr>
        <w:tc>
          <w:tcPr>
            <w:tcW w:type="dxa" w:w="3500"/>
            <w:tcBorders>
              <w:top w:val="single" w:color="1A1A1A" w:sz="12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Утверждение</w:t>
            </w:r>
          </w:p>
        </w:tc>
        <w:tc>
          <w:tcPr>
            <w:tcW w:type="dxa" w:w="2300"/>
            <w:tcBorders>
              <w:top w:val="single" w:color="1A1A1A" w:sz="12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3271"/>
            <w:tcBorders>
              <w:top w:val="single" w:color="1A1A1A" w:sz="12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Основание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Регистрация в ГИБДД — 10 суток с даты приобретения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Закон № 283-ФЗ «О государственной регистрации ТС», ст. 8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Управление без ОСАГО — не более 10 дней с приобретения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Закон об ОСАГО № 40-ФЗ, ст. 4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Техосмотр для автомобилей организаций обязателен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Закон № 170-ФЗ «О техническом осмотре», ст. 15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Обязательные реквизиты путевого листа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Подзаконный акт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Минтранса № 390 от 28.09.2022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Предрейсовые медосмотры работников-водителей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закона; для управленцев — спорная зона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Закон № 196-ФЗ, ст. 23; приказ Минздрава № 266н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Запрет полной матответственности водителя за автомобиль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и судебная практика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Постановление Минтруда № 85; ст. 243–244 ТК РФ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Возмещение вреда третьим лицам — владелец, регресс к работнику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ст. 1079, 1081 ГК РФ; ст. 238–248 ТК РФ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Амортизационная группа и налоги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Норма закона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D9D9D9" w:sz="4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гл. 25, 26.2, 28 НК РФ; постановление Правительства № 1</w:t>
            </w:r>
          </w:p>
        </w:tc>
      </w:tr>
      <w:tr>
        <w:tc>
          <w:tcPr>
            <w:tcW w:type="dxa" w:w="3500"/>
            <w:tcBorders>
              <w:top w:val="none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Размеры госпошлин и параметры скидки по штрафам</w:t>
            </w:r>
          </w:p>
        </w:tc>
        <w:tc>
          <w:tcPr>
            <w:tcW w:type="dxa" w:w="2300"/>
            <w:tcBorders>
              <w:top w:val="none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Уточнить на дату оформления</w:t>
            </w:r>
          </w:p>
        </w:tc>
        <w:tc>
          <w:tcPr>
            <w:tcW w:type="dxa" w:w="3271"/>
            <w:tcBorders>
              <w:top w:val="none"/>
              <w:left w:val="none"/>
              <w:bottom w:val="single" w:color="1A1A1A" w:sz="1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ст. 333.33 НК РФ; ст. 32.2 КоАП РФ в действующей редакции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указанные нормативные акты в редакциях, действующих на август 2026 года</w:t>
      </w:r>
    </w:p>
    <w:p>
      <w:pPr>
        <w:pStyle w:val="Heading1"/>
        <w:keepNext/>
        <w:pageBreakBefore/>
        <w:numPr>
          <w:ilvl w:val="0"/>
          <w:numId w:val="11"/>
        </w:numPr>
      </w:pPr>
      <w:r>
        <w:rPr>
          <w:rFonts w:ascii="Roboto" w:cs="Roboto" w:eastAsia="Roboto" w:hAnsi="Roboto"/>
          <w:b/>
          <w:bCs/>
          <w:color w:val="1A1A1A"/>
          <w:sz w:val="24"/>
          <w:szCs w:val="24"/>
        </w:rPr>
        <w:t xml:space="preserve">Сводный реестр документов (чек-лист)</w:t>
      </w:r>
    </w:p>
    <w:p>
      <w:pPr>
        <w:keepNext w:val="false"/>
        <w:spacing w:after="120" w:before="0" w:line="276" w:lineRule="auto"/>
        <w:jc w:val="both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Реестр охватывает полный жизненный цикл автомобиля. Однократные документы оформляются при наступлении события; регулярные — с указанной периодичностью.</w:t>
      </w:r>
    </w:p>
    <w:p>
      <w:pPr>
        <w:keepNext/>
        <w:spacing w:after="60" w:before="12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Табл. 6. Реестр документов по этапам жизненного цикла</w:t>
      </w:r>
    </w:p>
    <w:tbl>
      <w:tblPr>
        <w:tblW w:type="dxa" w:w="9071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800"/>
        <w:gridCol w:w="2400"/>
        <w:gridCol w:w="2871"/>
      </w:tblGrid>
      <w:tr>
        <w:trPr>
          <w:tblHeader/>
        </w:trPr>
        <w:tc>
          <w:tcPr>
            <w:tcW w:type="dxa" w:w="38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2400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Когда оформляется</w:t>
            </w:r>
          </w:p>
        </w:tc>
        <w:tc>
          <w:tcPr>
            <w:tcW w:type="dxa" w:w="2871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1. Сделка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 купли-продажи (или договор лизинга)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Со спецификацией автомобиля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Акт приёма-передачи автомобиля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Точка отсчёта срока регистрации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УПД (счёт-фактура + накладная)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Основание вычета НДС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Платёжные документы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Запись о собственнике в ЭПТС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Проверить статус записи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2. Регистрация и допуск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Полис ОСАГО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Ежегодно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Первый — до постановки на учёт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Свидетельство о регистрации (СТС), госзнаки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Однократно, 10 суток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Госпошлины — по актуальным ставкам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Диагностическая карта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возрасту автомобиля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Первые 4 года не требуется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Полис каско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Ежегодно, добровольно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Обязателен при лизинге (по договору)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3. Учёт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вводе в эксплуатацию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Дата, стоимость, срок использования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Акт приёма-передачи ОС (ОС-1), инвентарная карточка (ОС-6)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Или собственные формы по 402-ФЗ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Уведомления и уплата транспортного налога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Ежеквартально / ежегодно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Единый налоговый платёж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4. Внутренние документы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Положение о служебном транспорте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Ключевой внутренний документ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об ответственном за автомобиль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Календарь сроков — за ним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закреплении за водителем + акт передачи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 каждой смене водителя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Фиксация состояния автомобиля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нормах расхода топлива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Однократно, пересмотр по сезону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АМ-23-р или данные производителя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 о лимитах расходов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необходимости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Мойка, парковка, мелкий ремонт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5. Водители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Трудовой договор, должностная инструкция водителя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Копия водительского удостоверения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 на предрейсовые медосмотры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Возможны дистанционные осмотры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Журналы медосмотров и инструктажей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Постоянно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Отметки — также в путевых листах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6. Эксплуатация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Путевые листы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На день, смену или рейс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Реквизиты — приказ Минтранса № 390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Журнал учёта путевых листов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Постоянно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 топливных карт, отчёты, акты списания топлива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Ежемесячно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утверждённым нормам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Договоры и акты: сервис, шины, парковка, мойка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событиям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Заказ-наряды, акты замены шин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7. Ответственность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Порядок действий при ДТП и штрафах (раздел положения)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Обжалование или регресс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Приказы об удержании ущерба, служебные расследования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По событиям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Ст. 238–248 ТК РФ</w:t>
            </w:r>
          </w:p>
        </w:tc>
      </w:tr>
      <w:tr>
        <w:trPr>
          <w:cantSplit w:val="false"/>
        </w:trPr>
        <w:tc>
          <w:tcPr>
            <w:tcW w:type="dxa" w:w="9071"/>
            <w:gridSpan w:val="3"/>
            <w:shd w:fill="D6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/>
                <w:bCs/>
                <w:color w:val="333333"/>
                <w:sz w:val="20"/>
                <w:szCs w:val="20"/>
              </w:rPr>
              <w:t xml:space="preserve">Этап 8. Выбытие</w:t>
            </w:r>
          </w:p>
        </w:tc>
      </w:tr>
      <w:tr>
        <w:trPr>
          <w:cantSplit w:val="false"/>
        </w:trP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Договор продажи, акт, УПД; или акт списания (ОС-4)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НДС при продаже на общем режиме</w:t>
            </w:r>
          </w:p>
        </w:tc>
      </w:tr>
      <w:tr>
        <w:trPr>
          <w:cantSplit w:val="false"/>
        </w:trPr>
        <w:tc>
          <w:tcPr>
            <w:tcW w:type="dxa" w:w="38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Прекращение регистрации / снятие с учёта</w:t>
            </w:r>
          </w:p>
        </w:tc>
        <w:tc>
          <w:tcPr>
            <w:tcW w:type="dxa" w:w="2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Однократно</w:t>
            </w:r>
          </w:p>
        </w:tc>
        <w:tc>
          <w:tcPr>
            <w:tcW w:type="dxa" w:w="2871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Roboto" w:cs="Roboto" w:eastAsia="Roboto" w:hAnsi="Roboto"/>
                <w:b w:val="false"/>
                <w:bCs w:val="false"/>
                <w:color w:val="333333"/>
                <w:sz w:val="20"/>
                <w:szCs w:val="20"/>
              </w:rPr>
              <w:t xml:space="preserve">Контроль перерегистрации покупателем</w:t>
            </w:r>
          </w:p>
        </w:tc>
      </w:tr>
    </w:tbl>
    <w:p>
      <w:pPr>
        <w:spacing w:after="160" w:before="60" w:line="276" w:lineRule="auto"/>
      </w:pPr>
      <w:r>
        <w:rPr>
          <w:rFonts w:ascii="Roboto" w:cs="Roboto" w:eastAsia="Roboto" w:hAnsi="Roboto"/>
          <w:i/>
          <w:iCs/>
          <w:color w:val="808080"/>
          <w:sz w:val="18"/>
          <w:szCs w:val="18"/>
        </w:rPr>
        <w:t xml:space="preserve">Источник: разделы 2–9 настоящей справки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134" w:bottom="1440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right"/>
    </w:pPr>
    <w:r>
      <w:rPr>
        <w:rFonts w:ascii="Roboto" w:cs="Roboto" w:eastAsia="Roboto" w:hAnsi="Roboto"/>
        <w:color w:val="808080"/>
        <w:sz w:val="18"/>
        <w:szCs w:val="18"/>
      </w:rPr>
      <w:t xml:space="preserve">Стр. </w:t>
    </w:r>
    <w:r>
      <w:rPr>
        <w:rFonts w:ascii="Roboto" w:cs="Roboto" w:eastAsia="Roboto" w:hAnsi="Roboto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071"/>
      </w:tabs>
      <w:spacing w:after="0"/>
    </w:pPr>
    <w:r>
      <w:rPr>
        <w:rFonts w:ascii="Roboto" w:cs="Roboto" w:eastAsia="Roboto" w:hAnsi="Roboto"/>
        <w:b/>
        <w:bCs/>
        <w:color w:val="808080"/>
        <w:sz w:val="18"/>
        <w:szCs w:val="18"/>
      </w:rPr>
      <w:t xml:space="preserve">Аналитическая справка</w:t>
    </w:r>
    <w:r>
      <w:rPr>
        <w:rFonts w:ascii="Roboto" w:cs="Roboto" w:eastAsia="Roboto" w:hAnsi="Roboto"/>
        <w:color w:val="808080"/>
        <w:sz w:val="18"/>
        <w:szCs w:val="18"/>
      </w:rPr>
      <w:t xml:space="preserve">	Служебный автомобиль юридического лица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0" w:hanging="0"/>
      </w:pPr>
      <w:rPr>
        <w:b/>
        <w:bCs/>
      </w:rPr>
    </w:lvl>
    <w:lvl w:ilvl="1" w15:tentative="1">
      <w:start w:val="1"/>
      <w:numFmt w:val="decimal"/>
      <w:lvlText w:val="%1.%2."/>
      <w:lvlJc w:val="left"/>
      <w:pPr>
        <w:ind w:left="0" w:hanging="0"/>
      </w:pPr>
      <w:rPr>
        <w:b/>
        <w:bCs/>
      </w:rPr>
    </w:lvl>
    <w:lvl w:ilvl="2" w15:tentative="1">
      <w:start w:val="1"/>
      <w:numFmt w:val="decimal"/>
      <w:lvlText w:val="%1.%2.%3."/>
      <w:lvlJc w:val="left"/>
      <w:pPr>
        <w:ind w:left="0" w:hanging="0"/>
      </w:pPr>
      <w:rPr>
        <w:b/>
        <w:bCs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Приложение %1."/>
      <w:lvlJc w:val="left"/>
      <w:pPr>
        <w:ind w:left="0" w:hanging="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widowControl/>
      <w:spacing w:after="120" w:line="276" w:lineRule="auto"/>
    </w:pPr>
    <w:rPr>
      <w:rFonts w:ascii="Roboto" w:cs="Roboto" w:eastAsia="Roboto" w:hAnsi="Roboto"/>
      <w:color w:val="333333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after="200" w:before="360" w:line="276" w:lineRule="auto"/>
      <w:outlineLvl w:val="0"/>
    </w:pPr>
    <w:rPr>
      <w:rFonts w:ascii="Roboto" w:cs="Roboto" w:eastAsia="Roboto" w:hAnsi="Roboto"/>
      <w:b/>
      <w:bCs/>
      <w:color w:val="1A1A1A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60" w:before="280" w:line="276" w:lineRule="auto"/>
      <w:outlineLvl w:val="1"/>
    </w:pPr>
    <w:rPr>
      <w:rFonts w:ascii="Roboto" w:cs="Roboto" w:eastAsia="Roboto" w:hAnsi="Roboto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120" w:before="200" w:line="276" w:lineRule="auto"/>
      <w:outlineLvl w:val="2"/>
    </w:pPr>
    <w:rPr>
      <w:rFonts w:ascii="Roboto" w:cs="Roboto" w:eastAsia="Roboto" w:hAnsi="Roboto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2026-08-19T07:47:36.565Z</dcterms:created>
  <dcterms:modified xsi:type="dcterms:W3CDTF">2026-08-19T07:47:36.566Z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