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200" w:after="240"/>
        <w:jc w:val="center"/>
        <w:rPr/>
      </w:pPr>
      <w:r>
        <w:rPr>
          <w:rFonts w:eastAsia="Roboto" w:cs="Roboto"/>
          <w:b/>
          <w:bCs/>
          <w:color w:val="808080"/>
          <w:sz w:val="24"/>
          <w:szCs w:val="24"/>
        </w:rPr>
        <w:t>АНАЛИТИЧЕСКАЯ СПРАВКА</w:t>
      </w:r>
    </w:p>
    <w:p>
      <w:pPr>
        <w:pStyle w:val="Normal"/>
        <w:spacing w:lineRule="auto" w:line="276" w:before="0" w:after="200"/>
        <w:jc w:val="center"/>
        <w:rPr/>
      </w:pPr>
      <w:r>
        <w:rPr>
          <w:rFonts w:eastAsia="Roboto" w:cs="Roboto"/>
          <w:b/>
          <w:bCs/>
          <w:color w:val="2C3E50"/>
          <w:sz w:val="52"/>
          <w:szCs w:val="52"/>
        </w:rPr>
        <w:t>Служебный автомобиль юридического лица: полный комплект документов</w:t>
      </w:r>
    </w:p>
    <w:p>
      <w:pPr>
        <w:pStyle w:val="Normal"/>
        <w:spacing w:before="0" w:after="160"/>
        <w:jc w:val="center"/>
        <w:rPr/>
      </w:pPr>
      <w:r>
        <w:rPr>
          <w:rFonts w:eastAsia="Roboto" w:cs="Roboto"/>
          <w:i/>
          <w:iCs/>
          <w:color w:val="808080"/>
          <w:sz w:val="28"/>
          <w:szCs w:val="28"/>
        </w:rPr>
        <w:t>Приобретение, учёт, эксплуатация, ответственность, выбытие</w:t>
      </w:r>
    </w:p>
    <w:p>
      <w:pPr>
        <w:pStyle w:val="Normal"/>
        <w:spacing w:before="0" w:after="1800"/>
        <w:jc w:val="center"/>
        <w:rPr/>
      </w:pPr>
      <w:r>
        <w:rPr>
          <w:rFonts w:eastAsia="Roboto" w:cs="Roboto"/>
          <w:i/>
          <w:iCs/>
          <w:color w:val="808080"/>
          <w:sz w:val="22"/>
          <w:szCs w:val="22"/>
        </w:rPr>
        <w:t>Редакция 2 — переработана с учётом юридической рецензии</w:t>
      </w:r>
    </w:p>
    <w:p>
      <w:pPr>
        <w:pStyle w:val="Normal"/>
        <w:spacing w:before="0" w:after="0"/>
        <w:jc w:val="center"/>
        <w:rPr/>
      </w:pPr>
      <w:r>
        <w:rPr>
          <w:rFonts w:eastAsia="Roboto" w:cs="Roboto"/>
          <w:color w:val="333333"/>
          <w:sz w:val="24"/>
          <w:szCs w:val="24"/>
        </w:rPr>
        <w:t>19 августа 2026 года</w:t>
      </w:r>
      <w:r>
        <w:br w:type="page"/>
      </w:r>
    </w:p>
    <w:p>
      <w:pPr>
        <w:pStyle w:val="Normal"/>
        <w:spacing w:before="0" w:after="200"/>
        <w:rPr/>
      </w:pPr>
      <w:r>
        <w:rPr>
          <w:rFonts w:eastAsia="Roboto" w:cs="Roboto"/>
          <w:b/>
          <w:bCs/>
          <w:color w:val="2C3E50"/>
          <w:sz w:val="28"/>
          <w:szCs w:val="28"/>
        </w:rPr>
        <w:t>Оглавление</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IndexLink"/>
            </w:rPr>
            <w:instrText xml:space="preserve"> TOC \o "1-2" \h</w:instrText>
          </w:r>
          <w:r>
            <w:rPr>
              <w:rStyle w:val="IndexLink"/>
            </w:rPr>
            <w:fldChar w:fldCharType="separate"/>
          </w:r>
          <w:hyperlink w:anchor="__RefHeading___Toc883_1505658153">
            <w:r>
              <w:rPr>
                <w:rStyle w:val="IndexLink"/>
              </w:rPr>
              <w:t>1. Резюме</w:t>
              <w:tab/>
              <w:t>3</w:t>
            </w:r>
          </w:hyperlink>
        </w:p>
        <w:p>
          <w:pPr>
            <w:pStyle w:val="TOC1"/>
            <w:tabs>
              <w:tab w:val="clear" w:pos="9071"/>
              <w:tab w:val="right" w:pos="9070" w:leader="dot"/>
            </w:tabs>
            <w:rPr/>
          </w:pPr>
          <w:hyperlink w:anchor="__RefHeading___Toc885_1505658153">
            <w:r>
              <w:rPr>
                <w:rStyle w:val="IndexLink"/>
              </w:rPr>
              <w:t>2. Приобретение и оформление права собственности</w:t>
              <w:tab/>
              <w:t>4</w:t>
            </w:r>
          </w:hyperlink>
        </w:p>
        <w:p>
          <w:pPr>
            <w:pStyle w:val="TOC1"/>
            <w:tabs>
              <w:tab w:val="clear" w:pos="9071"/>
              <w:tab w:val="right" w:pos="9070" w:leader="dot"/>
            </w:tabs>
            <w:rPr/>
          </w:pPr>
          <w:hyperlink w:anchor="__RefHeading___Toc887_1505658153">
            <w:r>
              <w:rPr>
                <w:rStyle w:val="IndexLink"/>
              </w:rPr>
              <w:t>3. ОСАГО, регистрация и допуск к дорожному движению</w:t>
              <w:tab/>
              <w:t>4</w:t>
            </w:r>
          </w:hyperlink>
        </w:p>
        <w:p>
          <w:pPr>
            <w:pStyle w:val="TOC1"/>
            <w:tabs>
              <w:tab w:val="clear" w:pos="9071"/>
              <w:tab w:val="right" w:pos="9070" w:leader="dot"/>
            </w:tabs>
            <w:rPr/>
          </w:pPr>
          <w:hyperlink w:anchor="__RefHeading___Toc889_1505658153">
            <w:r>
              <w:rPr>
                <w:rStyle w:val="IndexLink"/>
              </w:rPr>
              <w:t>4. Бухгалтерский и налоговый учёт</w:t>
              <w:tab/>
              <w:t>5</w:t>
            </w:r>
          </w:hyperlink>
        </w:p>
        <w:p>
          <w:pPr>
            <w:pStyle w:val="TOC2"/>
            <w:tabs>
              <w:tab w:val="clear" w:pos="8788"/>
              <w:tab w:val="right" w:pos="9070" w:leader="dot"/>
            </w:tabs>
            <w:rPr/>
          </w:pPr>
          <w:hyperlink w:anchor="__RefHeading___Toc891_1505658153">
            <w:r>
              <w:rPr>
                <w:rStyle w:val="IndexLink"/>
              </w:rPr>
              <w:t>4.1. Бухгалтерский учёт (ФСБУ 6/2020)</w:t>
              <w:tab/>
              <w:t>5</w:t>
            </w:r>
          </w:hyperlink>
        </w:p>
        <w:p>
          <w:pPr>
            <w:pStyle w:val="TOC2"/>
            <w:tabs>
              <w:tab w:val="clear" w:pos="8788"/>
              <w:tab w:val="right" w:pos="9070" w:leader="dot"/>
            </w:tabs>
            <w:rPr/>
          </w:pPr>
          <w:hyperlink w:anchor="__RefHeading___Toc893_1505658153">
            <w:r>
              <w:rPr>
                <w:rStyle w:val="IndexLink"/>
              </w:rPr>
              <w:t>4.2. Налоговый учёт</w:t>
              <w:tab/>
              <w:t>5</w:t>
            </w:r>
          </w:hyperlink>
        </w:p>
        <w:p>
          <w:pPr>
            <w:pStyle w:val="TOC2"/>
            <w:tabs>
              <w:tab w:val="clear" w:pos="8788"/>
              <w:tab w:val="right" w:pos="9070" w:leader="dot"/>
            </w:tabs>
            <w:rPr/>
          </w:pPr>
          <w:hyperlink w:anchor="__RefHeading___Toc895_1505658153">
            <w:r>
              <w:rPr>
                <w:rStyle w:val="IndexLink"/>
              </w:rPr>
              <w:t>4.3. УСН и НДС</w:t>
              <w:tab/>
              <w:t>6</w:t>
            </w:r>
          </w:hyperlink>
        </w:p>
        <w:p>
          <w:pPr>
            <w:pStyle w:val="TOC1"/>
            <w:tabs>
              <w:tab w:val="clear" w:pos="9071"/>
              <w:tab w:val="right" w:pos="9070" w:leader="dot"/>
            </w:tabs>
            <w:rPr/>
          </w:pPr>
          <w:hyperlink w:anchor="__RefHeading___Toc897_1505658153">
            <w:r>
              <w:rPr>
                <w:rStyle w:val="IndexLink"/>
              </w:rPr>
              <w:t>5. Внутренние организационно-распорядительные документы</w:t>
              <w:tab/>
              <w:t>7</w:t>
            </w:r>
          </w:hyperlink>
        </w:p>
        <w:p>
          <w:pPr>
            <w:pStyle w:val="TOC1"/>
            <w:tabs>
              <w:tab w:val="clear" w:pos="9071"/>
              <w:tab w:val="right" w:pos="9070" w:leader="dot"/>
            </w:tabs>
            <w:rPr/>
          </w:pPr>
          <w:hyperlink w:anchor="__RefHeading___Toc899_1505658153">
            <w:r>
              <w:rPr>
                <w:rStyle w:val="IndexLink"/>
              </w:rPr>
              <w:t>6. Водители: кадровые документы, медосмотры, ответственность</w:t>
              <w:tab/>
              <w:t>7</w:t>
            </w:r>
          </w:hyperlink>
        </w:p>
        <w:p>
          <w:pPr>
            <w:pStyle w:val="TOC2"/>
            <w:tabs>
              <w:tab w:val="clear" w:pos="8788"/>
              <w:tab w:val="right" w:pos="9070" w:leader="dot"/>
            </w:tabs>
            <w:rPr/>
          </w:pPr>
          <w:hyperlink w:anchor="__RefHeading___Toc901_1505658153">
            <w:r>
              <w:rPr>
                <w:rStyle w:val="IndexLink"/>
              </w:rPr>
              <w:t>6.1. Штатный водитель</w:t>
              <w:tab/>
              <w:t>7</w:t>
            </w:r>
          </w:hyperlink>
        </w:p>
        <w:p>
          <w:pPr>
            <w:pStyle w:val="TOC2"/>
            <w:tabs>
              <w:tab w:val="clear" w:pos="8788"/>
              <w:tab w:val="right" w:pos="9070" w:leader="dot"/>
            </w:tabs>
            <w:rPr/>
          </w:pPr>
          <w:hyperlink w:anchor="__RefHeading___Toc903_1505658153">
            <w:r>
              <w:rPr>
                <w:rStyle w:val="IndexLink"/>
              </w:rPr>
              <w:t>6.2. За рулём — директор или менеджер</w:t>
              <w:tab/>
              <w:t>8</w:t>
            </w:r>
          </w:hyperlink>
        </w:p>
        <w:p>
          <w:pPr>
            <w:pStyle w:val="TOC1"/>
            <w:tabs>
              <w:tab w:val="clear" w:pos="9071"/>
              <w:tab w:val="right" w:pos="9070" w:leader="dot"/>
            </w:tabs>
            <w:rPr/>
          </w:pPr>
          <w:hyperlink w:anchor="__RefHeading___Toc905_1505658153">
            <w:r>
              <w:rPr>
                <w:rStyle w:val="IndexLink"/>
              </w:rPr>
              <w:t>7. Текущая эксплуатация: путевые листы, топливо, обслуживание</w:t>
              <w:tab/>
              <w:t>9</w:t>
            </w:r>
          </w:hyperlink>
        </w:p>
        <w:p>
          <w:pPr>
            <w:pStyle w:val="TOC2"/>
            <w:tabs>
              <w:tab w:val="clear" w:pos="8788"/>
              <w:tab w:val="right" w:pos="9070" w:leader="dot"/>
            </w:tabs>
            <w:rPr/>
          </w:pPr>
          <w:hyperlink w:anchor="__RefHeading___Toc907_1505658153">
            <w:r>
              <w:rPr>
                <w:rStyle w:val="IndexLink"/>
              </w:rPr>
              <w:t>7.1. Путевые листы и подтверждение расходов на топливо</w:t>
              <w:tab/>
              <w:t>9</w:t>
            </w:r>
          </w:hyperlink>
        </w:p>
        <w:p>
          <w:pPr>
            <w:pStyle w:val="TOC2"/>
            <w:tabs>
              <w:tab w:val="clear" w:pos="8788"/>
              <w:tab w:val="right" w:pos="9070" w:leader="dot"/>
            </w:tabs>
            <w:rPr/>
          </w:pPr>
          <w:hyperlink w:anchor="__RefHeading___Toc909_1505658153">
            <w:r>
              <w:rPr>
                <w:rStyle w:val="IndexLink"/>
              </w:rPr>
              <w:t>7.2. Обслуживание и содержание</w:t>
              <w:tab/>
              <w:t>10</w:t>
            </w:r>
          </w:hyperlink>
        </w:p>
        <w:p>
          <w:pPr>
            <w:pStyle w:val="TOC1"/>
            <w:tabs>
              <w:tab w:val="clear" w:pos="9071"/>
              <w:tab w:val="right" w:pos="9070" w:leader="dot"/>
            </w:tabs>
            <w:rPr/>
          </w:pPr>
          <w:hyperlink w:anchor="__RefHeading___Toc911_1505658153">
            <w:r>
              <w:rPr>
                <w:rStyle w:val="IndexLink"/>
              </w:rPr>
              <w:t>8. Ответственность, штрафы и порядок действий при ДТП</w:t>
              <w:tab/>
              <w:t>10</w:t>
            </w:r>
          </w:hyperlink>
        </w:p>
        <w:p>
          <w:pPr>
            <w:pStyle w:val="TOC1"/>
            <w:tabs>
              <w:tab w:val="clear" w:pos="9071"/>
              <w:tab w:val="right" w:pos="9070" w:leader="dot"/>
            </w:tabs>
            <w:rPr/>
          </w:pPr>
          <w:hyperlink w:anchor="__RefHeading___Toc913_1505658153">
            <w:r>
              <w:rPr>
                <w:rStyle w:val="IndexLink"/>
              </w:rPr>
              <w:t>9. Выбытие автомобиля</w:t>
              <w:tab/>
              <w:t>11</w:t>
            </w:r>
          </w:hyperlink>
        </w:p>
        <w:p>
          <w:pPr>
            <w:pStyle w:val="TOC1"/>
            <w:tabs>
              <w:tab w:val="clear" w:pos="9071"/>
              <w:tab w:val="right" w:pos="9070" w:leader="dot"/>
            </w:tabs>
            <w:rPr/>
          </w:pPr>
          <w:hyperlink w:anchor="__RefHeading___Toc915_1505658153">
            <w:r>
              <w:rPr>
                <w:rStyle w:val="IndexLink"/>
              </w:rPr>
              <w:t>10. Карта обязанностей и зон риска</w:t>
              <w:tab/>
              <w:t>11</w:t>
            </w:r>
          </w:hyperlink>
        </w:p>
        <w:p>
          <w:pPr>
            <w:pStyle w:val="TOC1"/>
            <w:tabs>
              <w:tab w:val="clear" w:pos="9071"/>
              <w:tab w:val="right" w:pos="9070" w:leader="dot"/>
            </w:tabs>
            <w:rPr/>
          </w:pPr>
          <w:hyperlink w:anchor="__RefHeading___Toc917_1505658153">
            <w:r>
              <w:rPr>
                <w:rStyle w:val="IndexLink"/>
              </w:rPr>
              <w:t>11. Выводы, план действий и календарь сроков</w:t>
              <w:tab/>
              <w:t>12</w:t>
            </w:r>
          </w:hyperlink>
        </w:p>
        <w:p>
          <w:pPr>
            <w:pStyle w:val="TOC1"/>
            <w:tabs>
              <w:tab w:val="clear" w:pos="9071"/>
              <w:tab w:val="right" w:pos="9070" w:leader="dot"/>
            </w:tabs>
            <w:rPr/>
          </w:pPr>
          <w:hyperlink w:anchor="__RefHeading___Toc919_1505658153">
            <w:r>
              <w:rPr>
                <w:rStyle w:val="IndexLink"/>
              </w:rPr>
              <w:t>12. Ключевые допущения и источники</w:t>
              <w:tab/>
              <w:t>13</w:t>
            </w:r>
          </w:hyperlink>
        </w:p>
        <w:p>
          <w:pPr>
            <w:pStyle w:val="TOC1"/>
            <w:tabs>
              <w:tab w:val="clear" w:pos="9071"/>
              <w:tab w:val="right" w:pos="9070" w:leader="dot"/>
            </w:tabs>
            <w:rPr/>
          </w:pPr>
          <w:hyperlink w:anchor="__RefHeading___Toc921_1505658153">
            <w:r>
              <w:rPr>
                <w:rStyle w:val="IndexLink"/>
              </w:rPr>
              <w:t>Приложение 1. Реестр документов по категориям обязательности</w:t>
              <w:tab/>
              <w:t>15</w:t>
            </w:r>
          </w:hyperlink>
          <w:r>
            <w:rPr>
              <w:rStyle w:val="IndexLink"/>
            </w:rPr>
            <w:fldChar w:fldCharType="end"/>
          </w:r>
        </w:p>
      </w:sdtContent>
    </w:sdt>
    <w:p>
      <w:pPr>
        <w:pStyle w:val="Normal"/>
        <w:widowControl/>
        <w:bidi w:val="0"/>
        <w:spacing w:lineRule="auto" w:line="276" w:before="0" w:after="120"/>
        <w:jc w:val="left"/>
        <w:rPr>
          <w:rFonts w:ascii="Roboto" w:hAnsi="Roboto" w:eastAsia="Roboto" w:cs="Roboto"/>
          <w:color w:val="333333"/>
          <w:sz w:val="22"/>
          <w:szCs w:val="22"/>
        </w:rPr>
      </w:pPr>
      <w:r>
        <w:rPr>
          <w:rFonts w:eastAsia="Roboto" w:cs="Roboto"/>
          <w:color w:val="333333"/>
          <w:sz w:val="22"/>
          <w:szCs w:val="22"/>
        </w:rPr>
      </w:r>
    </w:p>
    <w:p>
      <w:pPr>
        <w:pStyle w:val="Normal"/>
        <w:spacing w:before="120" w:after="0"/>
        <w:rPr/>
      </w:pPr>
      <w:r>
        <w:rPr>
          <w:rFonts w:eastAsia="Roboto" w:cs="Roboto"/>
          <w:i/>
          <w:iCs/>
          <w:color w:val="808080"/>
          <w:sz w:val="18"/>
          <w:szCs w:val="18"/>
        </w:rPr>
        <w:t>Оглавление — автоматическое поле: при открытии файла согласитесь на обновление полей или нажмите F9.</w:t>
      </w:r>
      <w:r>
        <w:br w:type="page"/>
      </w:r>
    </w:p>
    <w:p>
      <w:pPr>
        <w:pStyle w:val="Normal"/>
        <w:spacing w:lineRule="auto" w:line="276" w:before="0" w:after="200"/>
        <w:rPr/>
      </w:pPr>
      <w:r>
        <w:rPr>
          <w:rFonts w:eastAsia="Roboto" w:cs="Roboto"/>
          <w:b/>
          <w:bCs/>
          <w:color w:val="2C3E50"/>
          <w:sz w:val="28"/>
          <w:szCs w:val="28"/>
        </w:rPr>
        <w:t>Служебный автомобиль юридического лица: полный комплект документов</w:t>
      </w:r>
    </w:p>
    <w:p>
      <w:pPr>
        <w:pStyle w:val="Heading1"/>
        <w:keepNext w:val="true"/>
        <w:numPr>
          <w:ilvl w:val="0"/>
          <w:numId w:val="12"/>
        </w:numPr>
        <w:rPr/>
      </w:pPr>
      <w:bookmarkStart w:id="0" w:name="__RefHeading___Toc883_1505658153"/>
      <w:bookmarkEnd w:id="0"/>
      <w:r>
        <w:rPr>
          <w:rFonts w:eastAsia="Roboto" w:cs="Roboto"/>
          <w:b/>
          <w:bCs/>
          <w:color w:val="1A1A1A"/>
          <w:sz w:val="24"/>
          <w:szCs w:val="24"/>
        </w:rPr>
        <w:t>Резюме</w:t>
      </w:r>
    </w:p>
    <w:p>
      <w:pPr>
        <w:pStyle w:val="Normal"/>
        <w:keepNext w:val="false"/>
        <w:spacing w:lineRule="auto" w:line="276" w:before="0" w:after="120"/>
        <w:jc w:val="both"/>
        <w:rPr/>
      </w:pPr>
      <w:r>
        <w:rPr>
          <w:rFonts w:eastAsia="Roboto" w:cs="Roboto"/>
          <w:b w:val="false"/>
          <w:bCs w:val="false"/>
          <w:i w:val="false"/>
          <w:iCs w:val="false"/>
          <w:color w:val="333333"/>
          <w:sz w:val="22"/>
          <w:szCs w:val="22"/>
        </w:rPr>
        <w:t>Справка отвечает на вопрос: какие документы должна оформить организация, чтобы закрыть жизненный цикл легкового автомобиля — от покупки до выбытия. Редакция 2 переработана по итогам юридической рецензии: исправлены нормы, изменённые в 2025 году, разделены бухгалтерский и налоговый учёт, реестр рисков заменён картой обязанностей, а чек-лист перестроен по категориям обязательности. Полное обоснование — в разделах 2–9, карта обязанностей — в разделе 10, план действий и календарь сроков — в разделе 11, реестр документов — в приложении 1.</w:t>
      </w:r>
    </w:p>
    <w:p>
      <w:pPr>
        <w:pStyle w:val="ListParagraph"/>
        <w:numPr>
          <w:ilvl w:val="0"/>
          <w:numId w:val="13"/>
        </w:numPr>
        <w:spacing w:lineRule="auto" w:line="276" w:before="0" w:after="60"/>
        <w:jc w:val="both"/>
        <w:rPr/>
      </w:pPr>
      <w:r>
        <w:rPr>
          <w:rFonts w:eastAsia="Roboto" w:cs="Roboto"/>
          <w:b w:val="false"/>
          <w:bCs w:val="false"/>
          <w:i w:val="false"/>
          <w:iCs w:val="false"/>
          <w:color w:val="333333"/>
          <w:sz w:val="22"/>
          <w:szCs w:val="22"/>
        </w:rPr>
        <w:t>Единого набора «тридцати обязательных документов» не существует. Состав определяется способом приобретения, налоговым и НДС-статусом организации, возрастом автомобиля, характером поездок, наличием перевозок, трудовой функцией того, кто за рулём, и порядком личного использования. Поэтому документы в справке разделены на пять категорий: обязательные для всех, обязательные при определённых условиях, налоговые доказательства, рекомендованные внутренние контроли и договорные.</w:t>
      </w:r>
    </w:p>
    <w:p>
      <w:pPr>
        <w:pStyle w:val="ListParagraph"/>
        <w:numPr>
          <w:ilvl w:val="0"/>
          <w:numId w:val="2"/>
        </w:numPr>
        <w:spacing w:lineRule="auto" w:line="276" w:before="0" w:after="60"/>
        <w:jc w:val="both"/>
        <w:rPr/>
      </w:pPr>
      <w:r>
        <w:rPr>
          <w:rFonts w:eastAsia="Roboto" w:cs="Roboto"/>
          <w:b w:val="false"/>
          <w:bCs w:val="false"/>
          <w:i w:val="false"/>
          <w:iCs w:val="false"/>
          <w:color w:val="333333"/>
          <w:sz w:val="22"/>
          <w:szCs w:val="22"/>
        </w:rPr>
        <w:t>ОСАГО оформляется до первого использования автомобиля в дорожном движении: прежняя десятидневная отсрочка страхования отменена с 1 марта 2025 года. Изменения регистрационных данных вносятся в течение десяти дней со дня приобретения прав владельца; полис при этом больше не входит в перечень документов для регистрации.</w:t>
      </w:r>
    </w:p>
    <w:p>
      <w:pPr>
        <w:pStyle w:val="ListParagraph"/>
        <w:numPr>
          <w:ilvl w:val="0"/>
          <w:numId w:val="2"/>
        </w:numPr>
        <w:spacing w:lineRule="auto" w:line="276" w:before="0" w:after="60"/>
        <w:jc w:val="both"/>
        <w:rPr/>
      </w:pPr>
      <w:r>
        <w:rPr>
          <w:rFonts w:eastAsia="Roboto" w:cs="Roboto"/>
          <w:b w:val="false"/>
          <w:bCs w:val="false"/>
          <w:i w:val="false"/>
          <w:iCs w:val="false"/>
          <w:color w:val="333333"/>
          <w:sz w:val="22"/>
          <w:szCs w:val="22"/>
        </w:rPr>
        <w:t>Долгосрочная нагрузка сосредоточена в эксплуатации: организации нужно обеспечить доказуемость служебного характера поездок и расходов на топливо, медицинский контур для работников-водителей и управляемый порядок работы со штрафами и ДТП.</w:t>
      </w:r>
    </w:p>
    <w:p>
      <w:pPr>
        <w:pStyle w:val="ListParagraph"/>
        <w:numPr>
          <w:ilvl w:val="0"/>
          <w:numId w:val="2"/>
        </w:numPr>
        <w:spacing w:lineRule="auto" w:line="276" w:before="0" w:after="60"/>
        <w:jc w:val="both"/>
        <w:rPr/>
      </w:pPr>
      <w:r>
        <w:rPr>
          <w:rFonts w:eastAsia="Roboto" w:cs="Roboto"/>
          <w:b w:val="false"/>
          <w:bCs w:val="false"/>
          <w:i w:val="false"/>
          <w:iCs w:val="false"/>
          <w:color w:val="333333"/>
          <w:sz w:val="22"/>
          <w:szCs w:val="22"/>
        </w:rPr>
        <w:t>Если за рулём директор или менеджер, объём обязанностей определяется не названием должности, а фактической трудовой функцией и моделью использования автомобиля (разд. 6).</w:t>
      </w:r>
    </w:p>
    <w:p>
      <w:pPr>
        <w:pStyle w:val="Normal"/>
        <w:spacing w:before="120" w:after="0"/>
        <w:rPr/>
      </w:pPr>
      <w:r>
        <w:rPr/>
      </w:r>
    </w:p>
    <w:tbl>
      <w:tblPr>
        <w:tblW w:w="9071" w:type="dxa"/>
        <w:jc w:val="left"/>
        <w:tblInd w:w="0" w:type="dxa"/>
        <w:tblLayout w:type="fixed"/>
        <w:tblCellMar>
          <w:top w:w="140" w:type="dxa"/>
          <w:left w:w="200" w:type="dxa"/>
          <w:bottom w:w="140" w:type="dxa"/>
          <w:right w:w="200" w:type="dxa"/>
        </w:tblCellMar>
      </w:tblPr>
      <w:tblGrid>
        <w:gridCol w:w="9071"/>
      </w:tblGrid>
      <w:tr>
        <w:trPr>
          <w:cantSplit w:val="true"/>
        </w:trPr>
        <w:tc>
          <w:tcPr>
            <w:tcW w:w="9071" w:type="dxa"/>
            <w:tcBorders/>
            <w:shd w:fill="F5F5F5" w:val="clear"/>
          </w:tcPr>
          <w:p>
            <w:pPr>
              <w:pStyle w:val="Normal"/>
              <w:spacing w:before="0" w:after="60"/>
              <w:rPr/>
            </w:pPr>
            <w:r>
              <w:rPr>
                <w:rFonts w:eastAsia="Roboto" w:cs="Roboto"/>
                <w:b/>
                <w:bCs/>
                <w:color w:val="1F3A5F"/>
                <w:sz w:val="18"/>
                <w:szCs w:val="18"/>
              </w:rPr>
              <w:t>КЛЮЧЕВОЙ ВЫВОД</w:t>
            </w:r>
          </w:p>
          <w:p>
            <w:pPr>
              <w:pStyle w:val="Normal"/>
              <w:spacing w:lineRule="auto" w:line="276" w:before="0" w:after="0"/>
              <w:jc w:val="both"/>
              <w:rPr/>
            </w:pPr>
            <w:r>
              <w:rPr>
                <w:rFonts w:eastAsia="Roboto" w:cs="Roboto"/>
                <w:b w:val="false"/>
                <w:bCs w:val="false"/>
                <w:i w:val="false"/>
                <w:iCs w:val="false"/>
                <w:color w:val="333333"/>
                <w:sz w:val="22"/>
                <w:szCs w:val="22"/>
              </w:rPr>
              <w:t>До начала движения — ОСАГО; в течение десяти дней со дня приобретения прав владельца — изменение регистрационных данных в ГИБДД. Дальше задача организации — не «оформить один раз», а поддерживать четыре контура: учётный (бухгалтерский и налоговый учёт ведутся по разным правилам), доказательственный (служебный характер поездок и топлива), кадрово-медицинский (для работающих в качестве водителей) и административный (штрафы, ДТП, страхование, календарные сроки). Положение о служебном транспорте и назначение ответственного — необходимые управленческие меры, но они не заменяют обязательные бухгалтерские, налоговые, страховые, трудовые и административные процедуры.</w:t>
            </w:r>
          </w:p>
        </w:tc>
      </w:tr>
    </w:tbl>
    <w:p>
      <w:pPr>
        <w:pStyle w:val="Normal"/>
        <w:spacing w:before="160" w:after="0"/>
        <w:rPr/>
      </w:pPr>
      <w:r>
        <w:rPr/>
      </w:r>
    </w:p>
    <w:p>
      <w:pPr>
        <w:pStyle w:val="Heading1"/>
        <w:keepNext w:val="true"/>
        <w:numPr>
          <w:ilvl w:val="0"/>
          <w:numId w:val="1"/>
        </w:numPr>
        <w:rPr/>
      </w:pPr>
      <w:bookmarkStart w:id="1" w:name="__RefHeading___Toc885_1505658153"/>
      <w:bookmarkEnd w:id="1"/>
      <w:r>
        <w:rPr>
          <w:rFonts w:eastAsia="Roboto" w:cs="Roboto"/>
          <w:b/>
          <w:bCs/>
          <w:color w:val="1A1A1A"/>
          <w:sz w:val="24"/>
          <w:szCs w:val="24"/>
        </w:rPr>
        <w:t>Приобретение и оформление права собственности</w:t>
      </w:r>
    </w:p>
    <w:p>
      <w:pPr>
        <w:pStyle w:val="Normal"/>
        <w:keepNext w:val="false"/>
        <w:spacing w:lineRule="auto" w:line="276" w:before="0" w:after="120"/>
        <w:jc w:val="both"/>
        <w:rPr/>
      </w:pPr>
      <w:r>
        <w:rPr>
          <w:rFonts w:eastAsia="Roboto" w:cs="Roboto"/>
          <w:b w:val="false"/>
          <w:bCs w:val="false"/>
          <w:i w:val="false"/>
          <w:iCs w:val="false"/>
          <w:color w:val="333333"/>
          <w:sz w:val="22"/>
          <w:szCs w:val="22"/>
        </w:rPr>
        <w:t>Первый блок — документы сделки. Они подтверждают переход права собственности и служат первичными документами для бухгалтерского учёта и вычета НДС.</w:t>
      </w:r>
    </w:p>
    <w:p>
      <w:pPr>
        <w:pStyle w:val="ListParagraph"/>
        <w:numPr>
          <w:ilvl w:val="0"/>
          <w:numId w:val="14"/>
        </w:numPr>
        <w:spacing w:lineRule="auto" w:line="276" w:before="0" w:after="60"/>
        <w:jc w:val="both"/>
        <w:rPr/>
      </w:pPr>
      <w:r>
        <w:rPr>
          <w:rFonts w:eastAsia="Roboto" w:cs="Roboto"/>
          <w:b/>
          <w:bCs/>
          <w:i w:val="false"/>
          <w:iCs w:val="false"/>
          <w:color w:val="333333"/>
          <w:sz w:val="22"/>
          <w:szCs w:val="22"/>
        </w:rPr>
        <w:t xml:space="preserve">Договор купли-продажи </w:t>
      </w:r>
      <w:r>
        <w:rPr>
          <w:rFonts w:eastAsia="Roboto" w:cs="Roboto"/>
          <w:b w:val="false"/>
          <w:bCs w:val="false"/>
          <w:i w:val="false"/>
          <w:iCs w:val="false"/>
          <w:color w:val="333333"/>
          <w:sz w:val="22"/>
          <w:szCs w:val="22"/>
        </w:rPr>
        <w:t>с продавцом (дилером или собственником) со спецификацией: марка, модель, VIN, год выпуска, комплектация, цена, порядок оплаты и передачи. Отдельно проверить, каким моментом договор определяет переход права собственности: по общему правилу право возникает при передаче вещи, но договор может установить иной момент (ст. 223 ГК РФ).</w:t>
      </w:r>
    </w:p>
    <w:p>
      <w:pPr>
        <w:pStyle w:val="ListParagraph"/>
        <w:numPr>
          <w:ilvl w:val="0"/>
          <w:numId w:val="3"/>
        </w:numPr>
        <w:spacing w:lineRule="auto" w:line="276" w:before="0" w:after="60"/>
        <w:jc w:val="both"/>
        <w:rPr/>
      </w:pPr>
      <w:r>
        <w:rPr>
          <w:rFonts w:eastAsia="Roboto" w:cs="Roboto"/>
          <w:b/>
          <w:bCs/>
          <w:i w:val="false"/>
          <w:iCs w:val="false"/>
          <w:color w:val="333333"/>
          <w:sz w:val="22"/>
          <w:szCs w:val="22"/>
        </w:rPr>
        <w:t xml:space="preserve">Акт приёма-передачи автомобиля </w:t>
      </w:r>
      <w:r>
        <w:rPr>
          <w:rFonts w:eastAsia="Roboto" w:cs="Roboto"/>
          <w:b w:val="false"/>
          <w:bCs w:val="false"/>
          <w:i w:val="false"/>
          <w:iCs w:val="false"/>
          <w:color w:val="333333"/>
          <w:sz w:val="22"/>
          <w:szCs w:val="22"/>
        </w:rPr>
        <w:t>с фиксацией VIN, пробега, комплектации, состояния и передаваемых принадлежностей (ключи, документы). Если по договору право собственности переходит при передаче, дата акта становится днём приобретения прав владельца — от него исчисляется десятидневный срок на регистрацию.</w:t>
      </w:r>
    </w:p>
    <w:p>
      <w:pPr>
        <w:pStyle w:val="ListParagraph"/>
        <w:numPr>
          <w:ilvl w:val="0"/>
          <w:numId w:val="3"/>
        </w:numPr>
        <w:spacing w:lineRule="auto" w:line="276" w:before="0" w:after="60"/>
        <w:jc w:val="both"/>
        <w:rPr/>
      </w:pPr>
      <w:r>
        <w:rPr>
          <w:rFonts w:eastAsia="Roboto" w:cs="Roboto"/>
          <w:b/>
          <w:bCs/>
          <w:i w:val="false"/>
          <w:iCs w:val="false"/>
          <w:color w:val="333333"/>
          <w:sz w:val="22"/>
          <w:szCs w:val="22"/>
        </w:rPr>
        <w:t xml:space="preserve">Универсальный передаточный документ (УПД) </w:t>
      </w:r>
      <w:r>
        <w:rPr>
          <w:rFonts w:eastAsia="Roboto" w:cs="Roboto"/>
          <w:b w:val="false"/>
          <w:bCs w:val="false"/>
          <w:i w:val="false"/>
          <w:iCs w:val="false"/>
          <w:color w:val="333333"/>
          <w:sz w:val="22"/>
          <w:szCs w:val="22"/>
        </w:rPr>
        <w:t>либо счёт-фактура и товарная накладная — основание для вычета НДС и принятия автомобиля к учёту.</w:t>
      </w:r>
    </w:p>
    <w:p>
      <w:pPr>
        <w:pStyle w:val="ListParagraph"/>
        <w:numPr>
          <w:ilvl w:val="0"/>
          <w:numId w:val="3"/>
        </w:numPr>
        <w:spacing w:lineRule="auto" w:line="276" w:before="0" w:after="60"/>
        <w:jc w:val="both"/>
        <w:rPr/>
      </w:pPr>
      <w:r>
        <w:rPr>
          <w:rFonts w:eastAsia="Roboto" w:cs="Roboto"/>
          <w:b/>
          <w:bCs/>
          <w:i w:val="false"/>
          <w:iCs w:val="false"/>
          <w:color w:val="333333"/>
          <w:sz w:val="22"/>
          <w:szCs w:val="22"/>
        </w:rPr>
        <w:t xml:space="preserve">Платёжные документы </w:t>
      </w:r>
      <w:r>
        <w:rPr>
          <w:rFonts w:eastAsia="Roboto" w:cs="Roboto"/>
          <w:b w:val="false"/>
          <w:bCs w:val="false"/>
          <w:i w:val="false"/>
          <w:iCs w:val="false"/>
          <w:color w:val="333333"/>
          <w:sz w:val="22"/>
          <w:szCs w:val="22"/>
        </w:rPr>
        <w:t>— платёжное поручение, выписка банка.</w:t>
      </w:r>
    </w:p>
    <w:p>
      <w:pPr>
        <w:pStyle w:val="ListParagraph"/>
        <w:numPr>
          <w:ilvl w:val="0"/>
          <w:numId w:val="3"/>
        </w:numPr>
        <w:spacing w:lineRule="auto" w:line="276" w:before="0" w:after="60"/>
        <w:jc w:val="both"/>
        <w:rPr/>
      </w:pPr>
      <w:r>
        <w:rPr>
          <w:rFonts w:eastAsia="Roboto" w:cs="Roboto"/>
          <w:b/>
          <w:bCs/>
          <w:i w:val="false"/>
          <w:iCs w:val="false"/>
          <w:color w:val="333333"/>
          <w:sz w:val="22"/>
          <w:szCs w:val="22"/>
        </w:rPr>
        <w:t xml:space="preserve">Электронный паспорт транспортного средства (ЭПТС) </w:t>
      </w:r>
      <w:r>
        <w:rPr>
          <w:rFonts w:eastAsia="Roboto" w:cs="Roboto"/>
          <w:b w:val="false"/>
          <w:bCs w:val="false"/>
          <w:i w:val="false"/>
          <w:iCs w:val="false"/>
          <w:color w:val="333333"/>
          <w:sz w:val="22"/>
          <w:szCs w:val="22"/>
        </w:rPr>
        <w:t>— продавец вносит запись о смене собственника; у большинства новых автомобилей бумажного ПТС нет, статус записи стоит проверить в системе электронных паспортов до оплаты.</w:t>
      </w:r>
    </w:p>
    <w:p>
      <w:pPr>
        <w:pStyle w:val="Normal"/>
        <w:keepNext w:val="false"/>
        <w:spacing w:lineRule="auto" w:line="276" w:before="0" w:after="120"/>
        <w:jc w:val="both"/>
        <w:rPr/>
      </w:pPr>
      <w:r>
        <w:rPr>
          <w:rFonts w:eastAsia="Roboto" w:cs="Roboto"/>
          <w:b w:val="false"/>
          <w:bCs w:val="false"/>
          <w:i w:val="false"/>
          <w:iCs w:val="false"/>
          <w:color w:val="333333"/>
          <w:sz w:val="22"/>
          <w:szCs w:val="22"/>
        </w:rPr>
        <w:t>Если автомобиль приобретается в лизинг, вместо договора купли-продажи оформляется договор лизинга с графиком платежей и актом приёма-передачи предмета лизинга. Дополнительно фиксируются: балансодержатель, страхователь по каско (лизинговые компании, как правило, требуют каско на весь срок), порядок регистрации в ГИБДД (на лизингодателя или лизингополучателя) и выкупная стоимость. Учёт ведётся по правилам ФСБУ 25/2018.</w:t>
      </w:r>
    </w:p>
    <w:p>
      <w:pPr>
        <w:pStyle w:val="Heading1"/>
        <w:keepNext w:val="true"/>
        <w:numPr>
          <w:ilvl w:val="0"/>
          <w:numId w:val="1"/>
        </w:numPr>
        <w:rPr/>
      </w:pPr>
      <w:bookmarkStart w:id="2" w:name="__RefHeading___Toc887_1505658153"/>
      <w:bookmarkEnd w:id="2"/>
      <w:r>
        <w:rPr>
          <w:rFonts w:eastAsia="Roboto" w:cs="Roboto"/>
          <w:b/>
          <w:bCs/>
          <w:color w:val="1A1A1A"/>
          <w:sz w:val="24"/>
          <w:szCs w:val="24"/>
        </w:rPr>
        <w:t>ОСАГО, регистрация и допуск к дорожному движению</w:t>
      </w:r>
    </w:p>
    <w:p>
      <w:pPr>
        <w:pStyle w:val="Normal"/>
        <w:keepNext w:val="false"/>
        <w:spacing w:lineRule="auto" w:line="276" w:before="0" w:after="120"/>
        <w:jc w:val="both"/>
        <w:rPr/>
      </w:pPr>
      <w:r>
        <w:rPr>
          <w:rFonts w:eastAsia="Roboto" w:cs="Roboto"/>
          <w:b w:val="false"/>
          <w:bCs w:val="false"/>
          <w:i w:val="false"/>
          <w:iCs w:val="false"/>
          <w:color w:val="333333"/>
          <w:sz w:val="22"/>
          <w:szCs w:val="22"/>
        </w:rPr>
        <w:t>Порядок первых шагов изменился с 1 марта 2025 года, поэтому его стоит зафиксировать точно:</w:t>
      </w:r>
    </w:p>
    <w:p>
      <w:pPr>
        <w:pStyle w:val="ListParagraph"/>
        <w:numPr>
          <w:ilvl w:val="0"/>
          <w:numId w:val="15"/>
        </w:numPr>
        <w:spacing w:lineRule="auto" w:line="276" w:before="0" w:after="60"/>
        <w:jc w:val="both"/>
        <w:rPr/>
      </w:pPr>
      <w:r>
        <w:rPr>
          <w:rFonts w:eastAsia="Roboto" w:cs="Roboto"/>
          <w:b/>
          <w:bCs/>
          <w:i w:val="false"/>
          <w:iCs w:val="false"/>
          <w:color w:val="333333"/>
          <w:sz w:val="22"/>
          <w:szCs w:val="22"/>
        </w:rPr>
        <w:t xml:space="preserve">Полис ОСАГО — до первого использования автомобиля в дорожном движении. </w:t>
      </w:r>
      <w:r>
        <w:rPr>
          <w:rFonts w:eastAsia="Roboto" w:cs="Roboto"/>
          <w:b w:val="false"/>
          <w:bCs w:val="false"/>
          <w:i w:val="false"/>
          <w:iCs w:val="false"/>
          <w:color w:val="333333"/>
          <w:sz w:val="22"/>
          <w:szCs w:val="22"/>
        </w:rPr>
        <w:t>Прежний десятидневный период, в течение которого новый владелец мог ездить без страховки, отменён с 1 марта 2025 года: действующая редакция ст. 4 закона об ОСАГО требует застраховать ответственность до начала эксплуатации. Страхователь — организация.</w:t>
      </w:r>
    </w:p>
    <w:p>
      <w:pPr>
        <w:pStyle w:val="ListParagraph"/>
        <w:numPr>
          <w:ilvl w:val="0"/>
          <w:numId w:val="4"/>
        </w:numPr>
        <w:spacing w:lineRule="auto" w:line="276" w:before="0" w:after="60"/>
        <w:jc w:val="both"/>
        <w:rPr/>
      </w:pPr>
      <w:r>
        <w:rPr>
          <w:rFonts w:eastAsia="Roboto" w:cs="Roboto"/>
          <w:b/>
          <w:bCs/>
          <w:i w:val="false"/>
          <w:iCs w:val="false"/>
          <w:color w:val="333333"/>
          <w:sz w:val="22"/>
          <w:szCs w:val="22"/>
        </w:rPr>
        <w:t xml:space="preserve">Изменение регистрационных данных в ГИБДД — в течение десяти дней со дня приобретения прав владельца </w:t>
      </w:r>
      <w:r>
        <w:rPr>
          <w:rFonts w:eastAsia="Roboto" w:cs="Roboto"/>
          <w:b w:val="false"/>
          <w:bCs w:val="false"/>
          <w:i w:val="false"/>
          <w:iCs w:val="false"/>
          <w:color w:val="333333"/>
          <w:sz w:val="22"/>
          <w:szCs w:val="22"/>
        </w:rPr>
        <w:t>(ст. 8 закона № 283-ФЗ). Момент приобретения прав определяется договором и фактической передачей автомобиля (разд. 2). Полис ОСАГО с 1 марта 2025 года исключён из перечня документов для регистрационных действий: поставить автомобиль на учёт можно и без полиса, но использовать его в дорожном движении без ОСАГО нельзя. Понадобятся: заявление, документы организации и представителя (доверенность), договор, акт, выписка из ЭПТС, платёжные документы об уплате госпошлины. Результат — свидетельство о регистрации (СТС) и государственные регистрационные знаки.</w:t>
      </w:r>
    </w:p>
    <w:p>
      <w:pPr>
        <w:pStyle w:val="ListParagraph"/>
        <w:numPr>
          <w:ilvl w:val="0"/>
          <w:numId w:val="4"/>
        </w:numPr>
        <w:spacing w:lineRule="auto" w:line="276" w:before="0" w:after="60"/>
        <w:jc w:val="both"/>
        <w:rPr/>
      </w:pPr>
      <w:r>
        <w:rPr>
          <w:rFonts w:eastAsia="Roboto" w:cs="Roboto"/>
          <w:b/>
          <w:bCs/>
          <w:i w:val="false"/>
          <w:iCs w:val="false"/>
          <w:color w:val="333333"/>
          <w:sz w:val="22"/>
          <w:szCs w:val="22"/>
        </w:rPr>
        <w:t xml:space="preserve">Диагностическая карта (техосмотр) </w:t>
      </w:r>
      <w:r>
        <w:rPr>
          <w:rFonts w:eastAsia="Roboto" w:cs="Roboto"/>
          <w:b w:val="false"/>
          <w:bCs w:val="false"/>
          <w:i w:val="false"/>
          <w:iCs w:val="false"/>
          <w:color w:val="333333"/>
          <w:sz w:val="22"/>
          <w:szCs w:val="22"/>
        </w:rPr>
        <w:t>— для автомобилей организаций техосмотр обязателен (отмена 2021 года коснулась только личных автомобилей граждан). Новый автомобиль первые четыре года освобождён от техосмотра; в возрасте от четырёх до десяти лет карта оформляется раз в два года, старше десяти лет — ежегодно (ст. 15 закона № 170-ФЗ).</w:t>
      </w:r>
    </w:p>
    <w:p>
      <w:pPr>
        <w:pStyle w:val="Normal"/>
        <w:keepNext w:val="false"/>
        <w:spacing w:lineRule="auto" w:line="276" w:before="0" w:after="120"/>
        <w:jc w:val="both"/>
        <w:rPr/>
      </w:pPr>
      <w:r>
        <w:rPr>
          <w:rFonts w:eastAsia="Roboto" w:cs="Roboto"/>
          <w:b w:val="false"/>
          <w:bCs w:val="false"/>
          <w:i w:val="false"/>
          <w:iCs w:val="false"/>
          <w:color w:val="333333"/>
          <w:sz w:val="22"/>
          <w:szCs w:val="22"/>
        </w:rPr>
        <w:t>Размеры госпошлин за регистрационные действия (выдача знаков, СТС, внесение изменений в ЭПТС) периодически индексируются — актуальные суммы нужно проверить на дату обращения на портале Госуслуг.</w:t>
      </w:r>
    </w:p>
    <w:p>
      <w:pPr>
        <w:pStyle w:val="Heading1"/>
        <w:keepNext w:val="true"/>
        <w:numPr>
          <w:ilvl w:val="0"/>
          <w:numId w:val="1"/>
        </w:numPr>
        <w:rPr/>
      </w:pPr>
      <w:bookmarkStart w:id="3" w:name="__RefHeading___Toc889_1505658153"/>
      <w:bookmarkEnd w:id="3"/>
      <w:r>
        <w:rPr>
          <w:rFonts w:eastAsia="Roboto" w:cs="Roboto"/>
          <w:b/>
          <w:bCs/>
          <w:color w:val="1A1A1A"/>
          <w:sz w:val="24"/>
          <w:szCs w:val="24"/>
        </w:rPr>
        <w:t>Бухгалтерский и налоговый учёт</w:t>
      </w:r>
    </w:p>
    <w:p>
      <w:pPr>
        <w:pStyle w:val="Normal"/>
        <w:keepNext w:val="false"/>
        <w:spacing w:lineRule="auto" w:line="276" w:before="0" w:after="120"/>
        <w:jc w:val="both"/>
        <w:rPr/>
      </w:pPr>
      <w:r>
        <w:rPr>
          <w:rFonts w:eastAsia="Roboto" w:cs="Roboto"/>
          <w:b w:val="false"/>
          <w:bCs w:val="false"/>
          <w:i w:val="false"/>
          <w:iCs w:val="false"/>
          <w:color w:val="333333"/>
          <w:sz w:val="22"/>
          <w:szCs w:val="22"/>
        </w:rPr>
        <w:t>Бухгалтерский и налоговый учёт автомобиля ведутся по разным правилам — в том числе срок полезного использования определяется в каждом учёте самостоятельно. Смешение этих правил — типовая методологическая ошибка.</w:t>
      </w:r>
    </w:p>
    <w:p>
      <w:pPr>
        <w:pStyle w:val="Heading2"/>
        <w:keepNext w:val="true"/>
        <w:numPr>
          <w:ilvl w:val="1"/>
          <w:numId w:val="1"/>
        </w:numPr>
        <w:rPr/>
      </w:pPr>
      <w:bookmarkStart w:id="4" w:name="__RefHeading___Toc891_1505658153"/>
      <w:bookmarkEnd w:id="4"/>
      <w:r>
        <w:rPr>
          <w:rFonts w:eastAsia="Roboto" w:cs="Roboto"/>
          <w:b/>
          <w:bCs/>
          <w:color w:val="1A1A1A"/>
          <w:sz w:val="24"/>
          <w:szCs w:val="24"/>
        </w:rPr>
        <w:t>Бухгалтерский учёт (ФСБУ 6/2020)</w:t>
      </w:r>
    </w:p>
    <w:p>
      <w:pPr>
        <w:pStyle w:val="Normal"/>
        <w:keepNext w:val="false"/>
        <w:spacing w:lineRule="auto" w:line="276" w:before="0" w:after="120"/>
        <w:jc w:val="both"/>
        <w:rPr/>
      </w:pPr>
      <w:r>
        <w:rPr>
          <w:rFonts w:eastAsia="Roboto" w:cs="Roboto"/>
          <w:b w:val="false"/>
          <w:bCs w:val="false"/>
          <w:i w:val="false"/>
          <w:iCs w:val="false"/>
          <w:color w:val="333333"/>
          <w:sz w:val="22"/>
          <w:szCs w:val="22"/>
        </w:rPr>
        <w:t>Автомобиль принимается к учёту как основное средство: приказ о вводе в эксплуатацию (дата, первоначальная стоимость, срок полезного использования, инвентарный номер), акт приёма-передачи основного средства (форма ОС-1 или собственная форма с реквизитами закона № 402-ФЗ), инвентарная карточка (ОС-6 или собственная). Лимит стоимости основных средств организация устанавливает сама в учётной политике.</w:t>
      </w:r>
    </w:p>
    <w:p>
      <w:pPr>
        <w:pStyle w:val="Normal"/>
        <w:keepNext w:val="false"/>
        <w:spacing w:lineRule="auto" w:line="276" w:before="0" w:after="120"/>
        <w:jc w:val="both"/>
        <w:rPr/>
      </w:pPr>
      <w:r>
        <w:rPr>
          <w:rFonts w:eastAsia="Roboto" w:cs="Roboto"/>
          <w:b w:val="false"/>
          <w:bCs w:val="false"/>
          <w:i w:val="false"/>
          <w:iCs w:val="false"/>
          <w:color w:val="333333"/>
          <w:sz w:val="22"/>
          <w:szCs w:val="22"/>
        </w:rPr>
        <w:t>Срок полезного использования в бухгалтерском учёте организация определяет самостоятельно — исходя из ожидаемого периода эксплуатации, предполагаемого пробега и режима использования, физического износа, технического и морального устаревания и планов руководства по замене автомобиля. Он может совпасть с налоговым, но совпадение должно быть экономически обосновано, а не перенесено из налоговой классификации автоматически.</w:t>
      </w:r>
    </w:p>
    <w:p>
      <w:pPr>
        <w:pStyle w:val="Heading2"/>
        <w:keepNext w:val="true"/>
        <w:numPr>
          <w:ilvl w:val="1"/>
          <w:numId w:val="1"/>
        </w:numPr>
        <w:rPr/>
      </w:pPr>
      <w:bookmarkStart w:id="5" w:name="__RefHeading___Toc893_1505658153"/>
      <w:bookmarkEnd w:id="5"/>
      <w:r>
        <w:rPr>
          <w:rFonts w:eastAsia="Roboto" w:cs="Roboto"/>
          <w:b/>
          <w:bCs/>
          <w:color w:val="1A1A1A"/>
          <w:sz w:val="24"/>
          <w:szCs w:val="24"/>
        </w:rPr>
        <w:t>Налоговый учёт</w:t>
      </w:r>
    </w:p>
    <w:p>
      <w:pPr>
        <w:pStyle w:val="Normal"/>
        <w:keepNext w:val="false"/>
        <w:spacing w:lineRule="auto" w:line="276" w:before="0" w:after="120"/>
        <w:jc w:val="both"/>
        <w:rPr/>
      </w:pPr>
      <w:r>
        <w:rPr>
          <w:rFonts w:eastAsia="Roboto" w:cs="Roboto"/>
          <w:b w:val="false"/>
          <w:bCs w:val="false"/>
          <w:i w:val="false"/>
          <w:iCs w:val="false"/>
          <w:color w:val="333333"/>
          <w:sz w:val="22"/>
          <w:szCs w:val="22"/>
        </w:rPr>
        <w:t>Амортизируемым признаётся имущество дороже 100 тыс. руб. Амортизационная группа определяется по Классификации основных средств: большинство легковых автомобилей — третья группа (свыше трёх до пяти лет); автомобили большого и высшего класса, в том числе с рабочим объёмом двигателя свыше 3,5 литра, — пятая группа (свыше семи до десяти лет). Входной НДС по счёту-фактуре или УПД принимается к вычету после принятия автомобиля к учёту — при условии, что организация является плательщиком НДС и не применяет освобождение или специальные ставки без права на вычет (см. ниже про УСН).</w:t>
      </w:r>
    </w:p>
    <w:p>
      <w:pPr>
        <w:pStyle w:val="Normal"/>
        <w:keepNext w:val="true"/>
        <w:spacing w:lineRule="auto" w:line="276" w:before="120" w:after="60"/>
        <w:rPr/>
      </w:pPr>
      <w:r>
        <w:rPr>
          <w:rFonts w:eastAsia="Roboto" w:cs="Roboto"/>
          <w:i/>
          <w:iCs/>
          <w:color w:val="808080"/>
          <w:sz w:val="18"/>
          <w:szCs w:val="18"/>
        </w:rPr>
        <w:t>Табл. 1. Налоги и регулярные платежи, связанные с автомобилем</w:t>
      </w:r>
    </w:p>
    <w:tbl>
      <w:tblPr>
        <w:tblW w:w="9071" w:type="dxa"/>
        <w:jc w:val="left"/>
        <w:tblInd w:w="0" w:type="dxa"/>
        <w:tblLayout w:type="fixed"/>
        <w:tblCellMar>
          <w:top w:w="60" w:type="dxa"/>
          <w:left w:w="100" w:type="dxa"/>
          <w:bottom w:w="60" w:type="dxa"/>
          <w:right w:w="100" w:type="dxa"/>
        </w:tblCellMar>
      </w:tblPr>
      <w:tblGrid>
        <w:gridCol w:w="1900"/>
        <w:gridCol w:w="3050"/>
        <w:gridCol w:w="2050"/>
        <w:gridCol w:w="2070"/>
      </w:tblGrid>
      <w:tr>
        <w:trPr>
          <w:tblHeader w:val="true"/>
        </w:trPr>
        <w:tc>
          <w:tcPr>
            <w:tcW w:w="190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Платёж</w:t>
            </w:r>
          </w:p>
        </w:tc>
        <w:tc>
          <w:tcPr>
            <w:tcW w:w="305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База и порядок</w:t>
            </w:r>
          </w:p>
        </w:tc>
        <w:tc>
          <w:tcPr>
            <w:tcW w:w="205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Периодичность</w:t>
            </w:r>
          </w:p>
        </w:tc>
        <w:tc>
          <w:tcPr>
            <w:tcW w:w="207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Примечание</w:t>
            </w:r>
          </w:p>
        </w:tc>
      </w:tr>
      <w:tr>
        <w:trPr>
          <w:cantSplit w:val="true"/>
        </w:trPr>
        <w:tc>
          <w:tcPr>
            <w:tcW w:w="19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Транспортный налог</w:t>
            </w:r>
          </w:p>
        </w:tc>
        <w:tc>
          <w:tcPr>
            <w:tcW w:w="305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Мощность двигателя × ставка региона; налог считает организация, ФНС присылает сообщение для сверки</w:t>
            </w:r>
          </w:p>
        </w:tc>
        <w:tc>
          <w:tcPr>
            <w:tcW w:w="205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Авансовые платежи поквартально (если установлены регионом), налог — по итогам года</w:t>
            </w:r>
          </w:p>
        </w:tc>
        <w:tc>
          <w:tcPr>
            <w:tcW w:w="207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Уплата в составе единого налогового платежа, подача уведомлений об исчисленных суммах</w:t>
            </w:r>
          </w:p>
        </w:tc>
      </w:tr>
      <w:tr>
        <w:trPr>
          <w:cantSplit w:val="true"/>
        </w:trPr>
        <w:tc>
          <w:tcPr>
            <w:tcW w:w="19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Повышающий коэффициент («налог на роскошь»)</w:t>
            </w:r>
          </w:p>
        </w:tc>
        <w:tc>
          <w:tcPr>
            <w:tcW w:w="305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Коэффициент 3 к транспортному налогу для автомобилей из перечня Минпромторга (стоимостью от 10 млн руб.)</w:t>
            </w:r>
          </w:p>
        </w:tc>
        <w:tc>
          <w:tcPr>
            <w:tcW w:w="205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Вместе с транспортным налогом</w:t>
            </w:r>
          </w:p>
        </w:tc>
        <w:tc>
          <w:tcPr>
            <w:tcW w:w="207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Перечень обновляется ежегодно; проверить модель на сайте Минпромторга</w:t>
            </w:r>
          </w:p>
        </w:tc>
      </w:tr>
      <w:tr>
        <w:trPr>
          <w:cantSplit w:val="true"/>
        </w:trPr>
        <w:tc>
          <w:tcPr>
            <w:tcW w:w="19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Налог на имущество организаций</w:t>
            </w:r>
          </w:p>
        </w:tc>
        <w:tc>
          <w:tcPr>
            <w:tcW w:w="305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Не уплачивается: движимое имущество объектом налогообложения не является</w:t>
            </w:r>
          </w:p>
        </w:tc>
        <w:tc>
          <w:tcPr>
            <w:tcW w:w="205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w:t>
            </w:r>
          </w:p>
        </w:tc>
        <w:tc>
          <w:tcPr>
            <w:tcW w:w="207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Актуально для общего режима</w:t>
            </w:r>
          </w:p>
        </w:tc>
      </w:tr>
      <w:tr>
        <w:trPr>
          <w:cantSplit w:val="true"/>
        </w:trPr>
        <w:tc>
          <w:tcPr>
            <w:tcW w:w="19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ОСАГО</w:t>
            </w:r>
          </w:p>
        </w:tc>
        <w:tc>
          <w:tcPr>
            <w:tcW w:w="305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Страховая премия по тарифу страховщика</w:t>
            </w:r>
          </w:p>
        </w:tc>
        <w:tc>
          <w:tcPr>
            <w:tcW w:w="205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Ежегодно</w:t>
            </w:r>
          </w:p>
        </w:tc>
        <w:tc>
          <w:tcPr>
            <w:tcW w:w="207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Контроль срока — в календаре ответственного</w:t>
            </w:r>
          </w:p>
        </w:tc>
      </w:tr>
      <w:tr>
        <w:trPr>
          <w:cantSplit w:val="true"/>
        </w:trPr>
        <w:tc>
          <w:tcPr>
            <w:tcW w:w="19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Техосмотр</w:t>
            </w:r>
          </w:p>
        </w:tc>
        <w:tc>
          <w:tcPr>
            <w:tcW w:w="305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Стоимость диагностической карты</w:t>
            </w:r>
          </w:p>
        </w:tc>
        <w:tc>
          <w:tcPr>
            <w:tcW w:w="205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 возрасту автомобиля (разд. 3)</w:t>
            </w:r>
          </w:p>
        </w:tc>
        <w:tc>
          <w:tcPr>
            <w:tcW w:w="207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Для автомобилей организаций обязателен</w:t>
            </w:r>
          </w:p>
        </w:tc>
      </w:tr>
    </w:tbl>
    <w:p>
      <w:pPr>
        <w:pStyle w:val="Normal"/>
        <w:spacing w:lineRule="auto" w:line="276" w:before="60" w:after="160"/>
        <w:rPr/>
      </w:pPr>
      <w:r>
        <w:rPr>
          <w:rFonts w:eastAsia="Roboto" w:cs="Roboto"/>
          <w:i/>
          <w:iCs/>
          <w:color w:val="808080"/>
          <w:sz w:val="18"/>
          <w:szCs w:val="18"/>
        </w:rPr>
        <w:t>Источник: гл. 28 НК РФ, ФСБУ 6/2020, Классификация основных средств (постановление Правительства РФ № 1); детали — в разд. 12</w:t>
      </w:r>
    </w:p>
    <w:p>
      <w:pPr>
        <w:pStyle w:val="Heading2"/>
        <w:keepNext w:val="true"/>
        <w:numPr>
          <w:ilvl w:val="1"/>
          <w:numId w:val="1"/>
        </w:numPr>
        <w:rPr/>
      </w:pPr>
      <w:bookmarkStart w:id="6" w:name="__RefHeading___Toc895_1505658153"/>
      <w:bookmarkEnd w:id="6"/>
      <w:r>
        <w:rPr>
          <w:rFonts w:eastAsia="Roboto" w:cs="Roboto"/>
          <w:b/>
          <w:bCs/>
          <w:color w:val="1A1A1A"/>
          <w:sz w:val="24"/>
          <w:szCs w:val="24"/>
        </w:rPr>
        <w:t>УСН и НДС</w:t>
      </w:r>
    </w:p>
    <w:p>
      <w:pPr>
        <w:pStyle w:val="Normal"/>
        <w:keepNext w:val="false"/>
        <w:spacing w:lineRule="auto" w:line="276" w:before="0" w:after="120"/>
        <w:jc w:val="both"/>
        <w:rPr/>
      </w:pPr>
      <w:r>
        <w:rPr>
          <w:rFonts w:eastAsia="Roboto" w:cs="Roboto"/>
          <w:b w:val="false"/>
          <w:bCs w:val="false"/>
          <w:i w:val="false"/>
          <w:iCs w:val="false"/>
          <w:color w:val="333333"/>
          <w:sz w:val="22"/>
          <w:szCs w:val="22"/>
        </w:rPr>
        <w:t>С 2025 года организации на УСН являются плательщиками НДС; для части из них действует освобождение. В 2026 году НДС-статус зависит от доходов: при доходах за 2025 год не более 20 млн руб. действует освобождение; при превышении лимита организация исчисляет НДС — либо по специальным ставкам 5% или 7% без права на вычет входного налога, либо по общеустановленной ставке с вычетом. Отсюда следствия для автомобиля: при общеустановленной ставке входной НДС принимается к вычету; при освобождении или специальных ставках — учитывается в стоимости как невозмещаемый налог. Обязанность начислить НДС при последующей продаже автомобиля определяется НДС-статусом организации на момент реализации, а не самим фактом применения УСН.</w:t>
      </w:r>
    </w:p>
    <w:p>
      <w:pPr>
        <w:pStyle w:val="Normal"/>
        <w:keepNext w:val="false"/>
        <w:spacing w:lineRule="auto" w:line="276" w:before="0" w:after="120"/>
        <w:jc w:val="both"/>
        <w:rPr/>
      </w:pPr>
      <w:r>
        <w:rPr>
          <w:rFonts w:eastAsia="Roboto" w:cs="Roboto"/>
          <w:b/>
          <w:bCs/>
          <w:i w:val="false"/>
          <w:iCs w:val="false"/>
          <w:color w:val="333333"/>
          <w:sz w:val="22"/>
          <w:szCs w:val="22"/>
        </w:rPr>
        <w:t xml:space="preserve">Списание стоимости и ранняя продажа. </w:t>
      </w:r>
      <w:r>
        <w:rPr>
          <w:rFonts w:eastAsia="Roboto" w:cs="Roboto"/>
          <w:b w:val="false"/>
          <w:bCs w:val="false"/>
          <w:i w:val="false"/>
          <w:iCs w:val="false"/>
          <w:color w:val="333333"/>
          <w:sz w:val="22"/>
          <w:szCs w:val="22"/>
        </w:rPr>
        <w:t>При УСН «доходы минус расходы» стоимость автомобиля, приобретённого в период применения УСН, оплаченного и введённого в эксплуатацию, списывается в расходы равными долями по отчётным периодам до конца года. Важное последствие ранней продажи: если автомобиль реализован до истечения трёх лет с момента учёта расходов, налоговую базу за прошлые периоды необходимо пересчитать по правилам гл. 25 НК РФ (амортизация вместо единовременного списания) и доплатить налог и пени (п. 3 ст. 346.16 НК РФ).</w:t>
      </w:r>
    </w:p>
    <w:p>
      <w:pPr>
        <w:pStyle w:val="Heading1"/>
        <w:keepNext w:val="true"/>
        <w:numPr>
          <w:ilvl w:val="0"/>
          <w:numId w:val="1"/>
        </w:numPr>
        <w:rPr/>
      </w:pPr>
      <w:bookmarkStart w:id="7" w:name="__RefHeading___Toc897_1505658153"/>
      <w:bookmarkEnd w:id="7"/>
      <w:r>
        <w:rPr>
          <w:rFonts w:eastAsia="Roboto" w:cs="Roboto"/>
          <w:b/>
          <w:bCs/>
          <w:color w:val="1A1A1A"/>
          <w:sz w:val="24"/>
          <w:szCs w:val="24"/>
        </w:rPr>
        <w:t>Внутренние организационно-распорядительные документы</w:t>
      </w:r>
    </w:p>
    <w:p>
      <w:pPr>
        <w:pStyle w:val="Normal"/>
        <w:keepNext w:val="false"/>
        <w:spacing w:lineRule="auto" w:line="276" w:before="0" w:after="120"/>
        <w:jc w:val="both"/>
        <w:rPr/>
      </w:pPr>
      <w:r>
        <w:rPr>
          <w:rFonts w:eastAsia="Roboto" w:cs="Roboto"/>
          <w:b w:val="false"/>
          <w:bCs w:val="false"/>
          <w:i w:val="false"/>
          <w:iCs w:val="false"/>
          <w:color w:val="333333"/>
          <w:sz w:val="22"/>
          <w:szCs w:val="22"/>
        </w:rPr>
        <w:t>Внутренние документы — управленческий контур: они распределяют ответственность, фиксируют порядок использования автомобиля и создают доказательственную базу. При этом они не изменяют требования трудового, налогового и административного законодательства и не заменяют обязательные процедуры.</w:t>
      </w:r>
    </w:p>
    <w:p>
      <w:pPr>
        <w:pStyle w:val="Normal"/>
        <w:keepNext w:val="true"/>
        <w:spacing w:lineRule="auto" w:line="276" w:before="120" w:after="60"/>
        <w:rPr/>
      </w:pPr>
      <w:r>
        <w:rPr>
          <w:rFonts w:eastAsia="Roboto" w:cs="Roboto"/>
          <w:i/>
          <w:iCs/>
          <w:color w:val="808080"/>
          <w:sz w:val="18"/>
          <w:szCs w:val="18"/>
        </w:rPr>
        <w:t>Табл. 2. Пакет внутренних документов организации</w:t>
      </w:r>
    </w:p>
    <w:tbl>
      <w:tblPr>
        <w:tblW w:w="9071" w:type="dxa"/>
        <w:jc w:val="left"/>
        <w:tblInd w:w="0" w:type="dxa"/>
        <w:tblLayout w:type="fixed"/>
        <w:tblCellMar>
          <w:top w:w="60" w:type="dxa"/>
          <w:left w:w="100" w:type="dxa"/>
          <w:bottom w:w="60" w:type="dxa"/>
          <w:right w:w="100" w:type="dxa"/>
        </w:tblCellMar>
      </w:tblPr>
      <w:tblGrid>
        <w:gridCol w:w="2800"/>
        <w:gridCol w:w="4200"/>
        <w:gridCol w:w="2071"/>
      </w:tblGrid>
      <w:tr>
        <w:trPr>
          <w:tblHeader w:val="true"/>
        </w:trPr>
        <w:tc>
          <w:tcPr>
            <w:tcW w:w="280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Документ</w:t>
            </w:r>
          </w:p>
        </w:tc>
        <w:tc>
          <w:tcPr>
            <w:tcW w:w="420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Что закрепляет</w:t>
            </w:r>
          </w:p>
        </w:tc>
        <w:tc>
          <w:tcPr>
            <w:tcW w:w="2071"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Когда оформляется</w:t>
            </w:r>
          </w:p>
        </w:tc>
      </w:tr>
      <w:tr>
        <w:trPr>
          <w:cantSplit w:val="true"/>
        </w:trPr>
        <w:tc>
          <w:tcPr>
            <w:tcW w:w="28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Положение о служебном транспорте</w:t>
            </w:r>
          </w:p>
        </w:tc>
        <w:tc>
          <w:tcPr>
            <w:tcW w:w="42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Порядок использования автомобилей: кто и на каком основании ездит, закрепление, заправка, обслуживание, парковка, порядок действий при ДТП и штрафах, запрет либо порядок использования в личных целях</w:t>
            </w:r>
          </w:p>
        </w:tc>
        <w:tc>
          <w:tcPr>
            <w:tcW w:w="207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Один раз, до начала эксплуатации</w:t>
            </w:r>
          </w:p>
        </w:tc>
      </w:tr>
      <w:tr>
        <w:trPr>
          <w:cantSplit w:val="true"/>
        </w:trPr>
        <w:tc>
          <w:tcPr>
            <w:tcW w:w="28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Приказ о вводе автомобиля в эксплуатацию</w:t>
            </w:r>
          </w:p>
        </w:tc>
        <w:tc>
          <w:tcPr>
            <w:tcW w:w="42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Дата ввода, первоначальная стоимость, сроки полезного использования (бухгалтерский и налоговый), инвентарный номер</w:t>
            </w:r>
          </w:p>
        </w:tc>
        <w:tc>
          <w:tcPr>
            <w:tcW w:w="207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При принятии к учёту</w:t>
            </w:r>
          </w:p>
        </w:tc>
      </w:tr>
      <w:tr>
        <w:trPr>
          <w:cantSplit w:val="true"/>
        </w:trPr>
        <w:tc>
          <w:tcPr>
            <w:tcW w:w="28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Приказ о назначении ответственного за автомобиль</w:t>
            </w:r>
          </w:p>
        </w:tc>
        <w:tc>
          <w:tcPr>
            <w:tcW w:w="42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Сотрудник, отвечающий за техническое состояние, документы, страховки, ТО и календарь сроков; функции распределяются между административной службой, бухгалтерией, кадрами и руководителем</w:t>
            </w:r>
          </w:p>
        </w:tc>
        <w:tc>
          <w:tcPr>
            <w:tcW w:w="207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 начала эксплуатации</w:t>
            </w:r>
          </w:p>
        </w:tc>
      </w:tr>
      <w:tr>
        <w:trPr>
          <w:cantSplit w:val="true"/>
        </w:trPr>
        <w:tc>
          <w:tcPr>
            <w:tcW w:w="28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Приказ о закреплении автомобиля за водителем (сотрудником)</w:t>
            </w:r>
          </w:p>
        </w:tc>
        <w:tc>
          <w:tcPr>
            <w:tcW w:w="42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Кто управляет автомобилем; передача — по акту приёма-передачи с фиксацией состояния</w:t>
            </w:r>
          </w:p>
        </w:tc>
        <w:tc>
          <w:tcPr>
            <w:tcW w:w="207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До первого выезда; при смене водителя</w:t>
            </w:r>
          </w:p>
        </w:tc>
      </w:tr>
      <w:tr>
        <w:trPr>
          <w:cantSplit w:val="true"/>
        </w:trPr>
        <w:tc>
          <w:tcPr>
            <w:tcW w:w="28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Приказ об утверждении норм расхода топлива</w:t>
            </w:r>
          </w:p>
        </w:tc>
        <w:tc>
          <w:tcPr>
            <w:tcW w:w="42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Базовые и сезонные нормы; за основу берутся методические рекомендации Минтранса (АМ-23-р) или данные завода-изготовителя и контрольные замеры</w:t>
            </w:r>
          </w:p>
        </w:tc>
        <w:tc>
          <w:tcPr>
            <w:tcW w:w="207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Один раз; пересмотр по сезону</w:t>
            </w:r>
          </w:p>
        </w:tc>
      </w:tr>
      <w:tr>
        <w:trPr>
          <w:cantSplit w:val="true"/>
        </w:trPr>
        <w:tc>
          <w:tcPr>
            <w:tcW w:w="28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Приказ о лимитах эксплуатационных расходов</w:t>
            </w:r>
          </w:p>
        </w:tc>
        <w:tc>
          <w:tcPr>
            <w:tcW w:w="42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Лимиты на мойку, парковку, мелкий ремонт; порядок выдачи подотчётных средств</w:t>
            </w:r>
          </w:p>
        </w:tc>
        <w:tc>
          <w:tcPr>
            <w:tcW w:w="207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По усмотрению организации</w:t>
            </w:r>
          </w:p>
        </w:tc>
      </w:tr>
      <w:tr>
        <w:trPr>
          <w:cantSplit w:val="true"/>
        </w:trPr>
        <w:tc>
          <w:tcPr>
            <w:tcW w:w="28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Журнал учёта путевых листов; журналы медосмотров и инструктажей</w:t>
            </w:r>
          </w:p>
        </w:tc>
        <w:tc>
          <w:tcPr>
            <w:tcW w:w="42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Регистрация выданных путевых листов, отметок медосмотров, инструктажей водителей</w:t>
            </w:r>
          </w:p>
        </w:tc>
        <w:tc>
          <w:tcPr>
            <w:tcW w:w="207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Ведутся постоянно</w:t>
            </w:r>
          </w:p>
        </w:tc>
      </w:tr>
    </w:tbl>
    <w:p>
      <w:pPr>
        <w:pStyle w:val="Normal"/>
        <w:spacing w:lineRule="auto" w:line="276" w:before="60" w:after="160"/>
        <w:rPr/>
      </w:pPr>
      <w:r>
        <w:rPr>
          <w:rFonts w:eastAsia="Roboto" w:cs="Roboto"/>
          <w:i/>
          <w:iCs/>
          <w:color w:val="808080"/>
          <w:sz w:val="18"/>
          <w:szCs w:val="18"/>
        </w:rPr>
        <w:t>Источник: практика документооборота; обязательность отдельных процедур — в разд. 6–7 и 10</w:t>
      </w:r>
    </w:p>
    <w:p>
      <w:pPr>
        <w:pStyle w:val="Heading1"/>
        <w:keepNext w:val="true"/>
        <w:numPr>
          <w:ilvl w:val="0"/>
          <w:numId w:val="1"/>
        </w:numPr>
        <w:rPr/>
      </w:pPr>
      <w:bookmarkStart w:id="8" w:name="__RefHeading___Toc899_1505658153"/>
      <w:bookmarkEnd w:id="8"/>
      <w:r>
        <w:rPr>
          <w:rFonts w:eastAsia="Roboto" w:cs="Roboto"/>
          <w:b/>
          <w:bCs/>
          <w:color w:val="1A1A1A"/>
          <w:sz w:val="24"/>
          <w:szCs w:val="24"/>
        </w:rPr>
        <w:t>Водители: кадровые документы, медосмотры, ответственность</w:t>
      </w:r>
    </w:p>
    <w:p>
      <w:pPr>
        <w:pStyle w:val="Heading2"/>
        <w:keepNext w:val="true"/>
        <w:numPr>
          <w:ilvl w:val="1"/>
          <w:numId w:val="1"/>
        </w:numPr>
        <w:rPr/>
      </w:pPr>
      <w:bookmarkStart w:id="9" w:name="__RefHeading___Toc901_1505658153"/>
      <w:bookmarkEnd w:id="9"/>
      <w:r>
        <w:rPr>
          <w:rFonts w:eastAsia="Roboto" w:cs="Roboto"/>
          <w:b/>
          <w:bCs/>
          <w:color w:val="1A1A1A"/>
          <w:sz w:val="24"/>
          <w:szCs w:val="24"/>
        </w:rPr>
        <w:t>Штатный водитель</w:t>
      </w:r>
    </w:p>
    <w:p>
      <w:pPr>
        <w:pStyle w:val="Normal"/>
        <w:keepNext w:val="false"/>
        <w:spacing w:lineRule="auto" w:line="276" w:before="0" w:after="120"/>
        <w:jc w:val="both"/>
        <w:rPr/>
      </w:pPr>
      <w:r>
        <w:rPr>
          <w:rFonts w:eastAsia="Roboto" w:cs="Roboto"/>
          <w:b w:val="false"/>
          <w:bCs w:val="false"/>
          <w:i w:val="false"/>
          <w:iCs w:val="false"/>
          <w:color w:val="333333"/>
          <w:sz w:val="22"/>
          <w:szCs w:val="22"/>
        </w:rPr>
        <w:t>Если автомобилем управляет сотрудник, работающий в качестве водителя, оформляются трудовой договор и должностная инструкция с функцией управления автомобилем, копия водительского удостоверения соответствующей категории. Медицинский контур для такого работника включает:</w:t>
      </w:r>
    </w:p>
    <w:p>
      <w:pPr>
        <w:pStyle w:val="ListParagraph"/>
        <w:numPr>
          <w:ilvl w:val="0"/>
          <w:numId w:val="16"/>
        </w:numPr>
        <w:spacing w:lineRule="auto" w:line="276" w:before="0" w:after="60"/>
        <w:jc w:val="both"/>
        <w:rPr/>
      </w:pPr>
      <w:r>
        <w:rPr>
          <w:rFonts w:eastAsia="Roboto" w:cs="Roboto"/>
          <w:b/>
          <w:bCs/>
          <w:i w:val="false"/>
          <w:iCs w:val="false"/>
          <w:color w:val="333333"/>
          <w:sz w:val="22"/>
          <w:szCs w:val="22"/>
        </w:rPr>
        <w:t xml:space="preserve">предварительный медицинский осмотр </w:t>
      </w:r>
      <w:r>
        <w:rPr>
          <w:rFonts w:eastAsia="Roboto" w:cs="Roboto"/>
          <w:b w:val="false"/>
          <w:bCs w:val="false"/>
          <w:i w:val="false"/>
          <w:iCs w:val="false"/>
          <w:color w:val="333333"/>
          <w:sz w:val="22"/>
          <w:szCs w:val="22"/>
        </w:rPr>
        <w:t>— при приёме на работу;</w:t>
      </w:r>
    </w:p>
    <w:p>
      <w:pPr>
        <w:pStyle w:val="ListParagraph"/>
        <w:numPr>
          <w:ilvl w:val="0"/>
          <w:numId w:val="5"/>
        </w:numPr>
        <w:spacing w:lineRule="auto" w:line="276" w:before="0" w:after="60"/>
        <w:jc w:val="both"/>
        <w:rPr/>
      </w:pPr>
      <w:r>
        <w:rPr>
          <w:rFonts w:eastAsia="Roboto" w:cs="Roboto"/>
          <w:b/>
          <w:bCs/>
          <w:i w:val="false"/>
          <w:iCs w:val="false"/>
          <w:color w:val="333333"/>
          <w:sz w:val="22"/>
          <w:szCs w:val="22"/>
        </w:rPr>
        <w:t xml:space="preserve">периодические медицинские осмотры </w:t>
      </w:r>
      <w:r>
        <w:rPr>
          <w:rFonts w:eastAsia="Roboto" w:cs="Roboto"/>
          <w:b w:val="false"/>
          <w:bCs w:val="false"/>
          <w:i w:val="false"/>
          <w:iCs w:val="false"/>
          <w:color w:val="333333"/>
          <w:sz w:val="22"/>
          <w:szCs w:val="22"/>
        </w:rPr>
        <w:t>— не реже одного раза в два года;</w:t>
      </w:r>
    </w:p>
    <w:p>
      <w:pPr>
        <w:pStyle w:val="ListParagraph"/>
        <w:numPr>
          <w:ilvl w:val="0"/>
          <w:numId w:val="5"/>
        </w:numPr>
        <w:spacing w:lineRule="auto" w:line="276" w:before="0" w:after="60"/>
        <w:jc w:val="both"/>
        <w:rPr/>
      </w:pPr>
      <w:r>
        <w:rPr>
          <w:rFonts w:eastAsia="Roboto" w:cs="Roboto"/>
          <w:b/>
          <w:bCs/>
          <w:i w:val="false"/>
          <w:iCs w:val="false"/>
          <w:color w:val="333333"/>
          <w:sz w:val="22"/>
          <w:szCs w:val="22"/>
        </w:rPr>
        <w:t xml:space="preserve">предрейсовые медицинские осмотры </w:t>
      </w:r>
      <w:r>
        <w:rPr>
          <w:rFonts w:eastAsia="Roboto" w:cs="Roboto"/>
          <w:b w:val="false"/>
          <w:bCs w:val="false"/>
          <w:i w:val="false"/>
          <w:iCs w:val="false"/>
          <w:color w:val="333333"/>
          <w:sz w:val="22"/>
          <w:szCs w:val="22"/>
        </w:rPr>
        <w:t>— обязательны для работников, занятых в качестве водителей (ст. 23 закона № 196-ФЗ, порядок — приказ Минздрава № 266н); проводятся штатным медработником или по договору с медицинской организацией, отметка — в путевом листе и журнале;</w:t>
      </w:r>
    </w:p>
    <w:p>
      <w:pPr>
        <w:pStyle w:val="ListParagraph"/>
        <w:numPr>
          <w:ilvl w:val="0"/>
          <w:numId w:val="5"/>
        </w:numPr>
        <w:spacing w:lineRule="auto" w:line="276" w:before="0" w:after="60"/>
        <w:jc w:val="both"/>
        <w:rPr/>
      </w:pPr>
      <w:r>
        <w:rPr>
          <w:rFonts w:eastAsia="Roboto" w:cs="Roboto"/>
          <w:b/>
          <w:bCs/>
          <w:i w:val="false"/>
          <w:iCs w:val="false"/>
          <w:color w:val="333333"/>
          <w:sz w:val="22"/>
          <w:szCs w:val="22"/>
        </w:rPr>
        <w:t xml:space="preserve">послерейсовые медицинские осмотры </w:t>
      </w:r>
      <w:r>
        <w:rPr>
          <w:rFonts w:eastAsia="Roboto" w:cs="Roboto"/>
          <w:b w:val="false"/>
          <w:bCs w:val="false"/>
          <w:i w:val="false"/>
          <w:iCs w:val="false"/>
          <w:color w:val="333333"/>
          <w:sz w:val="22"/>
          <w:szCs w:val="22"/>
        </w:rPr>
        <w:t>— обязательны не для всех: в частности, при перевозках пассажиров или опасных грузов;</w:t>
      </w:r>
    </w:p>
    <w:p>
      <w:pPr>
        <w:pStyle w:val="ListParagraph"/>
        <w:numPr>
          <w:ilvl w:val="0"/>
          <w:numId w:val="5"/>
        </w:numPr>
        <w:spacing w:lineRule="auto" w:line="276" w:before="0" w:after="60"/>
        <w:jc w:val="both"/>
        <w:rPr/>
      </w:pPr>
      <w:r>
        <w:rPr>
          <w:rFonts w:eastAsia="Roboto" w:cs="Roboto"/>
          <w:b/>
          <w:bCs/>
          <w:i w:val="false"/>
          <w:iCs w:val="false"/>
          <w:color w:val="333333"/>
          <w:sz w:val="22"/>
          <w:szCs w:val="22"/>
        </w:rPr>
        <w:t xml:space="preserve">дистанционные медосмотры </w:t>
      </w:r>
      <w:r>
        <w:rPr>
          <w:rFonts w:eastAsia="Roboto" w:cs="Roboto"/>
          <w:b w:val="false"/>
          <w:bCs w:val="false"/>
          <w:i w:val="false"/>
          <w:iCs w:val="false"/>
          <w:color w:val="333333"/>
          <w:sz w:val="22"/>
          <w:szCs w:val="22"/>
        </w:rPr>
        <w:t>— допускаются с использованием зарегистрированных медицинских изделий, но при их применении не реже двух раз в год работник проходит очные осмотры с химико-токсикологическими исследованиями;</w:t>
      </w:r>
    </w:p>
    <w:p>
      <w:pPr>
        <w:pStyle w:val="ListParagraph"/>
        <w:numPr>
          <w:ilvl w:val="0"/>
          <w:numId w:val="5"/>
        </w:numPr>
        <w:spacing w:lineRule="auto" w:line="276" w:before="0" w:after="60"/>
        <w:jc w:val="both"/>
        <w:rPr/>
      </w:pPr>
      <w:r>
        <w:rPr>
          <w:rFonts w:eastAsia="Roboto" w:cs="Roboto"/>
          <w:b/>
          <w:bCs/>
          <w:i w:val="false"/>
          <w:iCs w:val="false"/>
          <w:color w:val="333333"/>
          <w:sz w:val="22"/>
          <w:szCs w:val="22"/>
        </w:rPr>
        <w:t xml:space="preserve">инструктажи по безопасности дорожного движения </w:t>
      </w:r>
      <w:r>
        <w:rPr>
          <w:rFonts w:eastAsia="Roboto" w:cs="Roboto"/>
          <w:b w:val="false"/>
          <w:bCs w:val="false"/>
          <w:i w:val="false"/>
          <w:iCs w:val="false"/>
          <w:color w:val="333333"/>
          <w:sz w:val="22"/>
          <w:szCs w:val="22"/>
        </w:rPr>
        <w:t>— вводный и периодические, с записью в журнале.</w:t>
      </w:r>
    </w:p>
    <w:p>
      <w:pPr>
        <w:pStyle w:val="Normal"/>
        <w:keepNext w:val="false"/>
        <w:spacing w:lineRule="auto" w:line="276" w:before="0" w:after="120"/>
        <w:jc w:val="both"/>
        <w:rPr/>
      </w:pPr>
      <w:r>
        <w:rPr>
          <w:rFonts w:eastAsia="Roboto" w:cs="Roboto"/>
          <w:b/>
          <w:bCs/>
          <w:i w:val="false"/>
          <w:iCs w:val="false"/>
          <w:color w:val="333333"/>
          <w:sz w:val="22"/>
          <w:szCs w:val="22"/>
        </w:rPr>
        <w:t xml:space="preserve">Материальная ответственность. </w:t>
      </w:r>
      <w:r>
        <w:rPr>
          <w:rFonts w:eastAsia="Roboto" w:cs="Roboto"/>
          <w:b w:val="false"/>
          <w:bCs w:val="false"/>
          <w:i w:val="false"/>
          <w:iCs w:val="false"/>
          <w:color w:val="333333"/>
          <w:sz w:val="22"/>
          <w:szCs w:val="22"/>
        </w:rPr>
        <w:t>Должность водителя не входит в перечни должностей, с которыми допускается заключать договор о полной материальной ответственности (с 1 сентября 2025 года действуют перечни приказа Минтруда № 251н, заменившие постановление № 85; подход не изменился). Поэтому договор о полной материальной ответственности за сам автомобиль силы иметь не будет; полная ответственность возможна за вверенные для перевозки ценности (водитель-экспедитор) либо по общим основаниям ст. 243 ТК РФ (умысел, опьянение, административное правонарушение, установленное госорганом, и другие). Автомобиль передаётся по акту; порядок взыскания ущерба — в разд. 8.</w:t>
      </w:r>
    </w:p>
    <w:p>
      <w:pPr>
        <w:pStyle w:val="Heading2"/>
        <w:keepNext w:val="true"/>
        <w:numPr>
          <w:ilvl w:val="1"/>
          <w:numId w:val="1"/>
        </w:numPr>
        <w:rPr/>
      </w:pPr>
      <w:bookmarkStart w:id="10" w:name="__RefHeading___Toc903_1505658153"/>
      <w:bookmarkEnd w:id="10"/>
      <w:r>
        <w:rPr>
          <w:rFonts w:eastAsia="Roboto" w:cs="Roboto"/>
          <w:b/>
          <w:bCs/>
          <w:color w:val="1A1A1A"/>
          <w:sz w:val="24"/>
          <w:szCs w:val="24"/>
        </w:rPr>
        <w:t>За рулём — директор или менеджер</w:t>
      </w:r>
    </w:p>
    <w:p>
      <w:pPr>
        <w:pStyle w:val="Normal"/>
        <w:keepNext w:val="false"/>
        <w:spacing w:lineRule="auto" w:line="276" w:before="0" w:after="120"/>
        <w:jc w:val="both"/>
        <w:rPr/>
      </w:pPr>
      <w:r>
        <w:rPr>
          <w:rFonts w:eastAsia="Roboto" w:cs="Roboto"/>
          <w:b w:val="false"/>
          <w:bCs w:val="false"/>
          <w:i w:val="false"/>
          <w:iCs w:val="false"/>
          <w:color w:val="333333"/>
          <w:sz w:val="22"/>
          <w:szCs w:val="22"/>
        </w:rPr>
        <w:t>Распространённая ситуация: автомобиль закреплён за руководителем или сотрудником, для которого управление автомобилем не является трудовой функцией. Юридическое значение здесь имеет не название должности, а совокупность обстоятельств: входит ли управление автомобилем в трудовую функцию, является ли оно регулярной частью работы, осуществляются ли перевозки пассажиров или грузов, кто фактически организует эксплуатацию транспорта. Сам по себе факт, что директор иногда управляет служебным автомобилем, не превращает его в работника, занятого в качестве водителя. При этом практика контролирующих органов и судов по таким ситуациям противоречива.</w:t>
      </w:r>
    </w:p>
    <w:tbl>
      <w:tblPr>
        <w:tblW w:w="9071" w:type="dxa"/>
        <w:jc w:val="left"/>
        <w:tblInd w:w="0" w:type="dxa"/>
        <w:tblLayout w:type="fixed"/>
        <w:tblCellMar>
          <w:top w:w="140" w:type="dxa"/>
          <w:left w:w="200" w:type="dxa"/>
          <w:bottom w:w="140" w:type="dxa"/>
          <w:right w:w="200" w:type="dxa"/>
        </w:tblCellMar>
      </w:tblPr>
      <w:tblGrid>
        <w:gridCol w:w="9071"/>
      </w:tblGrid>
      <w:tr>
        <w:trPr>
          <w:cantSplit w:val="true"/>
        </w:trPr>
        <w:tc>
          <w:tcPr>
            <w:tcW w:w="9071" w:type="dxa"/>
            <w:tcBorders/>
            <w:shd w:fill="F5F5F5" w:val="clear"/>
          </w:tcPr>
          <w:p>
            <w:pPr>
              <w:pStyle w:val="Normal"/>
              <w:spacing w:before="0" w:after="60"/>
              <w:rPr/>
            </w:pPr>
            <w:r>
              <w:rPr>
                <w:rFonts w:eastAsia="Roboto" w:cs="Roboto"/>
                <w:b/>
                <w:bCs/>
                <w:color w:val="C77B30"/>
                <w:sz w:val="18"/>
                <w:szCs w:val="18"/>
              </w:rPr>
              <w:t>РИСК</w:t>
            </w:r>
          </w:p>
          <w:p>
            <w:pPr>
              <w:pStyle w:val="Normal"/>
              <w:spacing w:lineRule="auto" w:line="276" w:before="0" w:after="0"/>
              <w:jc w:val="both"/>
              <w:rPr/>
            </w:pPr>
            <w:r>
              <w:rPr>
                <w:rFonts w:eastAsia="Roboto" w:cs="Roboto"/>
                <w:b w:val="false"/>
                <w:bCs w:val="false"/>
                <w:i w:val="false"/>
                <w:iCs w:val="false"/>
                <w:color w:val="333333"/>
                <w:sz w:val="22"/>
                <w:szCs w:val="22"/>
              </w:rPr>
              <w:t>Опасны обе крайности. Трактовать каждую поездку директора как работу водителя — избыточно; полностью отказаться от медосмотров и документирования поездок — рискованно: налоговая инспекция может оспорить расходы на топливо как документально не подтверждённые, а надзорные органы — усмотреть эксплуатацию транспорта без обязательных процедур. Рабочая стратегия: письменно зафиксировать модель использования автомобиля (в положении о транспорте и приказе), обеспечить документирование поездок — путевыми листами или альтернативным пакетом доказательств (разд. 7), а вопрос о медосмотрах решить исходя из фактической трудовой функции; при сомнениях — получить письменное заключение юриста по конкретной модели эксплуатации.</w:t>
            </w:r>
          </w:p>
        </w:tc>
      </w:tr>
    </w:tbl>
    <w:p>
      <w:pPr>
        <w:pStyle w:val="Normal"/>
        <w:spacing w:before="160" w:after="0"/>
        <w:rPr/>
      </w:pPr>
      <w:r>
        <w:rPr/>
      </w:r>
    </w:p>
    <w:p>
      <w:pPr>
        <w:pStyle w:val="Heading1"/>
        <w:keepNext w:val="true"/>
        <w:numPr>
          <w:ilvl w:val="0"/>
          <w:numId w:val="1"/>
        </w:numPr>
        <w:rPr/>
      </w:pPr>
      <w:bookmarkStart w:id="11" w:name="__RefHeading___Toc905_1505658153"/>
      <w:bookmarkEnd w:id="11"/>
      <w:r>
        <w:rPr>
          <w:rFonts w:eastAsia="Roboto" w:cs="Roboto"/>
          <w:b/>
          <w:bCs/>
          <w:color w:val="1A1A1A"/>
          <w:sz w:val="24"/>
          <w:szCs w:val="24"/>
        </w:rPr>
        <w:t>Текущая эксплуатация: путевые листы, топливо, обслуживание</w:t>
      </w:r>
    </w:p>
    <w:p>
      <w:pPr>
        <w:pStyle w:val="Heading2"/>
        <w:keepNext w:val="true"/>
        <w:numPr>
          <w:ilvl w:val="1"/>
          <w:numId w:val="1"/>
        </w:numPr>
        <w:rPr/>
      </w:pPr>
      <w:bookmarkStart w:id="12" w:name="__RefHeading___Toc907_1505658153"/>
      <w:bookmarkEnd w:id="12"/>
      <w:r>
        <w:rPr>
          <w:rFonts w:eastAsia="Roboto" w:cs="Roboto"/>
          <w:b/>
          <w:bCs/>
          <w:color w:val="1A1A1A"/>
          <w:sz w:val="24"/>
          <w:szCs w:val="24"/>
        </w:rPr>
        <w:t>Путевые листы и подтверждение расходов на топливо</w:t>
      </w:r>
    </w:p>
    <w:p>
      <w:pPr>
        <w:pStyle w:val="Normal"/>
        <w:keepNext w:val="false"/>
        <w:spacing w:lineRule="auto" w:line="276" w:before="0" w:after="120"/>
        <w:jc w:val="both"/>
        <w:rPr/>
      </w:pPr>
      <w:r>
        <w:rPr>
          <w:rFonts w:eastAsia="Roboto" w:cs="Roboto"/>
          <w:b w:val="false"/>
          <w:bCs w:val="false"/>
          <w:i w:val="false"/>
          <w:iCs w:val="false"/>
          <w:color w:val="333333"/>
          <w:sz w:val="22"/>
          <w:szCs w:val="22"/>
        </w:rPr>
        <w:t>Обязательность путевого листа зависит от характера использования автомобиля. По ст. 6 Устава автомобильного транспорта (закон № 259-ФЗ) путевой лист обязателен при перевозках пассажиров и багажа или грузов. Если сотрудник сам ездит на служебном легковом автомобиле на встречи и по объектам и перевозка как транспортная деятельность не осуществляется, безусловная обязанность оформлять путевой лист из закона прямо не следует.</w:t>
      </w:r>
    </w:p>
    <w:p>
      <w:pPr>
        <w:pStyle w:val="Normal"/>
        <w:keepNext w:val="false"/>
        <w:spacing w:lineRule="auto" w:line="276" w:before="0" w:after="120"/>
        <w:jc w:val="both"/>
        <w:rPr/>
      </w:pPr>
      <w:r>
        <w:rPr>
          <w:rFonts w:eastAsia="Roboto" w:cs="Roboto"/>
          <w:b w:val="false"/>
          <w:bCs w:val="false"/>
          <w:i w:val="false"/>
          <w:iCs w:val="false"/>
          <w:color w:val="333333"/>
          <w:sz w:val="22"/>
          <w:szCs w:val="22"/>
        </w:rPr>
        <w:t>При этом путевой лист остаётся самым привычным и защищённым первичным документом для подтверждения служебного характера поездок и списания топлива — его целесообразно вести и там, где он формально не обязателен, особенно при регулярной эксплуатации. Обязательные реквизиты установлены приказом Минтранса № 390 от 28.09.2022; допускается электронная форма; оформляется на день, смену или рейс до начала поездки.</w:t>
      </w:r>
    </w:p>
    <w:p>
      <w:pPr>
        <w:pStyle w:val="Normal"/>
        <w:keepNext w:val="false"/>
        <w:spacing w:lineRule="auto" w:line="276" w:before="0" w:after="120"/>
        <w:jc w:val="both"/>
        <w:rPr/>
      </w:pPr>
      <w:r>
        <w:rPr>
          <w:rFonts w:eastAsia="Roboto" w:cs="Roboto"/>
          <w:b w:val="false"/>
          <w:bCs w:val="false"/>
          <w:i w:val="false"/>
          <w:iCs w:val="false"/>
          <w:color w:val="333333"/>
          <w:sz w:val="22"/>
          <w:szCs w:val="22"/>
        </w:rPr>
        <w:t>Если организация не ведёт путевые листы, служебный характер поездок и расход топлива подтверждается альтернативным пакетом первичных документов:</w:t>
      </w:r>
    </w:p>
    <w:p>
      <w:pPr>
        <w:pStyle w:val="ListParagraph"/>
        <w:numPr>
          <w:ilvl w:val="0"/>
          <w:numId w:val="17"/>
        </w:numPr>
        <w:spacing w:lineRule="auto" w:line="276" w:before="0" w:after="60"/>
        <w:jc w:val="both"/>
        <w:rPr/>
      </w:pPr>
      <w:r>
        <w:rPr>
          <w:rFonts w:eastAsia="Roboto" w:cs="Roboto"/>
          <w:b w:val="false"/>
          <w:bCs w:val="false"/>
          <w:i w:val="false"/>
          <w:iCs w:val="false"/>
          <w:color w:val="333333"/>
          <w:sz w:val="22"/>
          <w:szCs w:val="22"/>
        </w:rPr>
        <w:t>маршрутные или служебные отчёты, служебные задания, календарь деловых встреч;</w:t>
      </w:r>
    </w:p>
    <w:p>
      <w:pPr>
        <w:pStyle w:val="ListParagraph"/>
        <w:numPr>
          <w:ilvl w:val="0"/>
          <w:numId w:val="6"/>
        </w:numPr>
        <w:spacing w:lineRule="auto" w:line="276" w:before="0" w:after="60"/>
        <w:jc w:val="both"/>
        <w:rPr/>
      </w:pPr>
      <w:r>
        <w:rPr>
          <w:rFonts w:eastAsia="Roboto" w:cs="Roboto"/>
          <w:b w:val="false"/>
          <w:bCs w:val="false"/>
          <w:i w:val="false"/>
          <w:iCs w:val="false"/>
          <w:color w:val="333333"/>
          <w:sz w:val="22"/>
          <w:szCs w:val="22"/>
        </w:rPr>
        <w:t>данные систем GPS/ГЛОНАСС и отчёты оператора топливных карт;</w:t>
      </w:r>
    </w:p>
    <w:p>
      <w:pPr>
        <w:pStyle w:val="ListParagraph"/>
        <w:numPr>
          <w:ilvl w:val="0"/>
          <w:numId w:val="6"/>
        </w:numPr>
        <w:spacing w:lineRule="auto" w:line="276" w:before="0" w:after="60"/>
        <w:jc w:val="both"/>
        <w:rPr/>
      </w:pPr>
      <w:r>
        <w:rPr>
          <w:rFonts w:eastAsia="Roboto" w:cs="Roboto"/>
          <w:b w:val="false"/>
          <w:bCs w:val="false"/>
          <w:i w:val="false"/>
          <w:iCs w:val="false"/>
          <w:color w:val="333333"/>
          <w:sz w:val="22"/>
          <w:szCs w:val="22"/>
        </w:rPr>
        <w:t>показания одометра, ежемесячные расчёты и акты списания топлива по утверждённым нормам.</w:t>
      </w:r>
    </w:p>
    <w:p>
      <w:pPr>
        <w:pStyle w:val="Normal"/>
        <w:keepNext w:val="false"/>
        <w:spacing w:lineRule="auto" w:line="276" w:before="0" w:after="120"/>
        <w:jc w:val="both"/>
        <w:rPr/>
      </w:pPr>
      <w:r>
        <w:rPr>
          <w:rFonts w:eastAsia="Roboto" w:cs="Roboto"/>
          <w:b w:val="false"/>
          <w:bCs w:val="false"/>
          <w:i w:val="false"/>
          <w:iCs w:val="false"/>
          <w:color w:val="333333"/>
          <w:sz w:val="22"/>
          <w:szCs w:val="22"/>
        </w:rPr>
        <w:t>Пакет должен достоверно подтверждать маршрут, пробег, расход топлива и деловую цель поездок — иначе расходы уязвимы при налоговой проверке. Дополнительно ведутся журнал учёта путевых листов (если они оформляются), договор с оператором топливных карт либо авансовые отчёты с чеками АЗС.</w:t>
      </w:r>
    </w:p>
    <w:p>
      <w:pPr>
        <w:pStyle w:val="Heading2"/>
        <w:keepNext w:val="true"/>
        <w:numPr>
          <w:ilvl w:val="1"/>
          <w:numId w:val="1"/>
        </w:numPr>
        <w:rPr/>
      </w:pPr>
      <w:bookmarkStart w:id="13" w:name="__RefHeading___Toc909_1505658153"/>
      <w:bookmarkEnd w:id="13"/>
      <w:r>
        <w:rPr>
          <w:rFonts w:eastAsia="Roboto" w:cs="Roboto"/>
          <w:b/>
          <w:bCs/>
          <w:color w:val="1A1A1A"/>
          <w:sz w:val="24"/>
          <w:szCs w:val="24"/>
        </w:rPr>
        <w:t>Обслуживание и содержание</w:t>
      </w:r>
    </w:p>
    <w:p>
      <w:pPr>
        <w:pStyle w:val="ListParagraph"/>
        <w:numPr>
          <w:ilvl w:val="0"/>
          <w:numId w:val="18"/>
        </w:numPr>
        <w:spacing w:lineRule="auto" w:line="276" w:before="0" w:after="60"/>
        <w:jc w:val="both"/>
        <w:rPr/>
      </w:pPr>
      <w:r>
        <w:rPr>
          <w:rFonts w:eastAsia="Roboto" w:cs="Roboto"/>
          <w:b/>
          <w:bCs/>
          <w:i w:val="false"/>
          <w:iCs w:val="false"/>
          <w:color w:val="333333"/>
          <w:sz w:val="22"/>
          <w:szCs w:val="22"/>
        </w:rPr>
        <w:t xml:space="preserve">Техническое обслуживание и ремонт </w:t>
      </w:r>
      <w:r>
        <w:rPr>
          <w:rFonts w:eastAsia="Roboto" w:cs="Roboto"/>
          <w:b w:val="false"/>
          <w:bCs w:val="false"/>
          <w:i w:val="false"/>
          <w:iCs w:val="false"/>
          <w:color w:val="333333"/>
          <w:sz w:val="22"/>
          <w:szCs w:val="22"/>
        </w:rPr>
        <w:t>— договор с сервисным центром, заказ-наряды, акты выполненных работ; в гарантийный период — сервисная книжка и соблюдение регламента ТО производителя.</w:t>
      </w:r>
    </w:p>
    <w:p>
      <w:pPr>
        <w:pStyle w:val="ListParagraph"/>
        <w:numPr>
          <w:ilvl w:val="0"/>
          <w:numId w:val="7"/>
        </w:numPr>
        <w:spacing w:lineRule="auto" w:line="276" w:before="0" w:after="60"/>
        <w:jc w:val="both"/>
        <w:rPr/>
      </w:pPr>
      <w:r>
        <w:rPr>
          <w:rFonts w:eastAsia="Roboto" w:cs="Roboto"/>
          <w:b/>
          <w:bCs/>
          <w:i w:val="false"/>
          <w:iCs w:val="false"/>
          <w:color w:val="333333"/>
          <w:sz w:val="22"/>
          <w:szCs w:val="22"/>
        </w:rPr>
        <w:t xml:space="preserve">Шины </w:t>
      </w:r>
      <w:r>
        <w:rPr>
          <w:rFonts w:eastAsia="Roboto" w:cs="Roboto"/>
          <w:b w:val="false"/>
          <w:bCs w:val="false"/>
          <w:i w:val="false"/>
          <w:iCs w:val="false"/>
          <w:color w:val="333333"/>
          <w:sz w:val="22"/>
          <w:szCs w:val="22"/>
        </w:rPr>
        <w:t>— забалансовый или количественный учёт комплектов, акты сезонной замены, договор хранения (если шины хранит сервис).</w:t>
      </w:r>
    </w:p>
    <w:p>
      <w:pPr>
        <w:pStyle w:val="ListParagraph"/>
        <w:numPr>
          <w:ilvl w:val="0"/>
          <w:numId w:val="7"/>
        </w:numPr>
        <w:spacing w:lineRule="auto" w:line="276" w:before="0" w:after="60"/>
        <w:jc w:val="both"/>
        <w:rPr/>
      </w:pPr>
      <w:r>
        <w:rPr>
          <w:rFonts w:eastAsia="Roboto" w:cs="Roboto"/>
          <w:b/>
          <w:bCs/>
          <w:i w:val="false"/>
          <w:iCs w:val="false"/>
          <w:color w:val="333333"/>
          <w:sz w:val="22"/>
          <w:szCs w:val="22"/>
        </w:rPr>
        <w:t xml:space="preserve">Парковка и гараж </w:t>
      </w:r>
      <w:r>
        <w:rPr>
          <w:rFonts w:eastAsia="Roboto" w:cs="Roboto"/>
          <w:b w:val="false"/>
          <w:bCs w:val="false"/>
          <w:i w:val="false"/>
          <w:iCs w:val="false"/>
          <w:color w:val="333333"/>
          <w:sz w:val="22"/>
          <w:szCs w:val="22"/>
        </w:rPr>
        <w:t>— договор аренды машиноместа или парковочный абонемент.</w:t>
      </w:r>
    </w:p>
    <w:p>
      <w:pPr>
        <w:pStyle w:val="ListParagraph"/>
        <w:numPr>
          <w:ilvl w:val="0"/>
          <w:numId w:val="7"/>
        </w:numPr>
        <w:spacing w:lineRule="auto" w:line="276" w:before="0" w:after="60"/>
        <w:jc w:val="both"/>
        <w:rPr/>
      </w:pPr>
      <w:r>
        <w:rPr>
          <w:rFonts w:eastAsia="Roboto" w:cs="Roboto"/>
          <w:b/>
          <w:bCs/>
          <w:i w:val="false"/>
          <w:iCs w:val="false"/>
          <w:color w:val="333333"/>
          <w:sz w:val="22"/>
          <w:szCs w:val="22"/>
        </w:rPr>
        <w:t xml:space="preserve">Мойка и расходные материалы </w:t>
      </w:r>
      <w:r>
        <w:rPr>
          <w:rFonts w:eastAsia="Roboto" w:cs="Roboto"/>
          <w:b w:val="false"/>
          <w:bCs w:val="false"/>
          <w:i w:val="false"/>
          <w:iCs w:val="false"/>
          <w:color w:val="333333"/>
          <w:sz w:val="22"/>
          <w:szCs w:val="22"/>
        </w:rPr>
        <w:t>— чеки и авансовые отчёты в пределах лимитов, утверждённых приказом.</w:t>
      </w:r>
    </w:p>
    <w:p>
      <w:pPr>
        <w:pStyle w:val="Heading1"/>
        <w:keepNext w:val="true"/>
        <w:numPr>
          <w:ilvl w:val="0"/>
          <w:numId w:val="1"/>
        </w:numPr>
        <w:rPr/>
      </w:pPr>
      <w:bookmarkStart w:id="14" w:name="__RefHeading___Toc911_1505658153"/>
      <w:bookmarkEnd w:id="14"/>
      <w:r>
        <w:rPr>
          <w:rFonts w:eastAsia="Roboto" w:cs="Roboto"/>
          <w:b/>
          <w:bCs/>
          <w:color w:val="1A1A1A"/>
          <w:sz w:val="24"/>
          <w:szCs w:val="24"/>
        </w:rPr>
        <w:t>Ответственность, штрафы и порядок действий при ДТП</w:t>
      </w:r>
    </w:p>
    <w:p>
      <w:pPr>
        <w:pStyle w:val="Normal"/>
        <w:keepNext w:val="false"/>
        <w:spacing w:lineRule="auto" w:line="276" w:before="0" w:after="120"/>
        <w:jc w:val="both"/>
        <w:rPr/>
      </w:pPr>
      <w:r>
        <w:rPr>
          <w:rFonts w:eastAsia="Roboto" w:cs="Roboto"/>
          <w:b w:val="false"/>
          <w:bCs w:val="false"/>
          <w:i w:val="false"/>
          <w:iCs w:val="false"/>
          <w:color w:val="333333"/>
          <w:sz w:val="22"/>
          <w:szCs w:val="22"/>
        </w:rPr>
        <w:t>Автомобиль — источник повышенной опасности. Вред, причинённый третьим лицам, возмещает владелец — организация (ст. 1079 ГК РФ), даже если за рулём был работник; затем организация вправе предъявить работнику регрессное требование (ст. 1081 ГК РФ) с учётом ограничений трудового законодательства.</w:t>
      </w:r>
    </w:p>
    <w:p>
      <w:pPr>
        <w:pStyle w:val="Normal"/>
        <w:keepNext w:val="false"/>
        <w:spacing w:lineRule="auto" w:line="276" w:before="0" w:after="120"/>
        <w:jc w:val="both"/>
        <w:rPr/>
      </w:pPr>
      <w:r>
        <w:rPr>
          <w:rFonts w:eastAsia="Roboto" w:cs="Roboto"/>
          <w:b/>
          <w:bCs/>
          <w:i w:val="false"/>
          <w:iCs w:val="false"/>
          <w:color w:val="333333"/>
          <w:sz w:val="22"/>
          <w:szCs w:val="22"/>
        </w:rPr>
        <w:t xml:space="preserve">Штрафы с дорожных камер </w:t>
      </w:r>
      <w:r>
        <w:rPr>
          <w:rFonts w:eastAsia="Roboto" w:cs="Roboto"/>
          <w:b w:val="false"/>
          <w:bCs w:val="false"/>
          <w:i w:val="false"/>
          <w:iCs w:val="false"/>
          <w:color w:val="333333"/>
          <w:sz w:val="22"/>
          <w:szCs w:val="22"/>
        </w:rPr>
        <w:t>при автоматической фиксации выносятся на собственника — юридическое лицо, и суммы для организаций кратно выше, чем для граждан. Первый путь — обжалование: собственник освобождается от ответственности, если докажет, что в момент нарушения автомобилем владело или пользовалось другое лицо (ч. 2 ст. 2.6.1 КоАП РФ). Это не автоматическое «переоформление штрафа», а процедура обжалования с оценкой доказательств: акт передачи автомобиля, приказ о закреплении, путевой или маршрутный документ, объяснения фактического водителя. При оплате в льготный срок действует скидка (с 2025 года — 25% при оплате в течение 30 дней; параметры проверить на дату оплаты).</w:t>
      </w:r>
    </w:p>
    <w:p>
      <w:pPr>
        <w:pStyle w:val="Normal"/>
        <w:keepNext w:val="false"/>
        <w:spacing w:lineRule="auto" w:line="276" w:before="0" w:after="120"/>
        <w:jc w:val="both"/>
        <w:rPr/>
      </w:pPr>
      <w:r>
        <w:rPr>
          <w:rFonts w:eastAsia="Roboto" w:cs="Roboto"/>
          <w:b/>
          <w:bCs/>
          <w:i w:val="false"/>
          <w:iCs w:val="false"/>
          <w:color w:val="333333"/>
          <w:sz w:val="22"/>
          <w:szCs w:val="22"/>
        </w:rPr>
        <w:t xml:space="preserve">Взыскание с работника </w:t>
      </w:r>
      <w:r>
        <w:rPr>
          <w:rFonts w:eastAsia="Roboto" w:cs="Roboto"/>
          <w:b w:val="false"/>
          <w:bCs w:val="false"/>
          <w:i w:val="false"/>
          <w:iCs w:val="false"/>
          <w:color w:val="333333"/>
          <w:sz w:val="22"/>
          <w:szCs w:val="22"/>
        </w:rPr>
        <w:t>— зона осторожности. Уплаченный организацией административный штраф не во всех случаях признаётся прямым действительным ущербом, который можно переложить на работника: судебная практика неоднородна, часть судов считает штраф ответственностью самого юридического лица. Если решение о взыскании принято, соблюдается процедура ТК РФ: служебное расследование, установление противоправности, вины, причинной связи и размера ущерба; при размере не более среднего месячного заработка — распоряжение работодателя в течение месяца со дня окончательного установления размера ущерба (согласие работника на такое распоряжение не требуется); свыше этого предела или при пропуске срока — только через суд. Письменное обязательство работника нужно при добровольном возмещении с рассрочкой. Положение о служебном транспорте фиксирует порядок действий, но само по себе право на взыскание не создаёт.</w:t>
      </w:r>
    </w:p>
    <w:p>
      <w:pPr>
        <w:pStyle w:val="Normal"/>
        <w:keepNext w:val="false"/>
        <w:spacing w:lineRule="auto" w:line="276" w:before="0" w:after="120"/>
        <w:jc w:val="both"/>
        <w:rPr/>
      </w:pPr>
      <w:r>
        <w:rPr>
          <w:rFonts w:eastAsia="Roboto" w:cs="Roboto"/>
          <w:b/>
          <w:bCs/>
          <w:i w:val="false"/>
          <w:iCs w:val="false"/>
          <w:color w:val="333333"/>
          <w:sz w:val="22"/>
          <w:szCs w:val="22"/>
        </w:rPr>
        <w:t xml:space="preserve">При ДТП </w:t>
      </w:r>
      <w:r>
        <w:rPr>
          <w:rFonts w:eastAsia="Roboto" w:cs="Roboto"/>
          <w:b w:val="false"/>
          <w:bCs w:val="false"/>
          <w:i w:val="false"/>
          <w:iCs w:val="false"/>
          <w:color w:val="333333"/>
          <w:sz w:val="22"/>
          <w:szCs w:val="22"/>
        </w:rPr>
        <w:t>водитель действует по правилам дорожного движения (остановка, знак, вызов ГИБДД или европротокол при мелком ущербе), уведомляет ответственного за автомобиль, получает документы о ДТП. Организация уведомляет страховщика в срок, установленный договором и правилами страхования, оформляет внутренний акт о повреждении имущества, проводит служебное расследование для решения вопроса о взыскании ущерба, ремонтирует автомобиль по ОСАГО виновника или каско.</w:t>
      </w:r>
    </w:p>
    <w:p>
      <w:pPr>
        <w:pStyle w:val="Normal"/>
        <w:keepNext w:val="false"/>
        <w:spacing w:lineRule="auto" w:line="276" w:before="0" w:after="120"/>
        <w:jc w:val="both"/>
        <w:rPr/>
      </w:pPr>
      <w:r>
        <w:rPr>
          <w:rFonts w:eastAsia="Roboto" w:cs="Roboto"/>
          <w:b/>
          <w:bCs/>
          <w:i w:val="false"/>
          <w:iCs w:val="false"/>
          <w:color w:val="333333"/>
          <w:sz w:val="22"/>
          <w:szCs w:val="22"/>
        </w:rPr>
        <w:t xml:space="preserve">Использование в личных целях. </w:t>
      </w:r>
      <w:r>
        <w:rPr>
          <w:rFonts w:eastAsia="Roboto" w:cs="Roboto"/>
          <w:b w:val="false"/>
          <w:bCs w:val="false"/>
          <w:i w:val="false"/>
          <w:iCs w:val="false"/>
          <w:color w:val="333333"/>
          <w:sz w:val="22"/>
          <w:szCs w:val="22"/>
        </w:rPr>
        <w:t>Самый чистый вариант — прямой запрет в положении о служебном транспорте. Если личные поездки допускаются, их нужно оформить: у работника возникает доход в натуральной форме с удержанием НДФЛ и начислением взносов, либо заключается договор аренды или безвозмездного пользования с отдельным налоговым режимом. Неоформленное личное использование — типовое основание для доначислений при налоговой проверке.</w:t>
      </w:r>
    </w:p>
    <w:p>
      <w:pPr>
        <w:pStyle w:val="Heading1"/>
        <w:keepNext w:val="true"/>
        <w:numPr>
          <w:ilvl w:val="0"/>
          <w:numId w:val="1"/>
        </w:numPr>
        <w:rPr/>
      </w:pPr>
      <w:bookmarkStart w:id="15" w:name="__RefHeading___Toc913_1505658153"/>
      <w:bookmarkEnd w:id="15"/>
      <w:r>
        <w:rPr>
          <w:rFonts w:eastAsia="Roboto" w:cs="Roboto"/>
          <w:b/>
          <w:bCs/>
          <w:color w:val="1A1A1A"/>
          <w:sz w:val="24"/>
          <w:szCs w:val="24"/>
        </w:rPr>
        <w:t>Выбытие автомобиля</w:t>
      </w:r>
    </w:p>
    <w:p>
      <w:pPr>
        <w:pStyle w:val="Normal"/>
        <w:keepNext w:val="false"/>
        <w:spacing w:lineRule="auto" w:line="276" w:before="0" w:after="120"/>
        <w:jc w:val="both"/>
        <w:rPr/>
      </w:pPr>
      <w:r>
        <w:rPr>
          <w:rFonts w:eastAsia="Roboto" w:cs="Roboto"/>
          <w:b w:val="false"/>
          <w:bCs w:val="false"/>
          <w:i w:val="false"/>
          <w:iCs w:val="false"/>
          <w:color w:val="333333"/>
          <w:sz w:val="22"/>
          <w:szCs w:val="22"/>
        </w:rPr>
        <w:t>Жизненный цикл закрывается документами выбытия:</w:t>
      </w:r>
    </w:p>
    <w:p>
      <w:pPr>
        <w:pStyle w:val="ListParagraph"/>
        <w:numPr>
          <w:ilvl w:val="0"/>
          <w:numId w:val="19"/>
        </w:numPr>
        <w:spacing w:lineRule="auto" w:line="276" w:before="0" w:after="60"/>
        <w:jc w:val="both"/>
        <w:rPr/>
      </w:pPr>
      <w:r>
        <w:rPr>
          <w:rFonts w:eastAsia="Roboto" w:cs="Roboto"/>
          <w:b/>
          <w:bCs/>
          <w:i w:val="false"/>
          <w:iCs w:val="false"/>
          <w:color w:val="333333"/>
          <w:sz w:val="22"/>
          <w:szCs w:val="22"/>
        </w:rPr>
        <w:t xml:space="preserve">Продажа </w:t>
      </w:r>
      <w:r>
        <w:rPr>
          <w:rFonts w:eastAsia="Roboto" w:cs="Roboto"/>
          <w:b w:val="false"/>
          <w:bCs w:val="false"/>
          <w:i w:val="false"/>
          <w:iCs w:val="false"/>
          <w:color w:val="333333"/>
          <w:sz w:val="22"/>
          <w:szCs w:val="22"/>
        </w:rPr>
        <w:t>— договор купли-продажи, акт приёма-передачи, УПД; НДС начисляется, если организация на момент реализации является плательщиком НДС (разд. 4). Запись о смене собственника вносится в ЭПТС. Если покупатель не перерегистрировал автомобиль в течение десяти дней, организация подаёт заявление о прекращении регистрации, иначе транспортный налог и штрафы продолжат приходить прежнему собственнику. При УСН «доходы минус расходы» продажа ранее трёх лет с момента учёта расходов влечёт пересчёт налоговой базы (разд. 4).</w:t>
      </w:r>
    </w:p>
    <w:p>
      <w:pPr>
        <w:pStyle w:val="ListParagraph"/>
        <w:numPr>
          <w:ilvl w:val="0"/>
          <w:numId w:val="8"/>
        </w:numPr>
        <w:spacing w:lineRule="auto" w:line="276" w:before="0" w:after="60"/>
        <w:jc w:val="both"/>
        <w:rPr/>
      </w:pPr>
      <w:r>
        <w:rPr>
          <w:rFonts w:eastAsia="Roboto" w:cs="Roboto"/>
          <w:b/>
          <w:bCs/>
          <w:i w:val="false"/>
          <w:iCs w:val="false"/>
          <w:color w:val="333333"/>
          <w:sz w:val="22"/>
          <w:szCs w:val="22"/>
        </w:rPr>
        <w:t xml:space="preserve">Списание </w:t>
      </w:r>
      <w:r>
        <w:rPr>
          <w:rFonts w:eastAsia="Roboto" w:cs="Roboto"/>
          <w:b w:val="false"/>
          <w:bCs w:val="false"/>
          <w:i w:val="false"/>
          <w:iCs w:val="false"/>
          <w:color w:val="333333"/>
          <w:sz w:val="22"/>
          <w:szCs w:val="22"/>
        </w:rPr>
        <w:t>(гибель, износ) — приказ о создании комиссии, акт о списании (форма ОС-4 или собственная), документы об утилизации, снятие с учёта в ГИБДД в связи с утилизацией.</w:t>
      </w:r>
    </w:p>
    <w:p>
      <w:pPr>
        <w:pStyle w:val="ListParagraph"/>
        <w:numPr>
          <w:ilvl w:val="0"/>
          <w:numId w:val="8"/>
        </w:numPr>
        <w:spacing w:lineRule="auto" w:line="276" w:before="0" w:after="60"/>
        <w:jc w:val="both"/>
        <w:rPr/>
      </w:pPr>
      <w:r>
        <w:rPr>
          <w:rFonts w:eastAsia="Roboto" w:cs="Roboto"/>
          <w:b/>
          <w:bCs/>
          <w:i w:val="false"/>
          <w:iCs w:val="false"/>
          <w:color w:val="333333"/>
          <w:sz w:val="22"/>
          <w:szCs w:val="22"/>
        </w:rPr>
        <w:t xml:space="preserve">Учёт и транспортный налог </w:t>
      </w:r>
      <w:r>
        <w:rPr>
          <w:rFonts w:eastAsia="Roboto" w:cs="Roboto"/>
          <w:b w:val="false"/>
          <w:bCs w:val="false"/>
          <w:i w:val="false"/>
          <w:iCs w:val="false"/>
          <w:color w:val="333333"/>
          <w:sz w:val="22"/>
          <w:szCs w:val="22"/>
        </w:rPr>
        <w:t>— выбытие отражается в инвентарной карточке, остаточная стоимость списывается. Транспортный налог считается с коэффициентом владения по правилу 15-го числа (п. 3 ст. 362 НК РФ): если автомобиль снят с регистрации до 15-го числа месяца включительно, этот месяц в расчёт не входит; если после 15-го числа — месяц учитывается как полный.</w:t>
      </w:r>
    </w:p>
    <w:p>
      <w:pPr>
        <w:pStyle w:val="Heading1"/>
        <w:keepNext w:val="true"/>
        <w:numPr>
          <w:ilvl w:val="0"/>
          <w:numId w:val="1"/>
        </w:numPr>
        <w:rPr/>
      </w:pPr>
      <w:bookmarkStart w:id="16" w:name="__RefHeading___Toc915_1505658153"/>
      <w:bookmarkEnd w:id="16"/>
      <w:r>
        <w:rPr>
          <w:rFonts w:eastAsia="Roboto" w:cs="Roboto"/>
          <w:b/>
          <w:bCs/>
          <w:color w:val="1A1A1A"/>
          <w:sz w:val="24"/>
          <w:szCs w:val="24"/>
        </w:rPr>
        <w:t>Карта обязанностей и зон риска</w:t>
      </w:r>
    </w:p>
    <w:p>
      <w:pPr>
        <w:pStyle w:val="Normal"/>
        <w:keepNext w:val="false"/>
        <w:spacing w:lineRule="auto" w:line="276" w:before="0" w:after="120"/>
        <w:jc w:val="both"/>
        <w:rPr/>
      </w:pPr>
      <w:r>
        <w:rPr>
          <w:rFonts w:eastAsia="Roboto" w:cs="Roboto"/>
          <w:b w:val="false"/>
          <w:bCs w:val="false"/>
          <w:i w:val="false"/>
          <w:iCs w:val="false"/>
          <w:color w:val="333333"/>
          <w:sz w:val="22"/>
          <w:szCs w:val="22"/>
        </w:rPr>
        <w:t>Субъективные оценки вероятности («средняя», «высокая») и статусы «под контролем» в справке не приводятся: они зависят от фактических данных — кто управляет автомобилем, каков пробег, внедрены ли контрольные процедуры, — которых на момент подготовки справки нет. Вместо этого ниже карта обязанностей: при каких условиях возникает обязанность, чем грозит невыполнение и каким документом подтверждается контроль. Остаточный риск оценивается после фактического внедрения контрольных мероприятий.</w:t>
      </w:r>
    </w:p>
    <w:p>
      <w:pPr>
        <w:pStyle w:val="Normal"/>
        <w:keepNext w:val="true"/>
        <w:spacing w:lineRule="auto" w:line="276" w:before="120" w:after="60"/>
        <w:rPr/>
      </w:pPr>
      <w:r>
        <w:rPr>
          <w:rFonts w:eastAsia="Roboto" w:cs="Roboto"/>
          <w:i/>
          <w:iCs/>
          <w:color w:val="808080"/>
          <w:sz w:val="18"/>
          <w:szCs w:val="18"/>
        </w:rPr>
        <w:t>Табл. 3. Карта обязанностей и зон риска</w:t>
      </w:r>
    </w:p>
    <w:tbl>
      <w:tblPr>
        <w:tblW w:w="9071" w:type="dxa"/>
        <w:jc w:val="left"/>
        <w:tblInd w:w="0" w:type="dxa"/>
        <w:tblLayout w:type="fixed"/>
        <w:tblCellMar>
          <w:top w:w="60" w:type="dxa"/>
          <w:left w:w="100" w:type="dxa"/>
          <w:bottom w:w="60" w:type="dxa"/>
          <w:right w:w="100" w:type="dxa"/>
        </w:tblCellMar>
      </w:tblPr>
      <w:tblGrid>
        <w:gridCol w:w="1600"/>
        <w:gridCol w:w="1799"/>
        <w:gridCol w:w="1451"/>
        <w:gridCol w:w="1799"/>
        <w:gridCol w:w="2422"/>
      </w:tblGrid>
      <w:tr>
        <w:trPr>
          <w:tblHeader w:val="true"/>
        </w:trPr>
        <w:tc>
          <w:tcPr>
            <w:tcW w:w="160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Зона</w:t>
            </w:r>
          </w:p>
        </w:tc>
        <w:tc>
          <w:tcPr>
            <w:tcW w:w="1799"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Триггер применимости</w:t>
            </w:r>
          </w:p>
        </w:tc>
        <w:tc>
          <w:tcPr>
            <w:tcW w:w="1451"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Основание</w:t>
            </w:r>
          </w:p>
        </w:tc>
        <w:tc>
          <w:tcPr>
            <w:tcW w:w="1799"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Возможное последствие</w:t>
            </w:r>
          </w:p>
        </w:tc>
        <w:tc>
          <w:tcPr>
            <w:tcW w:w="2422"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Контроль и подтверждение</w:t>
            </w:r>
          </w:p>
        </w:tc>
      </w:tr>
      <w:tr>
        <w:trPr/>
        <w:tc>
          <w:tcPr>
            <w:tcW w:w="16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ОСАГО</w:t>
            </w:r>
          </w:p>
        </w:tc>
        <w:tc>
          <w:tcPr>
            <w:tcW w:w="1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Использование автомобиля в дорожном движении</w:t>
            </w:r>
          </w:p>
        </w:tc>
        <w:tc>
          <w:tcPr>
            <w:tcW w:w="145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ст. 4 закона № 40-ФЗ</w:t>
            </w:r>
          </w:p>
        </w:tc>
        <w:tc>
          <w:tcPr>
            <w:tcW w:w="1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Штрафы; регресс страховщика при ДТП</w:t>
            </w:r>
          </w:p>
        </w:tc>
        <w:tc>
          <w:tcPr>
            <w:tcW w:w="242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Полис до первого выезда; контроль срока в календаре; полис в деле автомобиля</w:t>
            </w:r>
          </w:p>
        </w:tc>
      </w:tr>
      <w:tr>
        <w:trPr/>
        <w:tc>
          <w:tcPr>
            <w:tcW w:w="16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Регистрация</w:t>
            </w:r>
          </w:p>
        </w:tc>
        <w:tc>
          <w:tcPr>
            <w:tcW w:w="1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Приобретение прав владельца</w:t>
            </w:r>
          </w:p>
        </w:tc>
        <w:tc>
          <w:tcPr>
            <w:tcW w:w="145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ст. 8 закона № 283-ФЗ</w:t>
            </w:r>
          </w:p>
        </w:tc>
        <w:tc>
          <w:tcPr>
            <w:tcW w:w="1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Штрафы; запрет эксплуатации</w:t>
            </w:r>
          </w:p>
        </w:tc>
        <w:tc>
          <w:tcPr>
            <w:tcW w:w="242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Заявление в 10-дневный срок; СТС в деле автомобиля</w:t>
            </w:r>
          </w:p>
        </w:tc>
      </w:tr>
      <w:tr>
        <w:trPr/>
        <w:tc>
          <w:tcPr>
            <w:tcW w:w="16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Расходы на топливо</w:t>
            </w:r>
          </w:p>
        </w:tc>
        <w:tc>
          <w:tcPr>
            <w:tcW w:w="1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Признание расходов в налоговом учёте</w:t>
            </w:r>
          </w:p>
        </w:tc>
        <w:tc>
          <w:tcPr>
            <w:tcW w:w="145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ст. 252 НК РФ</w:t>
            </w:r>
          </w:p>
        </w:tc>
        <w:tc>
          <w:tcPr>
            <w:tcW w:w="1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Доначисления, пени, штраф</w:t>
            </w:r>
          </w:p>
        </w:tc>
        <w:tc>
          <w:tcPr>
            <w:tcW w:w="242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Путевые листы или альтернативный пакет доказательств; нормы; акты списания</w:t>
            </w:r>
          </w:p>
        </w:tc>
      </w:tr>
      <w:tr>
        <w:trPr/>
        <w:tc>
          <w:tcPr>
            <w:tcW w:w="16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Медосмотры</w:t>
            </w:r>
          </w:p>
        </w:tc>
        <w:tc>
          <w:tcPr>
            <w:tcW w:w="1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Работник занят в качестве водителя</w:t>
            </w:r>
          </w:p>
        </w:tc>
        <w:tc>
          <w:tcPr>
            <w:tcW w:w="145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ст. 23 закона № 196-ФЗ</w:t>
            </w:r>
          </w:p>
        </w:tc>
        <w:tc>
          <w:tcPr>
            <w:tcW w:w="1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Штрафы на компанию и должностных лиц</w:t>
            </w:r>
          </w:p>
        </w:tc>
        <w:tc>
          <w:tcPr>
            <w:tcW w:w="242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Договор с медорганизацией; журнал; отметки; при дистанционных — очные ХТИ дважды в год</w:t>
            </w:r>
          </w:p>
        </w:tc>
      </w:tr>
      <w:tr>
        <w:trPr/>
        <w:tc>
          <w:tcPr>
            <w:tcW w:w="16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Техосмотр</w:t>
            </w:r>
          </w:p>
        </w:tc>
        <w:tc>
          <w:tcPr>
            <w:tcW w:w="1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Автомобиль организации старше четырёх лет</w:t>
            </w:r>
          </w:p>
        </w:tc>
        <w:tc>
          <w:tcPr>
            <w:tcW w:w="145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ст. 15 закона № 170-ФЗ</w:t>
            </w:r>
          </w:p>
        </w:tc>
        <w:tc>
          <w:tcPr>
            <w:tcW w:w="1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Штраф за эксплуатацию без техосмотра</w:t>
            </w:r>
          </w:p>
        </w:tc>
        <w:tc>
          <w:tcPr>
            <w:tcW w:w="242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Календарь сроков; карта в деле автомобиля</w:t>
            </w:r>
          </w:p>
        </w:tc>
      </w:tr>
      <w:tr>
        <w:trPr/>
        <w:tc>
          <w:tcPr>
            <w:tcW w:w="16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Штрафы с камер</w:t>
            </w:r>
          </w:p>
        </w:tc>
        <w:tc>
          <w:tcPr>
            <w:tcW w:w="1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Автоматическая фиксация нарушений</w:t>
            </w:r>
          </w:p>
        </w:tc>
        <w:tc>
          <w:tcPr>
            <w:tcW w:w="145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ст. 2.6.1 КоАП РФ</w:t>
            </w:r>
          </w:p>
        </w:tc>
        <w:tc>
          <w:tcPr>
            <w:tcW w:w="1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Оплата штрафов организацией</w:t>
            </w:r>
          </w:p>
        </w:tc>
        <w:tc>
          <w:tcPr>
            <w:tcW w:w="242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Порядок обжалования и взыскания в положении; акты передачи; расследования</w:t>
            </w:r>
          </w:p>
        </w:tc>
      </w:tr>
      <w:tr>
        <w:trPr/>
        <w:tc>
          <w:tcPr>
            <w:tcW w:w="16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Личные поездки</w:t>
            </w:r>
          </w:p>
        </w:tc>
        <w:tc>
          <w:tcPr>
            <w:tcW w:w="1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Допуск личных поездок</w:t>
            </w:r>
          </w:p>
        </w:tc>
        <w:tc>
          <w:tcPr>
            <w:tcW w:w="145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гл. 23, 34 НК РФ</w:t>
            </w:r>
          </w:p>
        </w:tc>
        <w:tc>
          <w:tcPr>
            <w:tcW w:w="1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НДФЛ, взносы, пени при проверке</w:t>
            </w:r>
          </w:p>
        </w:tc>
        <w:tc>
          <w:tcPr>
            <w:tcW w:w="242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Запрет либо оформление (аренда или доход в натуральной форме); учёт поездок</w:t>
            </w:r>
          </w:p>
        </w:tc>
      </w:tr>
    </w:tbl>
    <w:p>
      <w:pPr>
        <w:pStyle w:val="Normal"/>
        <w:spacing w:lineRule="auto" w:line="276" w:before="60" w:after="160"/>
        <w:rPr/>
      </w:pPr>
      <w:r>
        <w:rPr>
          <w:rFonts w:eastAsia="Roboto" w:cs="Roboto"/>
          <w:i/>
          <w:iCs/>
          <w:color w:val="808080"/>
          <w:sz w:val="18"/>
          <w:szCs w:val="18"/>
        </w:rPr>
        <w:t>Источник: нормы, указанные в разд. 12; применимость каждой строки проверяется по фактической модели эксплуатации</w:t>
      </w:r>
    </w:p>
    <w:p>
      <w:pPr>
        <w:pStyle w:val="Heading1"/>
        <w:keepNext w:val="true"/>
        <w:numPr>
          <w:ilvl w:val="0"/>
          <w:numId w:val="1"/>
        </w:numPr>
        <w:rPr/>
      </w:pPr>
      <w:bookmarkStart w:id="17" w:name="__RefHeading___Toc917_1505658153"/>
      <w:bookmarkEnd w:id="17"/>
      <w:r>
        <w:rPr>
          <w:rFonts w:eastAsia="Roboto" w:cs="Roboto"/>
          <w:b/>
          <w:bCs/>
          <w:color w:val="1A1A1A"/>
          <w:sz w:val="24"/>
          <w:szCs w:val="24"/>
        </w:rPr>
        <w:t>Выводы, план действий и календарь сроков</w:t>
      </w:r>
    </w:p>
    <w:p>
      <w:pPr>
        <w:pStyle w:val="Normal"/>
        <w:keepNext w:val="false"/>
        <w:spacing w:lineRule="auto" w:line="276" w:before="0" w:after="120"/>
        <w:jc w:val="both"/>
        <w:rPr/>
      </w:pPr>
      <w:r>
        <w:rPr>
          <w:rFonts w:eastAsia="Roboto" w:cs="Roboto"/>
          <w:b w:val="false"/>
          <w:bCs w:val="false"/>
          <w:i w:val="false"/>
          <w:iCs w:val="false"/>
          <w:color w:val="333333"/>
          <w:sz w:val="22"/>
          <w:szCs w:val="22"/>
        </w:rPr>
        <w:t>План действий упорядочен по жёсткости сроков: сначала — то, без чего нельзя начинать движение, затем — регистрационный срок, затем — организационный контур. Рекомендации адресованы ролям; конкретных исполнителей организация назначает приказом.</w:t>
      </w:r>
    </w:p>
    <w:p>
      <w:pPr>
        <w:pStyle w:val="Normal"/>
        <w:keepNext w:val="true"/>
        <w:spacing w:lineRule="auto" w:line="276" w:before="120" w:after="60"/>
        <w:rPr/>
      </w:pPr>
      <w:r>
        <w:rPr>
          <w:rFonts w:eastAsia="Roboto" w:cs="Roboto"/>
          <w:i/>
          <w:iCs/>
          <w:color w:val="808080"/>
          <w:sz w:val="18"/>
          <w:szCs w:val="18"/>
        </w:rPr>
        <w:t>Табл. 4. План действий</w:t>
      </w:r>
    </w:p>
    <w:tbl>
      <w:tblPr>
        <w:tblW w:w="9071" w:type="dxa"/>
        <w:jc w:val="left"/>
        <w:tblInd w:w="0" w:type="dxa"/>
        <w:tblLayout w:type="fixed"/>
        <w:tblCellMar>
          <w:top w:w="60" w:type="dxa"/>
          <w:left w:w="100" w:type="dxa"/>
          <w:bottom w:w="60" w:type="dxa"/>
          <w:right w:w="100" w:type="dxa"/>
        </w:tblCellMar>
      </w:tblPr>
      <w:tblGrid>
        <w:gridCol w:w="499"/>
        <w:gridCol w:w="3700"/>
        <w:gridCol w:w="2301"/>
        <w:gridCol w:w="2570"/>
      </w:tblGrid>
      <w:tr>
        <w:trPr>
          <w:tblHeader w:val="true"/>
        </w:trPr>
        <w:tc>
          <w:tcPr>
            <w:tcW w:w="499"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w:t>
            </w:r>
          </w:p>
        </w:tc>
        <w:tc>
          <w:tcPr>
            <w:tcW w:w="370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Рекомендация</w:t>
            </w:r>
          </w:p>
        </w:tc>
        <w:tc>
          <w:tcPr>
            <w:tcW w:w="2301"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Ответственный</w:t>
            </w:r>
          </w:p>
        </w:tc>
        <w:tc>
          <w:tcPr>
            <w:tcW w:w="257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Срок</w:t>
            </w:r>
          </w:p>
        </w:tc>
      </w:tr>
      <w:tr>
        <w:trPr>
          <w:cantSplit w:val="true"/>
        </w:trPr>
        <w:tc>
          <w:tcPr>
            <w:tcW w:w="4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1</w:t>
            </w:r>
          </w:p>
        </w:tc>
        <w:tc>
          <w:tcPr>
            <w:tcW w:w="37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Оформить ОСАГО</w:t>
            </w:r>
          </w:p>
        </w:tc>
        <w:tc>
          <w:tcPr>
            <w:tcW w:w="230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Ответственный за транспорт</w:t>
            </w:r>
          </w:p>
        </w:tc>
        <w:tc>
          <w:tcPr>
            <w:tcW w:w="257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 первого использования автомобиля</w:t>
            </w:r>
          </w:p>
        </w:tc>
      </w:tr>
      <w:tr>
        <w:trPr>
          <w:cantSplit w:val="true"/>
        </w:trPr>
        <w:tc>
          <w:tcPr>
            <w:tcW w:w="4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2</w:t>
            </w:r>
          </w:p>
        </w:tc>
        <w:tc>
          <w:tcPr>
            <w:tcW w:w="37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Организовать медицинский контур для работников-водителей (договор на медосмотры) и порядок документирования поездок (путевые листы или альтернативный пакет)</w:t>
            </w:r>
          </w:p>
        </w:tc>
        <w:tc>
          <w:tcPr>
            <w:tcW w:w="230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Ответственный за транспорт, кадровая служба</w:t>
            </w:r>
          </w:p>
        </w:tc>
        <w:tc>
          <w:tcPr>
            <w:tcW w:w="257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До первого выезда</w:t>
            </w:r>
          </w:p>
        </w:tc>
      </w:tr>
      <w:tr>
        <w:trPr>
          <w:cantSplit w:val="true"/>
        </w:trPr>
        <w:tc>
          <w:tcPr>
            <w:tcW w:w="4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3</w:t>
            </w:r>
          </w:p>
        </w:tc>
        <w:tc>
          <w:tcPr>
            <w:tcW w:w="37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Подать заявление об изменении регистрационных данных в ГИБДД</w:t>
            </w:r>
          </w:p>
        </w:tc>
        <w:tc>
          <w:tcPr>
            <w:tcW w:w="230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Ответственный за транспорт</w:t>
            </w:r>
          </w:p>
        </w:tc>
        <w:tc>
          <w:tcPr>
            <w:tcW w:w="257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10 дней со дня приобретения прав владельца</w:t>
            </w:r>
          </w:p>
        </w:tc>
      </w:tr>
      <w:tr>
        <w:trPr>
          <w:cantSplit w:val="true"/>
        </w:trPr>
        <w:tc>
          <w:tcPr>
            <w:tcW w:w="4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4</w:t>
            </w:r>
          </w:p>
        </w:tc>
        <w:tc>
          <w:tcPr>
            <w:tcW w:w="37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Утвердить положение о служебном транспорте и издать приказы: ответственный, закрепление, нормы топлива, лимиты</w:t>
            </w:r>
          </w:p>
        </w:tc>
        <w:tc>
          <w:tcPr>
            <w:tcW w:w="230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Руководитель, кадровая служба</w:t>
            </w:r>
          </w:p>
        </w:tc>
        <w:tc>
          <w:tcPr>
            <w:tcW w:w="257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5 рабочих дней</w:t>
            </w:r>
          </w:p>
        </w:tc>
      </w:tr>
      <w:tr>
        <w:trPr>
          <w:cantSplit w:val="true"/>
        </w:trPr>
        <w:tc>
          <w:tcPr>
            <w:tcW w:w="4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5</w:t>
            </w:r>
          </w:p>
        </w:tc>
        <w:tc>
          <w:tcPr>
            <w:tcW w:w="37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Принять автомобиль к учёту; сроки полезного использования определить отдельно для бухгалтерского и налогового учёта</w:t>
            </w:r>
          </w:p>
        </w:tc>
        <w:tc>
          <w:tcPr>
            <w:tcW w:w="230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Главный бухгалтер</w:t>
            </w:r>
          </w:p>
        </w:tc>
        <w:tc>
          <w:tcPr>
            <w:tcW w:w="257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Месяц принятия к учёту</w:t>
            </w:r>
          </w:p>
        </w:tc>
      </w:tr>
      <w:tr>
        <w:trPr>
          <w:cantSplit w:val="true"/>
        </w:trPr>
        <w:tc>
          <w:tcPr>
            <w:tcW w:w="4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6</w:t>
            </w:r>
          </w:p>
        </w:tc>
        <w:tc>
          <w:tcPr>
            <w:tcW w:w="37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Заключить договоры: сервис, топливные карты, парковка; каско — по решению (при лизинге — по договору)</w:t>
            </w:r>
          </w:p>
        </w:tc>
        <w:tc>
          <w:tcPr>
            <w:tcW w:w="2301"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Административная служба</w:t>
            </w:r>
          </w:p>
        </w:tc>
        <w:tc>
          <w:tcPr>
            <w:tcW w:w="257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1 месяц</w:t>
            </w:r>
          </w:p>
        </w:tc>
      </w:tr>
      <w:tr>
        <w:trPr>
          <w:cantSplit w:val="true"/>
        </w:trPr>
        <w:tc>
          <w:tcPr>
            <w:tcW w:w="4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7</w:t>
            </w:r>
          </w:p>
        </w:tc>
        <w:tc>
          <w:tcPr>
            <w:tcW w:w="37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Вести календарь юридически значимых сроков (ниже)</w:t>
            </w:r>
          </w:p>
        </w:tc>
        <w:tc>
          <w:tcPr>
            <w:tcW w:w="2301"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Ответственный за транспорт, бухгалтерия</w:t>
            </w:r>
          </w:p>
        </w:tc>
        <w:tc>
          <w:tcPr>
            <w:tcW w:w="257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Постоянно</w:t>
            </w:r>
          </w:p>
        </w:tc>
      </w:tr>
    </w:tbl>
    <w:p>
      <w:pPr>
        <w:pStyle w:val="Normal"/>
        <w:spacing w:lineRule="auto" w:line="276" w:before="60" w:after="160"/>
        <w:rPr/>
      </w:pPr>
      <w:r>
        <w:rPr>
          <w:rFonts w:eastAsia="Roboto" w:cs="Roboto"/>
          <w:i/>
          <w:iCs/>
          <w:color w:val="808080"/>
          <w:sz w:val="18"/>
          <w:szCs w:val="18"/>
        </w:rPr>
        <w:t>Источник: разделы 2–9 настоящей справки</w:t>
      </w:r>
    </w:p>
    <w:p>
      <w:pPr>
        <w:pStyle w:val="Normal"/>
        <w:keepNext w:val="true"/>
        <w:spacing w:lineRule="auto" w:line="276" w:before="0" w:after="120"/>
        <w:jc w:val="both"/>
        <w:rPr/>
      </w:pPr>
      <w:r>
        <w:rPr>
          <w:rFonts w:eastAsia="Roboto" w:cs="Roboto"/>
          <w:b w:val="false"/>
          <w:bCs w:val="false"/>
          <w:i w:val="false"/>
          <w:iCs w:val="false"/>
          <w:color w:val="333333"/>
          <w:sz w:val="22"/>
          <w:szCs w:val="22"/>
        </w:rPr>
        <w:t>Календарные сроки не исчерпываются первыми десятью днями. В календарь ответственного и бухгалтерии включаются как минимум:</w:t>
      </w:r>
    </w:p>
    <w:p>
      <w:pPr>
        <w:pStyle w:val="ListParagraph"/>
        <w:numPr>
          <w:ilvl w:val="0"/>
          <w:numId w:val="20"/>
        </w:numPr>
        <w:spacing w:lineRule="auto" w:line="276" w:before="0" w:after="60"/>
        <w:jc w:val="both"/>
        <w:rPr/>
      </w:pPr>
      <w:r>
        <w:rPr>
          <w:rFonts w:eastAsia="Roboto" w:cs="Roboto"/>
          <w:b w:val="false"/>
          <w:bCs w:val="false"/>
          <w:i w:val="false"/>
          <w:iCs w:val="false"/>
          <w:color w:val="333333"/>
          <w:sz w:val="22"/>
          <w:szCs w:val="22"/>
        </w:rPr>
        <w:t>срок действия ОСАГО и дата продления;</w:t>
      </w:r>
    </w:p>
    <w:p>
      <w:pPr>
        <w:pStyle w:val="ListParagraph"/>
        <w:numPr>
          <w:ilvl w:val="0"/>
          <w:numId w:val="9"/>
        </w:numPr>
        <w:spacing w:lineRule="auto" w:line="276" w:before="0" w:after="60"/>
        <w:jc w:val="both"/>
        <w:rPr/>
      </w:pPr>
      <w:r>
        <w:rPr>
          <w:rFonts w:eastAsia="Roboto" w:cs="Roboto"/>
          <w:b w:val="false"/>
          <w:bCs w:val="false"/>
          <w:i w:val="false"/>
          <w:iCs w:val="false"/>
          <w:color w:val="333333"/>
          <w:sz w:val="22"/>
          <w:szCs w:val="22"/>
        </w:rPr>
        <w:t>периодичность техосмотра по возрасту автомобиля;</w:t>
      </w:r>
    </w:p>
    <w:p>
      <w:pPr>
        <w:pStyle w:val="ListParagraph"/>
        <w:numPr>
          <w:ilvl w:val="0"/>
          <w:numId w:val="9"/>
        </w:numPr>
        <w:spacing w:lineRule="auto" w:line="276" w:before="0" w:after="60"/>
        <w:jc w:val="both"/>
        <w:rPr/>
      </w:pPr>
      <w:r>
        <w:rPr>
          <w:rFonts w:eastAsia="Roboto" w:cs="Roboto"/>
          <w:b w:val="false"/>
          <w:bCs w:val="false"/>
          <w:i w:val="false"/>
          <w:iCs w:val="false"/>
          <w:color w:val="333333"/>
          <w:sz w:val="22"/>
          <w:szCs w:val="22"/>
        </w:rPr>
        <w:t>сроки уплаты транспортного налога и авансовых платежей, сроки подачи уведомлений об исчисленных суммах;</w:t>
      </w:r>
    </w:p>
    <w:p>
      <w:pPr>
        <w:pStyle w:val="ListParagraph"/>
        <w:numPr>
          <w:ilvl w:val="0"/>
          <w:numId w:val="9"/>
        </w:numPr>
        <w:spacing w:lineRule="auto" w:line="276" w:before="0" w:after="60"/>
        <w:jc w:val="both"/>
        <w:rPr/>
      </w:pPr>
      <w:r>
        <w:rPr>
          <w:rFonts w:eastAsia="Roboto" w:cs="Roboto"/>
          <w:b w:val="false"/>
          <w:bCs w:val="false"/>
          <w:i w:val="false"/>
          <w:iCs w:val="false"/>
          <w:color w:val="333333"/>
          <w:sz w:val="22"/>
          <w:szCs w:val="22"/>
        </w:rPr>
        <w:t>сроки обжалования постановлений и льготной оплаты штрафов;</w:t>
      </w:r>
    </w:p>
    <w:p>
      <w:pPr>
        <w:pStyle w:val="ListParagraph"/>
        <w:numPr>
          <w:ilvl w:val="0"/>
          <w:numId w:val="9"/>
        </w:numPr>
        <w:spacing w:lineRule="auto" w:line="276" w:before="0" w:after="60"/>
        <w:jc w:val="both"/>
        <w:rPr/>
      </w:pPr>
      <w:r>
        <w:rPr>
          <w:rFonts w:eastAsia="Roboto" w:cs="Roboto"/>
          <w:b w:val="false"/>
          <w:bCs w:val="false"/>
          <w:i w:val="false"/>
          <w:iCs w:val="false"/>
          <w:color w:val="333333"/>
          <w:sz w:val="22"/>
          <w:szCs w:val="22"/>
        </w:rPr>
        <w:t>срок уведомления страховщика о ДТП по договору страхования;</w:t>
      </w:r>
    </w:p>
    <w:p>
      <w:pPr>
        <w:pStyle w:val="ListParagraph"/>
        <w:numPr>
          <w:ilvl w:val="0"/>
          <w:numId w:val="9"/>
        </w:numPr>
        <w:spacing w:lineRule="auto" w:line="276" w:before="0" w:after="60"/>
        <w:jc w:val="both"/>
        <w:rPr/>
      </w:pPr>
      <w:r>
        <w:rPr>
          <w:rFonts w:eastAsia="Roboto" w:cs="Roboto"/>
          <w:b w:val="false"/>
          <w:bCs w:val="false"/>
          <w:i w:val="false"/>
          <w:iCs w:val="false"/>
          <w:color w:val="333333"/>
          <w:sz w:val="22"/>
          <w:szCs w:val="22"/>
        </w:rPr>
        <w:t>месячный срок для распоряжения о взыскании ущерба с работника;</w:t>
      </w:r>
    </w:p>
    <w:p>
      <w:pPr>
        <w:pStyle w:val="ListParagraph"/>
        <w:numPr>
          <w:ilvl w:val="0"/>
          <w:numId w:val="9"/>
        </w:numPr>
        <w:spacing w:lineRule="auto" w:line="276" w:before="0" w:after="60"/>
        <w:jc w:val="both"/>
        <w:rPr/>
      </w:pPr>
      <w:r>
        <w:rPr>
          <w:rFonts w:eastAsia="Roboto" w:cs="Roboto"/>
          <w:b w:val="false"/>
          <w:bCs w:val="false"/>
          <w:i w:val="false"/>
          <w:iCs w:val="false"/>
          <w:color w:val="333333"/>
          <w:sz w:val="22"/>
          <w:szCs w:val="22"/>
        </w:rPr>
        <w:t>регламентные ТО по пробегу и периодические медосмотры водителей.</w:t>
      </w:r>
    </w:p>
    <w:p>
      <w:pPr>
        <w:pStyle w:val="Heading1"/>
        <w:keepNext w:val="true"/>
        <w:numPr>
          <w:ilvl w:val="0"/>
          <w:numId w:val="1"/>
        </w:numPr>
        <w:rPr/>
      </w:pPr>
      <w:bookmarkStart w:id="18" w:name="__RefHeading___Toc919_1505658153"/>
      <w:bookmarkEnd w:id="18"/>
      <w:r>
        <w:rPr>
          <w:rFonts w:eastAsia="Roboto" w:cs="Roboto"/>
          <w:b/>
          <w:bCs/>
          <w:color w:val="1A1A1A"/>
          <w:sz w:val="24"/>
          <w:szCs w:val="24"/>
        </w:rPr>
        <w:t>Ключевые допущения и источники</w:t>
      </w:r>
    </w:p>
    <w:p>
      <w:pPr>
        <w:pStyle w:val="Normal"/>
        <w:keepNext w:val="false"/>
        <w:spacing w:lineRule="auto" w:line="276" w:before="0" w:after="120"/>
        <w:jc w:val="both"/>
        <w:rPr/>
      </w:pPr>
      <w:r>
        <w:rPr>
          <w:rFonts w:eastAsia="Roboto" w:cs="Roboto"/>
          <w:b w:val="false"/>
          <w:bCs w:val="false"/>
          <w:i w:val="false"/>
          <w:iCs w:val="false"/>
          <w:color w:val="333333"/>
          <w:sz w:val="22"/>
          <w:szCs w:val="22"/>
        </w:rPr>
        <w:t>Справка исходит из следующих допущений: организация — российское юридическое лицо на общем режиме или УСН; автомобиль — легковой, используется для собственных нужд (не такси, не коммерческие перевозки); регистрация — на организацию. Для перевозочной деятельности состав обязательных документов существенно шире (лицензирование, аттестованный ответственный за безопасность дорожного движения, предрейсовый технический контроль) и в настоящей справке не рассматривается. Нормативные акты указаны в редакциях, действующих на август 2026 года; позиции, зависящие от параметров конкретного года или спорной практики, помечены.</w:t>
      </w:r>
    </w:p>
    <w:p>
      <w:pPr>
        <w:pStyle w:val="Normal"/>
        <w:keepNext w:val="true"/>
        <w:spacing w:lineRule="auto" w:line="276" w:before="120" w:after="60"/>
        <w:rPr/>
      </w:pPr>
      <w:r>
        <w:rPr>
          <w:rFonts w:eastAsia="Roboto" w:cs="Roboto"/>
          <w:i/>
          <w:iCs/>
          <w:color w:val="808080"/>
          <w:sz w:val="18"/>
          <w:szCs w:val="18"/>
        </w:rPr>
        <w:t>Табл. 5. Статус ключевых утверждений</w:t>
      </w:r>
    </w:p>
    <w:tbl>
      <w:tblPr>
        <w:tblW w:w="9071" w:type="dxa"/>
        <w:jc w:val="left"/>
        <w:tblInd w:w="0" w:type="dxa"/>
        <w:tblLayout w:type="fixed"/>
        <w:tblCellMar>
          <w:top w:w="60" w:type="dxa"/>
          <w:left w:w="100" w:type="dxa"/>
          <w:bottom w:w="60" w:type="dxa"/>
          <w:right w:w="100" w:type="dxa"/>
        </w:tblCellMar>
      </w:tblPr>
      <w:tblGrid>
        <w:gridCol w:w="3499"/>
        <w:gridCol w:w="2300"/>
        <w:gridCol w:w="3272"/>
      </w:tblGrid>
      <w:tr>
        <w:trPr>
          <w:tblHeader w:val="true"/>
        </w:trPr>
        <w:tc>
          <w:tcPr>
            <w:tcW w:w="3499" w:type="dxa"/>
            <w:tcBorders>
              <w:top w:val="single" w:sz="12" w:space="0" w:color="1A1A1A"/>
              <w:bottom w:val="single" w:sz="12" w:space="0" w:color="1A1A1A"/>
            </w:tcBorders>
          </w:tcPr>
          <w:p>
            <w:pPr>
              <w:pStyle w:val="Normal"/>
              <w:spacing w:lineRule="auto" w:line="252" w:before="0" w:after="0"/>
              <w:jc w:val="left"/>
              <w:rPr/>
            </w:pPr>
            <w:r>
              <w:rPr>
                <w:rFonts w:eastAsia="Roboto" w:cs="Roboto"/>
                <w:b/>
                <w:bCs/>
                <w:color w:val="333333"/>
                <w:sz w:val="20"/>
                <w:szCs w:val="20"/>
              </w:rPr>
              <w:t>Утверждение</w:t>
            </w:r>
          </w:p>
        </w:tc>
        <w:tc>
          <w:tcPr>
            <w:tcW w:w="2300" w:type="dxa"/>
            <w:tcBorders>
              <w:top w:val="single" w:sz="12" w:space="0" w:color="1A1A1A"/>
              <w:bottom w:val="single" w:sz="12" w:space="0" w:color="1A1A1A"/>
            </w:tcBorders>
          </w:tcPr>
          <w:p>
            <w:pPr>
              <w:pStyle w:val="Normal"/>
              <w:spacing w:lineRule="auto" w:line="252" w:before="0" w:after="0"/>
              <w:jc w:val="left"/>
              <w:rPr/>
            </w:pPr>
            <w:r>
              <w:rPr>
                <w:rFonts w:eastAsia="Roboto" w:cs="Roboto"/>
                <w:b/>
                <w:bCs/>
                <w:color w:val="333333"/>
                <w:sz w:val="20"/>
                <w:szCs w:val="20"/>
              </w:rPr>
              <w:t>Статус</w:t>
            </w:r>
          </w:p>
        </w:tc>
        <w:tc>
          <w:tcPr>
            <w:tcW w:w="3272" w:type="dxa"/>
            <w:tcBorders>
              <w:top w:val="single" w:sz="12" w:space="0" w:color="1A1A1A"/>
              <w:bottom w:val="single" w:sz="12" w:space="0" w:color="1A1A1A"/>
            </w:tcBorders>
          </w:tcPr>
          <w:p>
            <w:pPr>
              <w:pStyle w:val="Normal"/>
              <w:spacing w:lineRule="auto" w:line="252" w:before="0" w:after="0"/>
              <w:jc w:val="left"/>
              <w:rPr/>
            </w:pPr>
            <w:r>
              <w:rPr>
                <w:rFonts w:eastAsia="Roboto" w:cs="Roboto"/>
                <w:b/>
                <w:bCs/>
                <w:color w:val="333333"/>
                <w:sz w:val="20"/>
                <w:szCs w:val="20"/>
              </w:rPr>
              <w:t>Основание</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ОСАГО — до начала использования; десятидневная отсрочка отменена с 01.03.2025; полис не требуется для регистрации</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ст. 4 закона № 40-ФЗ и закон № 283-ФЗ в ред. с 01.03.2025</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Регистрация — 10 дней со дня приобретения прав владельца; момент перехода права определяется договором</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ст. 8 закона № 283-ФЗ; ст. 223 ГК РФ</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Техосмотр для автомобилей организаций обязателен</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ст. 15 закона № 170-ФЗ</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Путевой лист обязателен при перевозках пассажиров, багажа, грузов; реквизиты — приказ № 390</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 и подзаконный акт</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ст. 6 закона № 259-ФЗ (УАТ); приказ Минтранса № 390 от 28.09.2022</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Медосмотры работников-водителей: предварительные, периодические, предрейсовые; дистанционные — с очными ХТИ</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Нормы и подзаконные акты; для управленцев — спорная зона</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ст. 23 закона № 196-ФЗ; ст. 220 ТК РФ; приказ Минздрава № 266н</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Перечни должностей для полной матответственности; водитель в них не входит</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Подзаконный акт (действует с 01.09.2025)</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приказ Минтруда № 251н; ст. 243–244 ТК РФ</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Удержание ущерба: распоряжение в месячный срок в пределах среднего заработка; взыскание адм. штрафов — практика неоднородна</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 судебная практика</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ст. 238, 243, 248 ТК РФ</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Возмещение вреда третьим лицам — владелец, регресс к работнику</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ст. 1079, 1081 ГК РФ</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Коэффициент владения при выбытии — правило 15-го числа</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п. 3 ст. 362 НК РФ</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НДС на УСН: освобождение при доходах за 2025 год не выше 20 млн руб.; спецставки 5% и 7% без вычета</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 параметры проверить на дату</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гл. 21, 26.2 НК РФ в ред. 2026 года</w:t>
            </w:r>
          </w:p>
        </w:tc>
      </w:tr>
      <w:tr>
        <w:trPr/>
        <w:tc>
          <w:tcPr>
            <w:tcW w:w="3499"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Пересчёт базы при продаже ОС на УСН ранее трёх лет</w:t>
            </w:r>
          </w:p>
        </w:tc>
        <w:tc>
          <w:tcPr>
            <w:tcW w:w="2300"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Норма закона</w:t>
            </w:r>
          </w:p>
        </w:tc>
        <w:tc>
          <w:tcPr>
            <w:tcW w:w="3272" w:type="dxa"/>
            <w:tcBorders>
              <w:bottom w:val="single" w:sz="4" w:space="0" w:color="D9D9D9"/>
            </w:tcBorders>
          </w:tcPr>
          <w:p>
            <w:pPr>
              <w:pStyle w:val="Normal"/>
              <w:spacing w:lineRule="auto" w:line="252" w:before="0" w:after="0"/>
              <w:jc w:val="left"/>
              <w:rPr/>
            </w:pPr>
            <w:r>
              <w:rPr>
                <w:rFonts w:eastAsia="Roboto" w:cs="Roboto"/>
                <w:b w:val="false"/>
                <w:bCs w:val="false"/>
                <w:color w:val="333333"/>
                <w:sz w:val="20"/>
                <w:szCs w:val="20"/>
              </w:rPr>
              <w:t>п. 3 ст. 346.16 НК РФ</w:t>
            </w:r>
          </w:p>
        </w:tc>
      </w:tr>
      <w:tr>
        <w:trPr/>
        <w:tc>
          <w:tcPr>
            <w:tcW w:w="3499" w:type="dxa"/>
            <w:tcBorders>
              <w:bottom w:val="single" w:sz="12" w:space="0" w:color="1A1A1A"/>
            </w:tcBorders>
          </w:tcPr>
          <w:p>
            <w:pPr>
              <w:pStyle w:val="Normal"/>
              <w:spacing w:lineRule="auto" w:line="252" w:before="0" w:after="0"/>
              <w:jc w:val="left"/>
              <w:rPr/>
            </w:pPr>
            <w:r>
              <w:rPr>
                <w:rFonts w:eastAsia="Roboto" w:cs="Roboto"/>
                <w:b w:val="false"/>
                <w:bCs w:val="false"/>
                <w:color w:val="333333"/>
                <w:sz w:val="20"/>
                <w:szCs w:val="20"/>
              </w:rPr>
              <w:t>Размеры госпошлин и параметры скидки по штрафам</w:t>
            </w:r>
          </w:p>
        </w:tc>
        <w:tc>
          <w:tcPr>
            <w:tcW w:w="2300" w:type="dxa"/>
            <w:tcBorders>
              <w:bottom w:val="single" w:sz="12" w:space="0" w:color="1A1A1A"/>
            </w:tcBorders>
          </w:tcPr>
          <w:p>
            <w:pPr>
              <w:pStyle w:val="Normal"/>
              <w:spacing w:lineRule="auto" w:line="252" w:before="0" w:after="0"/>
              <w:jc w:val="left"/>
              <w:rPr/>
            </w:pPr>
            <w:r>
              <w:rPr>
                <w:rFonts w:eastAsia="Roboto" w:cs="Roboto"/>
                <w:b w:val="false"/>
                <w:bCs w:val="false"/>
                <w:color w:val="333333"/>
                <w:sz w:val="20"/>
                <w:szCs w:val="20"/>
              </w:rPr>
              <w:t>Уточнить на дату оформления</w:t>
            </w:r>
          </w:p>
        </w:tc>
        <w:tc>
          <w:tcPr>
            <w:tcW w:w="3272" w:type="dxa"/>
            <w:tcBorders>
              <w:bottom w:val="single" w:sz="12" w:space="0" w:color="1A1A1A"/>
            </w:tcBorders>
          </w:tcPr>
          <w:p>
            <w:pPr>
              <w:pStyle w:val="Normal"/>
              <w:spacing w:lineRule="auto" w:line="252" w:before="0" w:after="0"/>
              <w:jc w:val="left"/>
              <w:rPr/>
            </w:pPr>
            <w:r>
              <w:rPr>
                <w:rFonts w:eastAsia="Roboto" w:cs="Roboto"/>
                <w:b w:val="false"/>
                <w:bCs w:val="false"/>
                <w:color w:val="333333"/>
                <w:sz w:val="20"/>
                <w:szCs w:val="20"/>
              </w:rPr>
              <w:t>ст. 333.33 НК РФ; ст. 32.2 КоАП РФ в действующей редакции</w:t>
            </w:r>
          </w:p>
        </w:tc>
      </w:tr>
    </w:tbl>
    <w:p>
      <w:pPr>
        <w:pStyle w:val="Normal"/>
        <w:spacing w:lineRule="auto" w:line="276" w:before="60" w:after="160"/>
        <w:rPr/>
      </w:pPr>
      <w:r>
        <w:rPr>
          <w:rFonts w:eastAsia="Roboto" w:cs="Roboto"/>
          <w:i/>
          <w:iCs/>
          <w:color w:val="808080"/>
          <w:sz w:val="18"/>
          <w:szCs w:val="18"/>
        </w:rPr>
        <w:t>Источник: указанные нормативные акты; редакции — на август 2026 года</w:t>
      </w:r>
      <w:r>
        <w:br w:type="page"/>
      </w:r>
    </w:p>
    <w:p>
      <w:pPr>
        <w:pStyle w:val="Heading1"/>
        <w:keepNext w:val="true"/>
        <w:numPr>
          <w:ilvl w:val="0"/>
          <w:numId w:val="21"/>
        </w:numPr>
        <w:rPr/>
      </w:pPr>
      <w:bookmarkStart w:id="19" w:name="__RefHeading___Toc921_1505658153"/>
      <w:bookmarkEnd w:id="19"/>
      <w:r>
        <w:rPr>
          <w:rFonts w:eastAsia="Roboto" w:cs="Roboto"/>
          <w:b/>
          <w:bCs/>
          <w:color w:val="1A1A1A"/>
          <w:sz w:val="24"/>
          <w:szCs w:val="24"/>
        </w:rPr>
        <w:t>Реестр документов по категориям обязательности</w:t>
      </w:r>
    </w:p>
    <w:p>
      <w:pPr>
        <w:pStyle w:val="Normal"/>
        <w:keepNext w:val="false"/>
        <w:spacing w:lineRule="auto" w:line="276" w:before="0" w:after="120"/>
        <w:jc w:val="both"/>
        <w:rPr/>
      </w:pPr>
      <w:r>
        <w:rPr>
          <w:rFonts w:eastAsia="Roboto" w:cs="Roboto"/>
          <w:b w:val="false"/>
          <w:bCs w:val="false"/>
          <w:i w:val="false"/>
          <w:iCs w:val="false"/>
          <w:color w:val="333333"/>
          <w:sz w:val="22"/>
          <w:szCs w:val="22"/>
        </w:rPr>
        <w:t>Реестр перестроен по пяти категориям: обязательные для всех, обязательные при определённых условиях, налоговые доказательства, рекомендованные внутренние контроли и договорные документы. Итоговый состав для конкретной организации определяется её моделью эксплуатации: категория 2 применяется при наступлении указанного условия, категории 3–5 — по решению организации с учётом налоговых рисков.</w:t>
      </w:r>
    </w:p>
    <w:p>
      <w:pPr>
        <w:pStyle w:val="Normal"/>
        <w:keepNext w:val="true"/>
        <w:spacing w:lineRule="auto" w:line="276" w:before="120" w:after="60"/>
        <w:rPr/>
      </w:pPr>
      <w:r>
        <w:rPr>
          <w:rFonts w:eastAsia="Roboto" w:cs="Roboto"/>
          <w:i/>
          <w:iCs/>
          <w:color w:val="808080"/>
          <w:sz w:val="18"/>
          <w:szCs w:val="18"/>
        </w:rPr>
        <w:t>Табл. 6. Реестр документов</w:t>
      </w:r>
    </w:p>
    <w:tbl>
      <w:tblPr>
        <w:tblW w:w="9071" w:type="dxa"/>
        <w:jc w:val="left"/>
        <w:tblInd w:w="0" w:type="dxa"/>
        <w:tblLayout w:type="fixed"/>
        <w:tblCellMar>
          <w:top w:w="60" w:type="dxa"/>
          <w:left w:w="100" w:type="dxa"/>
          <w:bottom w:w="60" w:type="dxa"/>
          <w:right w:w="100" w:type="dxa"/>
        </w:tblCellMar>
      </w:tblPr>
      <w:tblGrid>
        <w:gridCol w:w="3799"/>
        <w:gridCol w:w="2500"/>
        <w:gridCol w:w="2772"/>
      </w:tblGrid>
      <w:tr>
        <w:trPr>
          <w:tblHeader w:val="true"/>
        </w:trPr>
        <w:tc>
          <w:tcPr>
            <w:tcW w:w="3799"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Документ</w:t>
            </w:r>
          </w:p>
        </w:tc>
        <w:tc>
          <w:tcPr>
            <w:tcW w:w="2500"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Когда оформляется</w:t>
            </w:r>
          </w:p>
        </w:tc>
        <w:tc>
          <w:tcPr>
            <w:tcW w:w="2772" w:type="dxa"/>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Примечание</w:t>
            </w:r>
          </w:p>
        </w:tc>
      </w:tr>
      <w:tr>
        <w:trPr/>
        <w:tc>
          <w:tcPr>
            <w:tcW w:w="9071" w:type="dxa"/>
            <w:gridSpan w:val="3"/>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Категория 1. Обязательные для всех</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Договор купли-продажи (или договор лизинга) и акт приёма-передачи</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Однократно, при сделке</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Проверить момент перехода права собственности</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УПД (счёт-фактура + накладная), платёжные документы</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Однократно</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Основание учёта и вычета НДС</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Запись о собственнике в ЭПТС</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Однократно</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Проверить статус записи</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Полис ОСАГО</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 первого использования; далее ежегодно</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Отсрочки страхования нет с 01.03.2025</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Изменение регистрационных данных (СТС, знаки)</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10 дней со дня приобретения прав владельца</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ОСАГО для регистрации не требуется</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Учётные документы ОС: приказ о вводе, акт, инвентарная карточка</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При принятии к учёту</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СПИ — отдельно для БУ и НУ</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Уведомления и уплата транспортного налога</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Ежеквартально / ежегодно</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Единый налоговый платёж; коэффициент владения при выбытии</w:t>
            </w:r>
          </w:p>
        </w:tc>
      </w:tr>
      <w:tr>
        <w:trPr/>
        <w:tc>
          <w:tcPr>
            <w:tcW w:w="9071" w:type="dxa"/>
            <w:gridSpan w:val="3"/>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Категория 2. Обязательные при определённых условиях</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Диагностическая карта (техосмотр)</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Автомобиль старше четырёх лет</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4–10 лет — раз в два года, старше — ежегодно</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Путевые листы</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Перевозки пассажиров, багажа или грузов</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ст. 6 УАТ; реквизиты — приказ № 390</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Медицинские осмотры и журналы</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Работники, занятые в качестве водителей</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Предварительные, периодические, предрейсовые; послерейсовые — при перевозках пассажиров или опасных грузов</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Полис каско</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Лизинг (по договору)</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Вне лизинга — добровольно, категория 5</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Пересчёт налоговой базы при УСН</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Продажа ранее трёх лет с учёта расходов</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 3 ст. 346.16 НК РФ</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Доверенность представителя</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Регистрация и иные действия через представителя</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w:t>
            </w:r>
          </w:p>
        </w:tc>
      </w:tr>
      <w:tr>
        <w:trPr/>
        <w:tc>
          <w:tcPr>
            <w:tcW w:w="9071" w:type="dxa"/>
            <w:gridSpan w:val="3"/>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Категория 3. Налоговые доказательства</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Путевые листы (вне обязательных случаев) или маршрутные и служебные отчёты</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На поездку / период</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Самый защищённый вариант — путевой лист</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Приказ о нормах расхода топлива, акты списания</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Один раз; акты — ежемесячно</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АМ-23-р или данные производителя и замеры</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Отчёты топливных карт, данные GPS/ГЛОНАСС, показания одометра</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Ежемесячно</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Должны подтверждать маршрут, пробег, расход, деловую цель</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Документы о личном использовании (запрет или оформление)</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До допуска личных поездок</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Иначе — НДФЛ, взносы, пени при проверке</w:t>
            </w:r>
          </w:p>
        </w:tc>
      </w:tr>
      <w:tr>
        <w:trPr/>
        <w:tc>
          <w:tcPr>
            <w:tcW w:w="9071" w:type="dxa"/>
            <w:gridSpan w:val="3"/>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Категория 4. Рекомендованные внутренние контроли</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Положение о служебном транспорте</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Один раз, до начала эксплуатации</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Не заменяет обязательные процедуры</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Приказы: ответственный, закрепление + акт передачи, лимиты расходов</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 начала эксплуатации; при смене водителя</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Распределение функций между службами</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Календарь юридически значимых сроков</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Постоянно</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Перечень — в разд. 11</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Порядок действий при ДТП и штрафах; служебные расследования</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Раздел положения; по событиям</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Взыскание с работника — с учётом ограничений ТК РФ</w:t>
            </w:r>
          </w:p>
        </w:tc>
      </w:tr>
      <w:tr>
        <w:trPr/>
        <w:tc>
          <w:tcPr>
            <w:tcW w:w="9071" w:type="dxa"/>
            <w:gridSpan w:val="3"/>
            <w:tcBorders>
              <w:top w:val="single" w:sz="4" w:space="0" w:color="D9D9D9"/>
              <w:left w:val="single" w:sz="4" w:space="0" w:color="D9D9D9"/>
              <w:bottom w:val="single" w:sz="4" w:space="0" w:color="D9D9D9"/>
              <w:right w:val="single" w:sz="4" w:space="0" w:color="D9D9D9"/>
            </w:tcBorders>
            <w:shd w:fill="D6E0EC" w:val="clear"/>
          </w:tcPr>
          <w:p>
            <w:pPr>
              <w:pStyle w:val="Normal"/>
              <w:spacing w:lineRule="auto" w:line="252" w:before="0" w:after="0"/>
              <w:jc w:val="left"/>
              <w:rPr/>
            </w:pPr>
            <w:r>
              <w:rPr>
                <w:rFonts w:eastAsia="Roboto" w:cs="Roboto"/>
                <w:b/>
                <w:bCs/>
                <w:color w:val="333333"/>
                <w:sz w:val="20"/>
                <w:szCs w:val="20"/>
              </w:rPr>
              <w:t>Категория 5. Договорные документы</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Договоры: сервис, топливные карты, парковка, мойка, хранение шин</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 потребности</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Заказ-наряды, акты — по событиям</w:t>
            </w:r>
          </w:p>
        </w:tc>
      </w:tr>
      <w:tr>
        <w:trPr/>
        <w:tc>
          <w:tcPr>
            <w:tcW w:w="3799"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Договор с медицинской организацией (или оператором дистанционных осмотров)</w:t>
            </w:r>
          </w:p>
        </w:tc>
        <w:tc>
          <w:tcPr>
            <w:tcW w:w="2500"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До первого выезда работника-водителя</w:t>
            </w:r>
          </w:p>
        </w:tc>
        <w:tc>
          <w:tcPr>
            <w:tcW w:w="2772" w:type="dxa"/>
            <w:tcBorders>
              <w:top w:val="single" w:sz="4" w:space="0" w:color="D9D9D9"/>
              <w:left w:val="single" w:sz="4" w:space="0" w:color="D9D9D9"/>
              <w:bottom w:val="single" w:sz="4" w:space="0" w:color="D9D9D9"/>
              <w:right w:val="single" w:sz="4" w:space="0" w:color="D9D9D9"/>
            </w:tcBorders>
            <w:shd w:fill="F5F5F5" w:val="clear"/>
          </w:tcPr>
          <w:p>
            <w:pPr>
              <w:pStyle w:val="Normal"/>
              <w:spacing w:lineRule="auto" w:line="252" w:before="0" w:after="0"/>
              <w:jc w:val="left"/>
              <w:rPr/>
            </w:pPr>
            <w:r>
              <w:rPr>
                <w:rFonts w:eastAsia="Roboto" w:cs="Roboto"/>
                <w:b w:val="false"/>
                <w:bCs w:val="false"/>
                <w:color w:val="333333"/>
                <w:sz w:val="20"/>
                <w:szCs w:val="20"/>
              </w:rPr>
              <w:t>Для категории 2 — обязателен по сути</w:t>
            </w:r>
          </w:p>
        </w:tc>
      </w:tr>
      <w:tr>
        <w:trPr/>
        <w:tc>
          <w:tcPr>
            <w:tcW w:w="3799"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Полис каско (вне лизинга), ДСАГО</w:t>
            </w:r>
          </w:p>
        </w:tc>
        <w:tc>
          <w:tcPr>
            <w:tcW w:w="2500"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По решению организации</w:t>
            </w:r>
          </w:p>
        </w:tc>
        <w:tc>
          <w:tcPr>
            <w:tcW w:w="2772" w:type="dxa"/>
            <w:tcBorders>
              <w:top w:val="single" w:sz="4" w:space="0" w:color="D9D9D9"/>
              <w:left w:val="single" w:sz="4" w:space="0" w:color="D9D9D9"/>
              <w:bottom w:val="single" w:sz="4" w:space="0" w:color="D9D9D9"/>
              <w:right w:val="single" w:sz="4" w:space="0" w:color="D9D9D9"/>
            </w:tcBorders>
          </w:tcPr>
          <w:p>
            <w:pPr>
              <w:pStyle w:val="Normal"/>
              <w:spacing w:lineRule="auto" w:line="252" w:before="0" w:after="0"/>
              <w:jc w:val="left"/>
              <w:rPr/>
            </w:pPr>
            <w:r>
              <w:rPr>
                <w:rFonts w:eastAsia="Roboto" w:cs="Roboto"/>
                <w:b w:val="false"/>
                <w:bCs w:val="false"/>
                <w:color w:val="333333"/>
                <w:sz w:val="20"/>
                <w:szCs w:val="20"/>
              </w:rPr>
              <w:t>Защита от ущерба без виновника</w:t>
            </w:r>
          </w:p>
        </w:tc>
      </w:tr>
    </w:tbl>
    <w:p>
      <w:pPr>
        <w:pStyle w:val="Normal"/>
        <w:spacing w:lineRule="auto" w:line="276" w:before="60" w:after="160"/>
        <w:rPr/>
      </w:pPr>
      <w:r>
        <w:rPr>
          <w:rFonts w:eastAsia="Roboto" w:cs="Roboto"/>
          <w:i/>
          <w:iCs/>
          <w:color w:val="808080"/>
          <w:sz w:val="18"/>
          <w:szCs w:val="18"/>
        </w:rPr>
        <w:t>Источник: разделы 2–9 настоящей справки</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4"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Roboto">
    <w:charset w:val="01"/>
    <w:family w:val="roman"/>
    <w:pitch w:val="variable"/>
  </w:font>
  <w:font w:name="Liberation Sans">
    <w:altName w:val="Arial"/>
    <w:charset w:val="01"/>
    <w:family w:val="swiss"/>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spacing w:before="0" w:after="0"/>
      <w:jc w:val="right"/>
      <w:rPr/>
    </w:pPr>
    <w:r>
      <w:rPr>
        <w:rFonts w:eastAsia="Roboto" w:cs="Roboto"/>
        <w:color w:val="808080"/>
        <w:sz w:val="18"/>
        <w:szCs w:val="18"/>
      </w:rPr>
      <w:t xml:space="preserve">Стр.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D9D9D9"/>
      </w:pBdr>
      <w:tabs>
        <w:tab w:val="clear" w:pos="720"/>
        <w:tab w:val="right" w:pos="9071" w:leader="none"/>
      </w:tabs>
      <w:spacing w:before="0" w:after="0"/>
      <w:rPr/>
    </w:pPr>
    <w:r>
      <w:rPr>
        <w:rFonts w:eastAsia="Roboto" w:cs="Roboto"/>
        <w:b/>
        <w:bCs/>
        <w:color w:val="808080"/>
        <w:sz w:val="18"/>
        <w:szCs w:val="18"/>
      </w:rPr>
      <w:t>Аналитическая справка</w:t>
    </w:r>
    <w:r>
      <w:rPr>
        <w:rFonts w:eastAsia="Roboto" w:cs="Roboto"/>
        <w:color w:val="808080"/>
        <w:sz w:val="18"/>
        <w:szCs w:val="18"/>
      </w:rPr>
      <w:tab/>
      <w:t>Служебный автомобиль юридического лица</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0" w:hanging="0"/>
      </w:pPr>
      <w:rPr>
        <w:b/>
        <w:bCs/>
      </w:rPr>
    </w:lvl>
    <w:lvl w:ilvl="1">
      <w:start w:val="1"/>
      <w:numFmt w:val="decimal"/>
      <w:lvlText w:val="%1.%2."/>
      <w:lvlJc w:val="left"/>
      <w:pPr>
        <w:tabs>
          <w:tab w:val="num" w:pos="0"/>
        </w:tabs>
        <w:ind w:left="0" w:hanging="0"/>
      </w:pPr>
      <w:rPr>
        <w:b/>
        <w:bCs/>
      </w:rPr>
    </w:lvl>
    <w:lvl w:ilvl="2">
      <w:start w:val="1"/>
      <w:numFmt w:val="decimal"/>
      <w:lvlText w:val="%1.%2.%3."/>
      <w:lvlJc w:val="left"/>
      <w:pPr>
        <w:tabs>
          <w:tab w:val="num" w:pos="0"/>
        </w:tabs>
        <w:ind w:left="0" w:hanging="0"/>
      </w:pPr>
      <w:rPr>
        <w:b/>
        <w:bCs/>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Приложение %1."/>
      <w:lvlJc w:val="left"/>
      <w:pPr>
        <w:tabs>
          <w:tab w:val="num" w:pos="0"/>
        </w:tabs>
        <w:ind w:left="0" w:hanging="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4"/>
    <w:lvlOverride w:ilvl="0">
      <w:startOverride w:val="1"/>
    </w:lvlOverride>
  </w:num>
  <w:num w:numId="16">
    <w:abstractNumId w:val="5"/>
    <w:lvlOverride w:ilvl="0">
      <w:startOverride w:val="1"/>
    </w:lvlOverride>
  </w:num>
  <w:num w:numId="17">
    <w:abstractNumId w:val="6"/>
    <w:lvlOverride w:ilvl="0">
      <w:startOverride w:val="1"/>
    </w:lvlOverride>
  </w:num>
  <w:num w:numId="18">
    <w:abstractNumId w:val="7"/>
    <w:lvlOverride w:ilvl="0">
      <w:startOverride w:val="1"/>
    </w:lvlOverride>
  </w:num>
  <w:num w:numId="19">
    <w:abstractNumId w:val="8"/>
    <w:lvlOverride w:ilvl="0">
      <w:startOverride w:val="1"/>
    </w:lvlOverride>
  </w:num>
  <w:num w:numId="20">
    <w:abstractNumId w:val="9"/>
    <w:lvlOverride w:ilvl="0">
      <w:startOverride w:val="1"/>
    </w:lvlOverride>
  </w:num>
  <w:num w:numId="21">
    <w:abstractNumId w:val="10"/>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boto" w:hAnsi="Roboto" w:eastAsia="Roboto" w:cs="Roboto"/>
        <w:color w:val="333333"/>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20"/>
      <w:jc w:val="left"/>
    </w:pPr>
    <w:rPr>
      <w:rFonts w:ascii="Roboto" w:hAnsi="Roboto" w:eastAsia="Roboto" w:cs="Roboto"/>
      <w:color w:val="333333"/>
      <w:kern w:val="0"/>
      <w:sz w:val="22"/>
      <w:szCs w:val="22"/>
      <w:lang w:val="en-US" w:eastAsia="zh-CN" w:bidi="hi-IN"/>
    </w:rPr>
  </w:style>
  <w:style w:type="paragraph" w:styleId="Heading1">
    <w:name w:val="Heading 1"/>
    <w:basedOn w:val="Normal"/>
    <w:next w:val="Normal"/>
    <w:qFormat/>
    <w:pPr>
      <w:keepNext w:val="true"/>
      <w:spacing w:lineRule="auto" w:line="276" w:before="360" w:after="200"/>
      <w:outlineLvl w:val="0"/>
    </w:pPr>
    <w:rPr>
      <w:rFonts w:ascii="Roboto" w:hAnsi="Roboto" w:eastAsia="Roboto" w:cs="Roboto"/>
      <w:b/>
      <w:bCs/>
      <w:color w:val="1A1A1A"/>
      <w:sz w:val="24"/>
      <w:szCs w:val="24"/>
    </w:rPr>
  </w:style>
  <w:style w:type="paragraph" w:styleId="Heading2">
    <w:name w:val="Heading 2"/>
    <w:basedOn w:val="Normal"/>
    <w:next w:val="Normal"/>
    <w:qFormat/>
    <w:pPr>
      <w:keepNext w:val="true"/>
      <w:spacing w:lineRule="auto" w:line="276" w:before="280" w:after="160"/>
      <w:outlineLvl w:val="1"/>
    </w:pPr>
    <w:rPr>
      <w:rFonts w:ascii="Roboto" w:hAnsi="Roboto" w:eastAsia="Roboto" w:cs="Roboto"/>
      <w:b/>
      <w:bCs/>
      <w:color w:val="1A1A1A"/>
      <w:sz w:val="24"/>
      <w:szCs w:val="24"/>
    </w:rPr>
  </w:style>
  <w:style w:type="paragraph" w:styleId="Heading3">
    <w:name w:val="Heading 3"/>
    <w:basedOn w:val="Normal"/>
    <w:next w:val="Normal"/>
    <w:qFormat/>
    <w:pPr>
      <w:keepNext w:val="true"/>
      <w:spacing w:lineRule="auto" w:line="276" w:before="200" w:after="120"/>
      <w:outlineLvl w:val="2"/>
    </w:pPr>
    <w:rPr>
      <w:rFonts w:ascii="Roboto" w:hAnsi="Roboto" w:eastAsia="Roboto" w:cs="Roboto"/>
      <w:b/>
      <w:bCs/>
      <w:color w:val="1A1A1A"/>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1" w:leader="dot"/>
      </w:tabs>
      <w:ind w:hanging="0" w:left="0"/>
    </w:pPr>
    <w:rPr/>
  </w:style>
  <w:style w:type="paragraph" w:styleId="TOC2">
    <w:name w:val="TOC 2"/>
    <w:basedOn w:val="Index"/>
    <w:pPr>
      <w:tabs>
        <w:tab w:val="clear" w:pos="720"/>
        <w:tab w:val="right" w:pos="8788"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2026-08-19T09:08:58Z</dcterms:created>
  <dc:creator>Un-named</dc:creator>
  <dc:description/>
  <dc:language>en-US</dc:language>
  <cp:lastModifiedBy/>
  <dcterms:modified xsi:type="dcterms:W3CDTF">2026-08-19T09:09:01Z</dcterms:modified>
  <cp:revision>2</cp:revision>
  <dc:subject/>
  <dc:title/>
</cp:coreProperties>
</file>