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r>
        <w:rPr>
          <w:rFonts w:ascii="Aptos" w:hAnsi="Aptos"/>
          <w:b/>
          <w:color w:val="000000"/>
          <w:sz w:val="18"/>
        </w:rPr>
        <w:t>PROJECT TECHNICAL HANDOFF</w:t>
      </w:r>
    </w:p>
    <w:p>
      <w:pPr>
        <w:pStyle w:val="Title"/>
        <w:spacing w:before="320" w:after="240"/>
      </w:pPr>
      <w:r>
        <w:t>Mathematical and Technical Handoff for the Bengaluru Borewell Forecasting Proof of Concept</w:t>
      </w:r>
    </w:p>
    <w:p>
      <w:pPr>
        <w:spacing w:after="320"/>
      </w:pPr>
      <w:r>
        <w:rPr>
          <w:b/>
          <w:color w:val="586670"/>
          <w:sz w:val="24"/>
        </w:rPr>
        <w:t>Complete data, model, validation, website, rainfall, and deployment specification</w:t>
      </w:r>
    </w:p>
    <w:p>
      <w:pPr>
        <w:spacing w:before="160"/>
      </w:pPr>
      <w:r>
        <w:rPr>
          <w:b/>
          <w:color w:val="1F6F8B"/>
          <w:sz w:val="19"/>
        </w:rPr>
        <w:t>Revised 26 September 2026</w:t>
      </w:r>
    </w:p>
    <w:p>
      <w:pPr>
        <w:spacing w:before="320" w:after="240"/>
        <w:ind w:left="227" w:right="1417"/>
      </w:pPr>
      <w:r>
        <w:rPr>
          <w:b w:val="0"/>
          <w:color w:val="222B32"/>
          <w:sz w:val="22"/>
        </w:rPr>
        <w:t>A self-contained record of what was supplied, what was calculated, what was validated, what the public website displays, and what remains scientifically unsupported.</w:t>
      </w:r>
    </w:p>
    <w:p>
      <w:pPr>
        <w:spacing w:before="520"/>
      </w:pPr>
      <w:r>
        <w:rPr>
          <w:b/>
          <w:color w:val="1F6F8B"/>
          <w:sz w:val="16"/>
        </w:rPr>
        <w:t>SCOPE IN ONE SENTENCE</w:t>
        <w:br/>
      </w:r>
      <w:r>
        <w:rPr>
          <w:color w:val="222B32"/>
          <w:sz w:val="21"/>
        </w:rPr>
        <w:t>Real session transitions from 579 wells, and a 450-well synthetic comparison of static-level models with conditional 30-day validation.</w:t>
      </w:r>
    </w:p>
    <w:p>
      <w:r>
        <w:br w:type="page"/>
      </w:r>
    </w:p>
    <w:p>
      <w:pPr>
        <w:pStyle w:val="Heading1"/>
        <w:spacing w:before="80"/>
      </w:pPr>
      <w:r>
        <w:t>Contents</w:t>
      </w:r>
    </w:p>
    <w:p>
      <w:r>
        <w:rPr>
          <w:color w:val="586670"/>
        </w:rPr>
        <w:t>The section order is designed for both technical review and machine handoff.</w:t>
      </w:r>
    </w:p>
    <w:p>
      <w:pPr>
        <w:spacing w:after="44"/>
        <w:ind w:left="142"/>
      </w:pPr>
      <w:r>
        <w:rPr>
          <w:b/>
          <w:color w:val="1F6F8B"/>
        </w:rPr>
        <w:t xml:space="preserve"> 1  </w:t>
      </w:r>
      <w:r>
        <w:rPr>
          <w:sz w:val="18"/>
        </w:rPr>
        <w:t>Executive summary</w:t>
      </w:r>
    </w:p>
    <w:p>
      <w:pPr>
        <w:spacing w:after="44"/>
        <w:ind w:left="142"/>
      </w:pPr>
      <w:r>
        <w:rPr>
          <w:b/>
          <w:color w:val="1F6F8B"/>
        </w:rPr>
        <w:t xml:space="preserve"> 2  </w:t>
      </w:r>
      <w:r>
        <w:rPr>
          <w:sz w:val="18"/>
        </w:rPr>
        <w:t>Deliverables and deployed interfaces</w:t>
      </w:r>
    </w:p>
    <w:p>
      <w:pPr>
        <w:spacing w:after="44"/>
        <w:ind w:left="142"/>
      </w:pPr>
      <w:r>
        <w:rPr>
          <w:b/>
          <w:color w:val="1F6F8B"/>
        </w:rPr>
        <w:t xml:space="preserve"> 3  </w:t>
      </w:r>
      <w:r>
        <w:rPr>
          <w:sz w:val="18"/>
        </w:rPr>
        <w:t>Scope, terminology, and physical sign convention</w:t>
      </w:r>
    </w:p>
    <w:p>
      <w:pPr>
        <w:spacing w:after="44"/>
        <w:ind w:left="142"/>
      </w:pPr>
      <w:r>
        <w:rPr>
          <w:b/>
          <w:color w:val="1F6F8B"/>
        </w:rPr>
        <w:t xml:space="preserve"> 4  </w:t>
      </w:r>
      <w:r>
        <w:rPr>
          <w:sz w:val="18"/>
        </w:rPr>
        <w:t>Supplied data inventory</w:t>
      </w:r>
    </w:p>
    <w:p>
      <w:pPr>
        <w:spacing w:after="44"/>
        <w:ind w:left="142"/>
      </w:pPr>
      <w:r>
        <w:rPr>
          <w:b/>
          <w:color w:val="1F6F8B"/>
        </w:rPr>
        <w:t xml:space="preserve"> 5  </w:t>
      </w:r>
      <w:r>
        <w:rPr>
          <w:sz w:val="18"/>
        </w:rPr>
        <w:t>Session feature construction</w:t>
      </w:r>
    </w:p>
    <w:p>
      <w:pPr>
        <w:spacing w:after="44"/>
        <w:ind w:left="142"/>
      </w:pPr>
      <w:r>
        <w:rPr>
          <w:b/>
          <w:color w:val="1F6F8B"/>
        </w:rPr>
        <w:t xml:space="preserve"> 6  </w:t>
      </w:r>
      <w:r>
        <w:rPr>
          <w:sz w:val="18"/>
        </w:rPr>
        <w:t>Quality screening</w:t>
      </w:r>
    </w:p>
    <w:p>
      <w:pPr>
        <w:spacing w:after="44"/>
        <w:ind w:left="142"/>
      </w:pPr>
      <w:r>
        <w:rPr>
          <w:b/>
          <w:color w:val="1F6F8B"/>
        </w:rPr>
        <w:t xml:space="preserve"> 7  </w:t>
      </w:r>
      <w:r>
        <w:rPr>
          <w:sz w:val="18"/>
        </w:rPr>
        <w:t>Validated pump-transition model</w:t>
      </w:r>
    </w:p>
    <w:p>
      <w:pPr>
        <w:spacing w:after="44"/>
        <w:ind w:left="142"/>
      </w:pPr>
      <w:r>
        <w:rPr>
          <w:b/>
          <w:color w:val="1F6F8B"/>
        </w:rPr>
        <w:t xml:space="preserve"> 8  </w:t>
      </w:r>
      <w:r>
        <w:rPr>
          <w:sz w:val="18"/>
        </w:rPr>
        <w:t>Validated recovery-transition model</w:t>
      </w:r>
    </w:p>
    <w:p>
      <w:pPr>
        <w:spacing w:after="44"/>
        <w:ind w:left="142"/>
      </w:pPr>
      <w:r>
        <w:rPr>
          <w:b/>
          <w:color w:val="1F6F8B"/>
        </w:rPr>
        <w:t xml:space="preserve"> 9  </w:t>
      </w:r>
      <w:r>
        <w:rPr>
          <w:sz w:val="18"/>
        </w:rPr>
        <w:t>Robust hierarchical ensemble mathematics</w:t>
      </w:r>
    </w:p>
    <w:p>
      <w:pPr>
        <w:spacing w:after="44"/>
        <w:ind w:left="142"/>
      </w:pPr>
      <w:r>
        <w:rPr>
          <w:b/>
          <w:color w:val="1F6F8B"/>
        </w:rPr>
        <w:t xml:space="preserve">10  </w:t>
      </w:r>
      <w:r>
        <w:rPr>
          <w:sz w:val="18"/>
        </w:rPr>
        <w:t>Chronological validation design</w:t>
      </w:r>
    </w:p>
    <w:p>
      <w:pPr>
        <w:spacing w:after="44"/>
        <w:ind w:left="142"/>
      </w:pPr>
      <w:r>
        <w:rPr>
          <w:b/>
          <w:color w:val="1F6F8B"/>
        </w:rPr>
        <w:t xml:space="preserve">11  </w:t>
      </w:r>
      <w:r>
        <w:rPr>
          <w:sz w:val="18"/>
        </w:rPr>
        <w:t>Per-well stability model</w:t>
      </w:r>
    </w:p>
    <w:p>
      <w:pPr>
        <w:spacing w:after="44"/>
        <w:ind w:left="142"/>
      </w:pPr>
      <w:r>
        <w:rPr>
          <w:b/>
          <w:color w:val="1F6F8B"/>
        </w:rPr>
        <w:t xml:space="preserve">12  </w:t>
      </w:r>
      <w:r>
        <w:rPr>
          <w:sz w:val="18"/>
        </w:rPr>
        <w:t>Public website arbitrary-horizon scenario engine</w:t>
      </w:r>
    </w:p>
    <w:p>
      <w:pPr>
        <w:spacing w:after="44"/>
        <w:ind w:left="142"/>
      </w:pPr>
      <w:r>
        <w:rPr>
          <w:b/>
          <w:color w:val="1F6F8B"/>
        </w:rPr>
        <w:t xml:space="preserve">13  </w:t>
      </w:r>
      <w:r>
        <w:rPr>
          <w:sz w:val="18"/>
        </w:rPr>
        <w:t>Public rainfall experiment</w:t>
      </w:r>
    </w:p>
    <w:p>
      <w:pPr>
        <w:spacing w:after="44"/>
        <w:ind w:left="142"/>
      </w:pPr>
      <w:r>
        <w:rPr>
          <w:b/>
          <w:color w:val="1F6F8B"/>
        </w:rPr>
        <w:t xml:space="preserve">14  </w:t>
      </w:r>
      <w:r>
        <w:rPr>
          <w:sz w:val="18"/>
        </w:rPr>
        <w:t>Rainfall comparison page scenario mathematics</w:t>
      </w:r>
    </w:p>
    <w:p>
      <w:pPr>
        <w:spacing w:after="44"/>
        <w:ind w:left="142"/>
      </w:pPr>
      <w:r>
        <w:rPr>
          <w:b/>
          <w:color w:val="1F6F8B"/>
        </w:rPr>
        <w:t xml:space="preserve">15  </w:t>
      </w:r>
      <w:r>
        <w:rPr>
          <w:sz w:val="18"/>
        </w:rPr>
        <w:t>Worked example: well BW046</w:t>
      </w:r>
    </w:p>
    <w:p>
      <w:pPr>
        <w:spacing w:after="44"/>
        <w:ind w:left="142"/>
      </w:pPr>
      <w:r>
        <w:rPr>
          <w:b/>
          <w:color w:val="1F6F8B"/>
        </w:rPr>
        <w:t xml:space="preserve">16  </w:t>
      </w:r>
      <w:r>
        <w:rPr>
          <w:sz w:val="18"/>
        </w:rPr>
        <w:t>Exact fitted baseline coefficients</w:t>
      </w:r>
    </w:p>
    <w:p>
      <w:pPr>
        <w:spacing w:after="44"/>
        <w:ind w:left="142"/>
      </w:pPr>
      <w:r>
        <w:rPr>
          <w:b/>
          <w:color w:val="1F6F8B"/>
        </w:rPr>
        <w:t xml:space="preserve">17  </w:t>
      </w:r>
      <w:r>
        <w:rPr>
          <w:sz w:val="18"/>
        </w:rPr>
        <w:t>Exact rainfall-enhanced coefficients and selection</w:t>
      </w:r>
    </w:p>
    <w:p>
      <w:pPr>
        <w:spacing w:after="44"/>
        <w:ind w:left="142"/>
      </w:pPr>
      <w:r>
        <w:rPr>
          <w:b/>
          <w:color w:val="1F6F8B"/>
        </w:rPr>
        <w:t xml:space="preserve">18  </w:t>
      </w:r>
      <w:r>
        <w:rPr>
          <w:sz w:val="18"/>
        </w:rPr>
        <w:t>Data urgently required for a better model</w:t>
      </w:r>
    </w:p>
    <w:p>
      <w:pPr>
        <w:spacing w:after="44"/>
        <w:ind w:left="142"/>
      </w:pPr>
      <w:r>
        <w:rPr>
          <w:b/>
          <w:color w:val="1F6F8B"/>
        </w:rPr>
        <w:t xml:space="preserve">19  </w:t>
      </w:r>
      <w:r>
        <w:rPr>
          <w:sz w:val="18"/>
        </w:rPr>
        <w:t>Conceptual production model</w:t>
      </w:r>
    </w:p>
    <w:p>
      <w:pPr>
        <w:spacing w:after="44"/>
        <w:ind w:left="142"/>
      </w:pPr>
      <w:r>
        <w:rPr>
          <w:b/>
          <w:color w:val="1F6F8B"/>
        </w:rPr>
        <w:t xml:space="preserve">20  </w:t>
      </w:r>
      <w:r>
        <w:rPr>
          <w:sz w:val="18"/>
        </w:rPr>
        <w:t>Software and deployment architecture</w:t>
      </w:r>
    </w:p>
    <w:p>
      <w:pPr>
        <w:spacing w:after="44"/>
        <w:ind w:left="142"/>
      </w:pPr>
      <w:r>
        <w:rPr>
          <w:b/>
          <w:color w:val="1F6F8B"/>
        </w:rPr>
        <w:t xml:space="preserve">21  </w:t>
      </w:r>
      <w:r>
        <w:rPr>
          <w:sz w:val="18"/>
        </w:rPr>
        <w:t>Reproduction sequence</w:t>
      </w:r>
    </w:p>
    <w:p>
      <w:pPr>
        <w:spacing w:after="44"/>
        <w:ind w:left="142"/>
      </w:pPr>
      <w:r>
        <w:rPr>
          <w:b/>
          <w:color w:val="1F6F8B"/>
        </w:rPr>
        <w:t xml:space="preserve">22  </w:t>
      </w:r>
      <w:r>
        <w:rPr>
          <w:sz w:val="18"/>
        </w:rPr>
        <w:t>Interpretation rules for another analyst or language model</w:t>
      </w:r>
    </w:p>
    <w:p>
      <w:pPr>
        <w:spacing w:after="44"/>
        <w:ind w:left="142"/>
      </w:pPr>
      <w:r>
        <w:rPr>
          <w:b/>
          <w:color w:val="1F6F8B"/>
        </w:rPr>
        <w:t xml:space="preserve">23  </w:t>
      </w:r>
      <w:r>
        <w:rPr>
          <w:sz w:val="18"/>
        </w:rPr>
        <w:t>Known limitations and open questions</w:t>
      </w:r>
    </w:p>
    <w:p>
      <w:pPr>
        <w:spacing w:after="44"/>
        <w:ind w:left="142"/>
      </w:pPr>
      <w:r>
        <w:rPr>
          <w:b/>
          <w:color w:val="1F6F8B"/>
        </w:rPr>
        <w:t xml:space="preserve">24  </w:t>
      </w:r>
      <w:r>
        <w:rPr>
          <w:sz w:val="18"/>
        </w:rPr>
        <w:t>Final conclusion</w:t>
      </w:r>
    </w:p>
    <w:p>
      <w:pPr>
        <w:spacing w:after="44"/>
        <w:ind w:left="142"/>
      </w:pPr>
      <w:r>
        <w:rPr>
          <w:b/>
          <w:color w:val="1F6F8B"/>
        </w:rPr>
        <w:t xml:space="preserve">25  </w:t>
      </w:r>
      <w:r>
        <w:rPr>
          <w:sz w:val="18"/>
        </w:rPr>
        <w:t>Synthetic system and Page 2: the 450-well driver model</w:t>
      </w:r>
    </w:p>
    <w:p>
      <w:pPr>
        <w:spacing w:after="44"/>
        <w:ind w:left="142"/>
      </w:pPr>
      <w:r>
        <w:rPr>
          <w:b/>
          <w:color w:val="1F6F8B"/>
        </w:rPr>
        <w:t xml:space="preserve">26  </w:t>
      </w:r>
      <w:r>
        <w:rPr>
          <w:sz w:val="18"/>
        </w:rPr>
        <w:t>Page 3: conditional validation and interval calibration</w:t>
      </w:r>
    </w:p>
    <w:p>
      <w:pPr>
        <w:spacing w:after="44"/>
        <w:ind w:left="142"/>
      </w:pPr>
      <w:r>
        <w:rPr>
          <w:b/>
          <w:color w:val="1F6F8B"/>
        </w:rPr>
        <w:t xml:space="preserve">27  </w:t>
      </w:r>
      <w:r>
        <w:rPr>
          <w:sz w:val="18"/>
        </w:rPr>
        <w:t>Page 4: comparison design and measured results</w:t>
      </w:r>
    </w:p>
    <w:p>
      <w:pPr>
        <w:spacing w:after="44"/>
        <w:ind w:left="142"/>
      </w:pPr>
      <w:r>
        <w:rPr>
          <w:b/>
          <w:color w:val="1F6F8B"/>
        </w:rPr>
        <w:t xml:space="preserve">28  </w:t>
      </w:r>
      <w:r>
        <w:rPr>
          <w:sz w:val="18"/>
        </w:rPr>
        <w:t>Correction audit and reproduction of the review branch</w:t>
      </w:r>
    </w:p>
    <w:p>
      <w:pPr>
        <w:spacing w:after="44"/>
        <w:ind w:left="142"/>
      </w:pPr>
      <w:r>
        <w:rPr>
          <w:sz w:val="18"/>
        </w:rPr>
        <w:t>Appendix A. Machine-readable pseudocode</w:t>
      </w:r>
    </w:p>
    <w:p>
      <w:pPr>
        <w:spacing w:after="44"/>
        <w:ind w:left="142"/>
      </w:pPr>
      <w:r>
        <w:rPr>
          <w:sz w:val="18"/>
        </w:rPr>
        <w:t>Appendix B. Glossary</w:t>
      </w:r>
    </w:p>
    <w:p>
      <w:r>
        <w:br w:type="page"/>
      </w:r>
    </w:p>
    <w:p>
      <w:pPr>
        <w:pStyle w:val="Heading1"/>
        <w:pageBreakBefore w:val="0"/>
      </w:pPr>
      <w:r>
        <w:rPr>
          <w:b/>
        </w:rPr>
        <w:t>1. Executive summary</w:t>
      </w:r>
    </w:p>
    <w:p>
      <w:r>
        <w:rPr>
          <w:b/>
        </w:rPr>
        <w:t>Revision status:</w:t>
      </w:r>
      <w:r>
        <w:rPr>
          <w:b w:val="0"/>
        </w:rPr>
        <w:t xml:space="preserve"> Sections 1–24 preserve the real-data work. Sections 25–28 add the 450-well system, corrected M3, conditional validation and Page 4. Changes are on the review branch </w:t>
      </w:r>
      <w:r>
        <w:rPr>
          <w:rFonts w:ascii="Aptos Mono" w:hAnsi="Aptos Mono"/>
          <w:color w:val="174554"/>
          <w:sz w:val="18"/>
        </w:rPr>
        <w:t>site-fixes-and-model-comparison</w:t>
      </w:r>
      <w:r>
        <w:rPr>
          <w:b w:val="0"/>
        </w:rPr>
        <w:t>; the pull request is not merged and the live site is unchanged.</w:t>
      </w:r>
    </w:p>
    <w:p>
      <w:r>
        <w:rPr>
          <w:b w:val="0"/>
        </w:rPr>
        <w:t>The goal is to select a monitored Bengaluru borewell and estimate its future water level, with an error range, for a user-selected horizon. The eventual research ambition includes hundreds or thousands of live wells broadcasting approximately every five minutes. The proof of concept described here uses a much narrower anonymized dataset: 579 paired wells observed for roughly 15 days, from 15 to 29 July 2026.</w:t>
      </w:r>
    </w:p>
    <w:p>
      <w:r>
        <w:rPr>
          <w:b w:val="0"/>
        </w:rPr>
        <w:t>The supplied data supports two short-horizon transition questions:</w:t>
      </w:r>
    </w:p>
    <w:p>
      <w:pPr>
        <w:spacing w:after="50"/>
        <w:ind w:left="408" w:hanging="238"/>
      </w:pPr>
      <w:r>
        <w:rPr>
          <w:b/>
          <w:color w:val="1F6F8B"/>
        </w:rPr>
        <w:t xml:space="preserve">1.  </w:t>
      </w:r>
      <w:r>
        <w:rPr>
          <w:b w:val="0"/>
        </w:rPr>
        <w:t>Given a pumping session, how much deeper or shallower is the measured water level at the session stop than at the session start?</w:t>
      </w:r>
    </w:p>
    <w:p>
      <w:pPr>
        <w:spacing w:after="50"/>
        <w:ind w:left="408" w:hanging="238"/>
      </w:pPr>
      <w:r>
        <w:rPr>
          <w:b/>
          <w:color w:val="1F6F8B"/>
        </w:rPr>
        <w:t xml:space="preserve">2.  </w:t>
      </w:r>
      <w:r>
        <w:rPr>
          <w:b w:val="0"/>
        </w:rPr>
        <w:t>Given the end of one session, how much deeper or shallower is the level at the start of the next session after an off period?</w:t>
      </w:r>
    </w:p>
    <w:p>
      <w:r>
        <w:rPr>
          <w:b w:val="0"/>
        </w:rPr>
        <w:t>Those two questions were modeled with robust regression, well-specific partial pooling, and a well-history component. Their chronological holdout covered 26–29 July 2026. On quality-screened holdout records, the pump-transition mean absolute error was 8.953 m and the recovery-transition mean absolute error was 7.088 m.</w:t>
      </w:r>
    </w:p>
    <w:p>
      <w:r>
        <w:rPr>
          <w:b w:val="0"/>
        </w:rPr>
        <w:t>The public website also accepts arbitrary horizons, such as six months or five years. That long-horizon curve is a transparent scenario engine derived from recent per-well trend and median cycle behavior. It is not the validated robust transition model, and the supplied 15-day record cannot validate months or years. The website uncertainty therefore communicates caution; it is not a calibrated long-horizon predictive interval.</w:t>
      </w:r>
    </w:p>
    <w:p>
      <w:r>
        <w:rPr>
          <w:b w:val="0"/>
        </w:rPr>
        <w:t>Public Bengaluru rainfall was tested from NASA POWER. Lagged rainfall added almost no measured holdout improvement: the combined screened MAE changed from 8.134227 m to 8.131628 m, a 0.031955% improvement. The likely reasons are the short observation window, only 12.64 mm of rain during the overlap, lack of well coordinates, and delayed or heterogeneous groundwater response.</w:t>
      </w:r>
    </w:p>
    <w:p>
      <w:r>
        <w:rPr>
          <w:b w:val="0"/>
        </w:rPr>
        <w:t>The strongest result of this work is a reproducible proof of concept and a clear data contract for the next phase. A scientifically defensible six-month to five-year model requires longer histories, well coordinates, local rainfall, static recovery observations, well construction and pump depth, sensor calibration, geology, nearby pumping, and municipal supply information.</w:t>
      </w:r>
    </w:p>
    <w:p>
      <w:pPr>
        <w:pStyle w:val="Heading1"/>
        <w:pageBreakBefore w:val="0"/>
      </w:pPr>
      <w:r>
        <w:rPr>
          <w:b/>
        </w:rPr>
        <w:t>2. Deliverables and deployed interfaces</w:t>
      </w:r>
    </w:p>
    <w:p>
      <w:r>
        <w:rPr>
          <w:b w:val="0"/>
        </w:rPr>
        <w:t>The work produced the following artifacts.</w:t>
      </w:r>
    </w:p>
    <w:tbl>
      <w:tblPr>
        <w:tblStyle w:val="TableGrid"/>
        <w:tblW w:type="auto" w:w="0"/>
        <w:jc w:val="center"/>
        <w:tblLayout w:type="fixed"/>
        <w:tblLook w:firstColumn="1" w:firstRow="1" w:lastColumn="0" w:lastRow="0" w:noHBand="0" w:noVBand="1" w:val="04A0"/>
        <w:tblBorders>
          <w:top w:val="single" w:sz="4" w:color="D8E0E5"/>
          <w:left w:val="single" w:sz="4" w:color="D8E0E5"/>
          <w:bottom w:val="single" w:sz="4" w:color="D8E0E5"/>
          <w:right w:val="single" w:sz="4" w:color="D8E0E5"/>
          <w:insideH w:val="single" w:sz="4" w:color="D8E0E5"/>
          <w:insideV w:val="single" w:sz="4" w:color="D8E0E5"/>
        </w:tblBorders>
      </w:tblPr>
      <w:tblGrid>
        <w:gridCol w:w="5046"/>
        <w:gridCol w:w="5046"/>
      </w:tblGrid>
      <w:tr>
        <w:trPr>
          <w:cantSplit/>
          <w:tblHeader w:val="true"/>
        </w:trPr>
        <w:tc>
          <w:tcPr>
            <w:tcW w:type="dxa" w:w="3600"/>
            <w:vAlign w:val="center"/>
            <w:tcMar>
              <w:top w:w="65" w:type="dxa"/>
              <w:start w:w="100" w:type="dxa"/>
              <w:bottom w:w="65" w:type="dxa"/>
              <w:end w:w="100" w:type="dxa"/>
            </w:tcMar>
            <w:shd w:fill="17324D"/>
          </w:tcPr>
          <w:p>
            <w:pPr>
              <w:spacing w:after="0" w:line="240" w:lineRule="auto"/>
            </w:pPr>
            <w:r>
              <w:rPr>
                <w:b/>
                <w:color w:val="FFFFFF"/>
                <w:sz w:val="16"/>
              </w:rPr>
              <w:t>Artifact</w:t>
            </w:r>
          </w:p>
        </w:tc>
        <w:tc>
          <w:tcPr>
            <w:tcW w:type="dxa" w:w="6400"/>
            <w:vAlign w:val="center"/>
            <w:tcMar>
              <w:top w:w="65" w:type="dxa"/>
              <w:start w:w="100" w:type="dxa"/>
              <w:bottom w:w="65" w:type="dxa"/>
              <w:end w:w="100" w:type="dxa"/>
            </w:tcMar>
            <w:shd w:fill="17324D"/>
          </w:tcPr>
          <w:p>
            <w:pPr>
              <w:spacing w:after="0" w:line="240" w:lineRule="auto"/>
            </w:pPr>
            <w:r>
              <w:rPr>
                <w:b/>
                <w:color w:val="FFFFFF"/>
                <w:sz w:val="16"/>
              </w:rPr>
              <w:t>Purpose</w:t>
            </w:r>
          </w:p>
        </w:tc>
      </w:tr>
      <w:tr>
        <w:trPr>
          <w:cantSplit/>
        </w:trPr>
        <w:tc>
          <w:tcPr>
            <w:tcW w:type="dxa" w:w="3600"/>
            <w:vAlign w:val="center"/>
            <w:tcMar>
              <w:top w:w="65" w:type="dxa"/>
              <w:start w:w="100" w:type="dxa"/>
              <w:bottom w:w="65" w:type="dxa"/>
              <w:end w:w="100" w:type="dxa"/>
            </w:tcMar>
          </w:tcPr>
          <w:p>
            <w:pPr>
              <w:spacing w:after="0" w:line="240" w:lineRule="auto"/>
            </w:pPr>
            <w:r>
              <w:rPr>
                <w:rFonts w:ascii="Aptos Mono" w:hAnsi="Aptos Mono"/>
                <w:color w:val="174554"/>
                <w:sz w:val="16"/>
              </w:rPr>
              <w:t>outputs/water_level_poc/poc_engine.py</w:t>
            </w:r>
          </w:p>
        </w:tc>
        <w:tc>
          <w:tcPr>
            <w:tcW w:type="dxa" w:w="6400"/>
            <w:vAlign w:val="center"/>
            <w:tcMar>
              <w:top w:w="65" w:type="dxa"/>
              <w:start w:w="100" w:type="dxa"/>
              <w:bottom w:w="65" w:type="dxa"/>
              <w:end w:w="100" w:type="dxa"/>
            </w:tcMar>
          </w:tcPr>
          <w:p>
            <w:pPr>
              <w:spacing w:after="0" w:line="240" w:lineRule="auto"/>
            </w:pPr>
            <w:r>
              <w:rPr>
                <w:b w:val="0"/>
                <w:color w:val="222B32"/>
                <w:sz w:val="16"/>
              </w:rPr>
              <w:t>Canonical offline preprocessing, transition models, validation, stability summaries, and exports</w:t>
            </w:r>
          </w:p>
        </w:tc>
      </w:tr>
      <w:tr>
        <w:trPr>
          <w:cantSplit/>
        </w:trPr>
        <w:tc>
          <w:tcPr>
            <w:tcW w:type="dxa" w:w="3600"/>
            <w:vAlign w:val="center"/>
            <w:tcMar>
              <w:top w:w="65" w:type="dxa"/>
              <w:start w:w="100" w:type="dxa"/>
              <w:bottom w:w="65" w:type="dxa"/>
              <w:end w:w="100" w:type="dxa"/>
            </w:tcMar>
            <w:shd w:fill="F4F8FA"/>
          </w:tcPr>
          <w:p>
            <w:pPr>
              <w:spacing w:after="0" w:line="240" w:lineRule="auto"/>
            </w:pPr>
            <w:r>
              <w:rPr>
                <w:rFonts w:ascii="Aptos Mono" w:hAnsi="Aptos Mono"/>
                <w:color w:val="174554"/>
                <w:sz w:val="16"/>
              </w:rPr>
              <w:t>outputs/water_level_poc/rainfall_compare.py</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NASA POWER rainfall download, lagged rainfall features, model comparison, and climatology</w:t>
            </w:r>
          </w:p>
        </w:tc>
      </w:tr>
      <w:tr>
        <w:trPr>
          <w:cantSplit/>
        </w:trPr>
        <w:tc>
          <w:tcPr>
            <w:tcW w:type="dxa" w:w="3600"/>
            <w:vAlign w:val="center"/>
            <w:tcMar>
              <w:top w:w="65" w:type="dxa"/>
              <w:start w:w="100" w:type="dxa"/>
              <w:bottom w:w="65" w:type="dxa"/>
              <w:end w:w="100" w:type="dxa"/>
            </w:tcMar>
          </w:tcPr>
          <w:p>
            <w:pPr>
              <w:spacing w:after="0" w:line="240" w:lineRule="auto"/>
            </w:pPr>
            <w:r>
              <w:rPr>
                <w:rFonts w:ascii="Aptos Mono" w:hAnsi="Aptos Mono"/>
                <w:color w:val="174554"/>
                <w:sz w:val="16"/>
              </w:rPr>
              <w:t>outputs/water_level_poc/model_metrics.json</w:t>
            </w:r>
          </w:p>
        </w:tc>
        <w:tc>
          <w:tcPr>
            <w:tcW w:type="dxa" w:w="6400"/>
            <w:vAlign w:val="center"/>
            <w:tcMar>
              <w:top w:w="65" w:type="dxa"/>
              <w:start w:w="100" w:type="dxa"/>
              <w:bottom w:w="65" w:type="dxa"/>
              <w:end w:w="100" w:type="dxa"/>
            </w:tcMar>
          </w:tcPr>
          <w:p>
            <w:pPr>
              <w:spacing w:after="0" w:line="240" w:lineRule="auto"/>
            </w:pPr>
            <w:r>
              <w:rPr>
                <w:b w:val="0"/>
                <w:color w:val="222B32"/>
                <w:sz w:val="16"/>
              </w:rPr>
              <w:t>Baseline validation metrics and audit summaries</w:t>
            </w:r>
          </w:p>
        </w:tc>
      </w:tr>
      <w:tr>
        <w:trPr>
          <w:cantSplit/>
        </w:trPr>
        <w:tc>
          <w:tcPr>
            <w:tcW w:type="dxa" w:w="3600"/>
            <w:vAlign w:val="center"/>
            <w:tcMar>
              <w:top w:w="65" w:type="dxa"/>
              <w:start w:w="100" w:type="dxa"/>
              <w:bottom w:w="65" w:type="dxa"/>
              <w:end w:w="100" w:type="dxa"/>
            </w:tcMar>
            <w:shd w:fill="F4F8FA"/>
          </w:tcPr>
          <w:p>
            <w:pPr>
              <w:spacing w:after="0" w:line="240" w:lineRule="auto"/>
            </w:pPr>
            <w:r>
              <w:rPr>
                <w:rFonts w:ascii="Aptos Mono" w:hAnsi="Aptos Mono"/>
                <w:color w:val="174554"/>
                <w:sz w:val="16"/>
              </w:rPr>
              <w:t>outputs/water_level_poc/fitted_models.json</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Serialized baseline fitted models and parameters</w:t>
            </w:r>
          </w:p>
        </w:tc>
      </w:tr>
      <w:tr>
        <w:trPr>
          <w:cantSplit/>
        </w:trPr>
        <w:tc>
          <w:tcPr>
            <w:tcW w:type="dxa" w:w="3600"/>
            <w:vAlign w:val="center"/>
            <w:tcMar>
              <w:top w:w="65" w:type="dxa"/>
              <w:start w:w="100" w:type="dxa"/>
              <w:bottom w:w="65" w:type="dxa"/>
              <w:end w:w="100" w:type="dxa"/>
            </w:tcMar>
          </w:tcPr>
          <w:p>
            <w:pPr>
              <w:spacing w:after="0" w:line="240" w:lineRule="auto"/>
            </w:pPr>
            <w:r>
              <w:rPr>
                <w:rFonts w:ascii="Aptos Mono" w:hAnsi="Aptos Mono"/>
                <w:color w:val="174554"/>
                <w:sz w:val="16"/>
              </w:rPr>
              <w:t>outputs/water_level_poc/holdout_pump_predictions.csv</w:t>
            </w:r>
          </w:p>
        </w:tc>
        <w:tc>
          <w:tcPr>
            <w:tcW w:type="dxa" w:w="6400"/>
            <w:vAlign w:val="center"/>
            <w:tcMar>
              <w:top w:w="65" w:type="dxa"/>
              <w:start w:w="100" w:type="dxa"/>
              <w:bottom w:w="65" w:type="dxa"/>
              <w:end w:w="100" w:type="dxa"/>
            </w:tcMar>
          </w:tcPr>
          <w:p>
            <w:pPr>
              <w:spacing w:after="0" w:line="240" w:lineRule="auto"/>
            </w:pPr>
            <w:r>
              <w:rPr>
                <w:b w:val="0"/>
                <w:color w:val="222B32"/>
                <w:sz w:val="16"/>
              </w:rPr>
              <w:t>Pump holdout predictions</w:t>
            </w:r>
          </w:p>
        </w:tc>
      </w:tr>
      <w:tr>
        <w:trPr>
          <w:cantSplit/>
        </w:trPr>
        <w:tc>
          <w:tcPr>
            <w:tcW w:type="dxa" w:w="3600"/>
            <w:vAlign w:val="center"/>
            <w:tcMar>
              <w:top w:w="65" w:type="dxa"/>
              <w:start w:w="100" w:type="dxa"/>
              <w:bottom w:w="65" w:type="dxa"/>
              <w:end w:w="100" w:type="dxa"/>
            </w:tcMar>
            <w:shd w:fill="F4F8FA"/>
          </w:tcPr>
          <w:p>
            <w:pPr>
              <w:spacing w:after="0" w:line="240" w:lineRule="auto"/>
            </w:pPr>
            <w:r>
              <w:rPr>
                <w:rFonts w:ascii="Aptos Mono" w:hAnsi="Aptos Mono"/>
                <w:color w:val="174554"/>
                <w:sz w:val="16"/>
              </w:rPr>
              <w:t>outputs/water_level_poc/holdout_recovery_predictions.csv</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Recovery holdout predictions</w:t>
            </w:r>
          </w:p>
        </w:tc>
      </w:tr>
      <w:tr>
        <w:trPr>
          <w:cantSplit/>
        </w:trPr>
        <w:tc>
          <w:tcPr>
            <w:tcW w:type="dxa" w:w="3600"/>
            <w:vAlign w:val="center"/>
            <w:tcMar>
              <w:top w:w="65" w:type="dxa"/>
              <w:start w:w="100" w:type="dxa"/>
              <w:bottom w:w="65" w:type="dxa"/>
              <w:end w:w="100" w:type="dxa"/>
            </w:tcMar>
          </w:tcPr>
          <w:p>
            <w:pPr>
              <w:spacing w:after="0" w:line="240" w:lineRule="auto"/>
            </w:pPr>
            <w:r>
              <w:rPr>
                <w:rFonts w:ascii="Aptos Mono" w:hAnsi="Aptos Mono"/>
                <w:color w:val="174554"/>
                <w:sz w:val="16"/>
              </w:rPr>
              <w:t>outputs/water_level_poc/well_stability_summary.csv</w:t>
            </w:r>
          </w:p>
        </w:tc>
        <w:tc>
          <w:tcPr>
            <w:tcW w:type="dxa" w:w="6400"/>
            <w:vAlign w:val="center"/>
            <w:tcMar>
              <w:top w:w="65" w:type="dxa"/>
              <w:start w:w="100" w:type="dxa"/>
              <w:bottom w:w="65" w:type="dxa"/>
              <w:end w:w="100" w:type="dxa"/>
            </w:tcMar>
          </w:tcPr>
          <w:p>
            <w:pPr>
              <w:spacing w:after="0" w:line="240" w:lineRule="auto"/>
            </w:pPr>
            <w:r>
              <w:rPr>
                <w:b w:val="0"/>
                <w:color w:val="222B32"/>
                <w:sz w:val="16"/>
              </w:rPr>
              <w:t>Per-well trend, cycle, evidence, and stability summary</w:t>
            </w:r>
          </w:p>
        </w:tc>
      </w:tr>
      <w:tr>
        <w:trPr>
          <w:cantSplit/>
        </w:trPr>
        <w:tc>
          <w:tcPr>
            <w:tcW w:type="dxa" w:w="3600"/>
            <w:vAlign w:val="center"/>
            <w:tcMar>
              <w:top w:w="65" w:type="dxa"/>
              <w:start w:w="100" w:type="dxa"/>
              <w:bottom w:w="65" w:type="dxa"/>
              <w:end w:w="100" w:type="dxa"/>
            </w:tcMar>
            <w:shd w:fill="F4F8FA"/>
          </w:tcPr>
          <w:p>
            <w:pPr>
              <w:spacing w:after="0" w:line="240" w:lineRule="auto"/>
            </w:pPr>
            <w:r>
              <w:rPr>
                <w:rFonts w:ascii="Aptos Mono" w:hAnsi="Aptos Mono"/>
                <w:color w:val="174554"/>
                <w:sz w:val="16"/>
              </w:rPr>
              <w:t>outputs/bengaluru_groundwater_data_request.pdf</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Concise company-owner data request reconstructed from the relevant meeting discussion</w:t>
            </w:r>
          </w:p>
        </w:tc>
      </w:tr>
      <w:tr>
        <w:trPr>
          <w:cantSplit/>
        </w:trPr>
        <w:tc>
          <w:tcPr>
            <w:tcW w:type="dxa" w:w="3600"/>
            <w:vAlign w:val="center"/>
            <w:tcMar>
              <w:top w:w="65" w:type="dxa"/>
              <w:start w:w="100" w:type="dxa"/>
              <w:bottom w:w="65" w:type="dxa"/>
              <w:end w:w="100" w:type="dxa"/>
            </w:tcMar>
          </w:tcPr>
          <w:p>
            <w:pPr>
              <w:spacing w:after="0" w:line="240" w:lineRule="auto"/>
            </w:pPr>
            <w:r>
              <w:rPr>
                <w:rFonts w:ascii="Aptos Mono" w:hAnsi="Aptos Mono"/>
                <w:color w:val="174554"/>
                <w:sz w:val="16"/>
              </w:rPr>
              <w:t>outputs/water_forecast_app/dist/</w:t>
            </w:r>
          </w:p>
        </w:tc>
        <w:tc>
          <w:tcPr>
            <w:tcW w:type="dxa" w:w="6400"/>
            <w:vAlign w:val="center"/>
            <w:tcMar>
              <w:top w:w="65" w:type="dxa"/>
              <w:start w:w="100" w:type="dxa"/>
              <w:bottom w:w="65" w:type="dxa"/>
              <w:end w:w="100" w:type="dxa"/>
            </w:tcMar>
          </w:tcPr>
          <w:p>
            <w:pPr>
              <w:spacing w:after="0" w:line="240" w:lineRule="auto"/>
            </w:pPr>
            <w:r>
              <w:rPr>
                <w:b w:val="0"/>
                <w:color w:val="222B32"/>
                <w:sz w:val="16"/>
              </w:rPr>
              <w:t>Static public browser application</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Root public page</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Current-data forecast and scenario controls</w:t>
            </w:r>
          </w:p>
        </w:tc>
      </w:tr>
      <w:tr>
        <w:trPr>
          <w:cantSplit/>
        </w:trPr>
        <w:tc>
          <w:tcPr>
            <w:tcW w:type="dxa" w:w="3600"/>
            <w:vAlign w:val="center"/>
            <w:tcMar>
              <w:top w:w="65" w:type="dxa"/>
              <w:start w:w="100" w:type="dxa"/>
              <w:bottom w:w="65" w:type="dxa"/>
              <w:end w:w="100" w:type="dxa"/>
            </w:tcMar>
          </w:tcPr>
          <w:p>
            <w:pPr>
              <w:spacing w:after="0" w:line="240" w:lineRule="auto"/>
            </w:pPr>
            <w:r>
              <w:rPr>
                <w:rFonts w:ascii="Aptos Mono" w:hAnsi="Aptos Mono"/>
                <w:color w:val="174554"/>
                <w:sz w:val="16"/>
              </w:rPr>
              <w:t>/comparison/</w:t>
            </w:r>
            <w:r>
              <w:rPr>
                <w:b w:val="0"/>
                <w:color w:val="222B32"/>
                <w:sz w:val="16"/>
              </w:rPr>
              <w:t xml:space="preserve"> page (02)</w:t>
            </w:r>
          </w:p>
        </w:tc>
        <w:tc>
          <w:tcPr>
            <w:tcW w:type="dxa" w:w="6400"/>
            <w:vAlign w:val="center"/>
            <w:tcMar>
              <w:top w:w="65" w:type="dxa"/>
              <w:start w:w="100" w:type="dxa"/>
              <w:bottom w:w="65" w:type="dxa"/>
              <w:end w:w="100" w:type="dxa"/>
            </w:tcMar>
          </w:tcPr>
          <w:p>
            <w:pPr>
              <w:spacing w:after="0" w:line="240" w:lineRule="auto"/>
            </w:pPr>
            <w:r>
              <w:rPr>
                <w:b w:val="0"/>
                <w:color w:val="222B32"/>
                <w:sz w:val="16"/>
              </w:rPr>
              <w:t>M3 forward scenarios on 450 synthetic wells</w:t>
            </w:r>
          </w:p>
        </w:tc>
      </w:tr>
      <w:tr>
        <w:trPr>
          <w:cantSplit/>
        </w:trPr>
        <w:tc>
          <w:tcPr>
            <w:tcW w:type="dxa" w:w="3600"/>
            <w:vAlign w:val="center"/>
            <w:tcMar>
              <w:top w:w="65" w:type="dxa"/>
              <w:start w:w="100" w:type="dxa"/>
              <w:bottom w:w="65" w:type="dxa"/>
              <w:end w:w="100" w:type="dxa"/>
            </w:tcMar>
            <w:shd w:fill="F4F8FA"/>
          </w:tcPr>
          <w:p>
            <w:pPr>
              <w:spacing w:after="0" w:line="240" w:lineRule="auto"/>
            </w:pPr>
            <w:r>
              <w:rPr>
                <w:rFonts w:ascii="Aptos Mono" w:hAnsi="Aptos Mono"/>
                <w:color w:val="174554"/>
                <w:sz w:val="16"/>
              </w:rPr>
              <w:t>/validation/</w:t>
            </w:r>
            <w:r>
              <w:rPr>
                <w:b w:val="0"/>
                <w:color w:val="222B32"/>
                <w:sz w:val="16"/>
              </w:rPr>
              <w:t xml:space="preserve"> page (03)</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30-day hidden-truth test of M3</w:t>
            </w:r>
          </w:p>
        </w:tc>
      </w:tr>
      <w:tr>
        <w:trPr>
          <w:cantSplit/>
        </w:trPr>
        <w:tc>
          <w:tcPr>
            <w:tcW w:type="dxa" w:w="3600"/>
            <w:vAlign w:val="center"/>
            <w:tcMar>
              <w:top w:w="65" w:type="dxa"/>
              <w:start w:w="100" w:type="dxa"/>
              <w:bottom w:w="65" w:type="dxa"/>
              <w:end w:w="100" w:type="dxa"/>
            </w:tcMar>
          </w:tcPr>
          <w:p>
            <w:pPr>
              <w:spacing w:after="0" w:line="240" w:lineRule="auto"/>
            </w:pPr>
            <w:r>
              <w:rPr>
                <w:rFonts w:ascii="Aptos Mono" w:hAnsi="Aptos Mono"/>
                <w:color w:val="174554"/>
                <w:sz w:val="16"/>
              </w:rPr>
              <w:t>/models/</w:t>
            </w:r>
            <w:r>
              <w:rPr>
                <w:b w:val="0"/>
                <w:color w:val="222B32"/>
                <w:sz w:val="16"/>
              </w:rPr>
              <w:t xml:space="preserve"> page (04)</w:t>
            </w:r>
          </w:p>
        </w:tc>
        <w:tc>
          <w:tcPr>
            <w:tcW w:type="dxa" w:w="6400"/>
            <w:vAlign w:val="center"/>
            <w:tcMar>
              <w:top w:w="65" w:type="dxa"/>
              <w:start w:w="100" w:type="dxa"/>
              <w:bottom w:w="65" w:type="dxa"/>
              <w:end w:w="100" w:type="dxa"/>
            </w:tcMar>
          </w:tcPr>
          <w:p>
            <w:pPr>
              <w:spacing w:after="0" w:line="240" w:lineRule="auto"/>
            </w:pPr>
            <w:r>
              <w:rPr>
                <w:b w:val="0"/>
                <w:color w:val="222B32"/>
                <w:sz w:val="16"/>
              </w:rPr>
              <w:t>M1/M2/M3 comparison; restored real rainfall panel</w:t>
            </w:r>
          </w:p>
        </w:tc>
      </w:tr>
    </w:tbl>
    <w:p>
      <w:pPr>
        <w:spacing w:after="0"/>
      </w:pPr>
    </w:p>
    <w:p>
      <w:r>
        <w:rPr>
          <w:b w:val="0"/>
        </w:rPr>
        <w:t>Public links:</w:t>
      </w:r>
    </w:p>
    <w:p>
      <w:pPr>
        <w:pStyle w:val="ListBullet"/>
      </w:pPr>
      <w:r>
        <w:rPr>
          <w:b w:val="0"/>
        </w:rPr>
        <w:t xml:space="preserve">Forecast: </w:t>
      </w:r>
      <w:hyperlink r:id="rId11">
        <w:r>
          <w:rPr>
            <w:color w:val="1F6F8B"/>
            <w:u w:val="single"/>
          </w:rPr>
          <w:t>https://mailabhiramsrinivas-art.github.io/borewell-water-forecast/</w:t>
        </w:r>
      </w:hyperlink>
    </w:p>
    <w:p>
      <w:pPr>
        <w:pStyle w:val="ListBullet"/>
      </w:pPr>
      <w:r>
        <w:rPr>
          <w:b w:val="0"/>
        </w:rPr>
        <w:t xml:space="preserve">Synthetic forecast: </w:t>
      </w:r>
      <w:hyperlink r:id="rId12">
        <w:r>
          <w:rPr>
            <w:color w:val="1F6F8B"/>
            <w:u w:val="single"/>
          </w:rPr>
          <w:t>https://mailabhiramsrinivas-art.github.io/borewell-water-forecast/comparison/</w:t>
        </w:r>
      </w:hyperlink>
    </w:p>
    <w:p>
      <w:pPr>
        <w:pStyle w:val="ListBullet"/>
      </w:pPr>
      <w:r>
        <w:rPr>
          <w:b w:val="0"/>
        </w:rPr>
        <w:t xml:space="preserve">Validation: </w:t>
      </w:r>
      <w:hyperlink r:id="rId13">
        <w:r>
          <w:rPr>
            <w:color w:val="1F6F8B"/>
            <w:u w:val="single"/>
          </w:rPr>
          <w:t>https://mailabhiramsrinivas-art.github.io/borewell-water-forecast/validation/</w:t>
        </w:r>
      </w:hyperlink>
    </w:p>
    <w:p>
      <w:pPr>
        <w:pStyle w:val="ListBullet"/>
      </w:pPr>
      <w:r>
        <w:rPr>
          <w:b w:val="0"/>
        </w:rPr>
        <w:t xml:space="preserve">Model comparison (available after PR merge): </w:t>
      </w:r>
      <w:hyperlink r:id="rId14">
        <w:r>
          <w:rPr>
            <w:color w:val="1F6F8B"/>
            <w:u w:val="single"/>
          </w:rPr>
          <w:t>https://mailabhiramsrinivas-art.github.io/borewell-water-forecast/models/</w:t>
        </w:r>
      </w:hyperlink>
    </w:p>
    <w:p>
      <w:pPr>
        <w:pStyle w:val="ListBullet"/>
      </w:pPr>
      <w:r>
        <w:rPr>
          <w:b w:val="0"/>
        </w:rPr>
        <w:t xml:space="preserve">Source repository: </w:t>
      </w:r>
      <w:hyperlink r:id="rId15">
        <w:r>
          <w:rPr>
            <w:color w:val="1F6F8B"/>
            <w:u w:val="single"/>
          </w:rPr>
          <w:t>https://github.com/mailabhiramsrinivas-art/borewell-water-forecast</w:t>
        </w:r>
      </w:hyperlink>
    </w:p>
    <w:p>
      <w:r>
        <w:rPr>
          <w:b w:val="0"/>
        </w:rPr>
        <w:t>The public repository contains derived per-well summaries and rainfall comparison JSON. It does not publish the 1,158 source CSV files.</w:t>
      </w:r>
    </w:p>
    <w:p>
      <w:r>
        <w:rPr>
          <w:b w:val="0"/>
        </w:rPr>
        <w:t xml:space="preserve">The raw source folder used locally is </w:t>
      </w:r>
      <w:r>
        <w:rPr>
          <w:rFonts w:ascii="Aptos Mono" w:hAnsi="Aptos Mono"/>
          <w:color w:val="174554"/>
          <w:sz w:val="18"/>
        </w:rPr>
        <w:t>/Users/abhi/Documents/Work on the water project /</w:t>
      </w:r>
      <w:r>
        <w:rPr>
          <w:b w:val="0"/>
        </w:rPr>
        <w:t xml:space="preserve">. Its two data subfolders are </w:t>
      </w:r>
      <w:r>
        <w:rPr>
          <w:rFonts w:ascii="Aptos Mono" w:hAnsi="Aptos Mono"/>
          <w:color w:val="174554"/>
          <w:sz w:val="18"/>
        </w:rPr>
        <w:t>ANON_TypeA_290726</w:t>
      </w:r>
      <w:r>
        <w:rPr>
          <w:b w:val="0"/>
        </w:rPr>
        <w:t xml:space="preserve"> and </w:t>
      </w:r>
      <w:r>
        <w:rPr>
          <w:rFonts w:ascii="Aptos Mono" w:hAnsi="Aptos Mono"/>
          <w:color w:val="174554"/>
          <w:sz w:val="18"/>
        </w:rPr>
        <w:t>ANON_TypeB_290726</w:t>
      </w:r>
      <w:r>
        <w:rPr>
          <w:b w:val="0"/>
        </w:rPr>
        <w:t xml:space="preserve">. The modeling and website artifacts are under </w:t>
      </w:r>
      <w:r>
        <w:rPr>
          <w:rFonts w:ascii="Aptos Mono" w:hAnsi="Aptos Mono"/>
          <w:color w:val="174554"/>
          <w:sz w:val="18"/>
        </w:rPr>
        <w:t>outputs/</w:t>
      </w:r>
      <w:r>
        <w:rPr>
          <w:b w:val="0"/>
        </w:rPr>
        <w:t xml:space="preserve"> in the project workspace.</w:t>
      </w:r>
    </w:p>
    <w:p>
      <w:r>
        <w:rPr>
          <w:b w:val="0"/>
        </w:rPr>
        <w:t>An earlier review isolated the groundwater discussion from a mixed meeting transcript and excluded unrelated game-development material. It reconstructed the request structure agreed by Abhiram Srinivas and Charu Gupta for Kiran or other company owners: well identity and location; construction and pump details; the exact meaning of “water level”; pumping, discharge, power, and status; recovery; rainfall, soil, and surface conditions; geology, fractures, and aquifer interpretation; nearby wells; calibration and quality assurance; and historical coverage.</w:t>
      </w:r>
    </w:p>
    <w:p>
      <w:r>
        <w:rPr>
          <w:b w:val="0"/>
        </w:rPr>
        <w:t>The broader proposal context described a possible live network of approximately 4,000 wells growing toward 10,000. It also discussed live water level, discharge, pump cycles, and power, together with historical aquifer information, ISRO land-use, imperviousness and recharge-potential layers, geology, ENSO and monsoon context, Cauvery conditions, and supply data. Those are project ambitions and contextual layers; they were not columns in the 1,158 supplied CSVs.</w:t>
      </w:r>
    </w:p>
    <w:p>
      <w:pPr>
        <w:pStyle w:val="Heading1"/>
        <w:pageBreakBefore w:val="0"/>
      </w:pPr>
      <w:r>
        <w:rPr>
          <w:b/>
        </w:rPr>
        <w:t>3. Scope, terminology, and physical sign convention</w:t>
      </w:r>
    </w:p>
    <w:p>
      <w:pPr>
        <w:pStyle w:val="Heading2"/>
        <w:pageBreakBefore w:val="0"/>
      </w:pPr>
      <w:r>
        <w:rPr>
          <w:b/>
        </w:rPr>
        <w:t>3.1 What “water level” means here</w:t>
      </w:r>
    </w:p>
    <w:p>
      <w:r>
        <w:rPr>
          <w:b w:val="0"/>
        </w:rPr>
        <w:t xml:space="preserve">The numeric level is treated as </w:t>
      </w:r>
      <w:r>
        <w:rPr>
          <w:b/>
        </w:rPr>
        <w:t>metres below ground surface</w:t>
      </w:r>
      <w:r>
        <w:rPr>
          <w:b w:val="0"/>
        </w:rPr>
        <w:t xml:space="preserve">, abbreviated </w:t>
      </w:r>
      <w:r>
        <w:rPr>
          <w:rFonts w:ascii="Aptos Mono" w:hAnsi="Aptos Mono"/>
          <w:color w:val="174554"/>
          <w:sz w:val="18"/>
        </w:rPr>
        <w:t>m bgs</w:t>
      </w:r>
      <w:r>
        <w:rPr>
          <w:b w:val="0"/>
        </w:rPr>
        <w:t>.</w:t>
      </w:r>
    </w:p>
    <w:p>
      <w:r>
        <w:rPr>
          <w:b w:val="0"/>
        </w:rPr>
        <w:t>Let</w:t>
      </w:r>
    </w:p>
    <w:p>
      <w:pPr>
        <w:pStyle w:val="EquationDisplay"/>
      </w:pPr>
      <w:r>
        <w:drawing>
          <wp:inline xmlns:a="http://schemas.openxmlformats.org/drawingml/2006/main" xmlns:pic="http://schemas.openxmlformats.org/drawingml/2006/picture">
            <wp:extent cx="346138" cy="105236"/>
            <wp:docPr id="1" name="Picture 1" descr="h &gt; 0"/>
            <wp:cNvGraphicFramePr>
              <a:graphicFrameLocks noChangeAspect="1"/>
            </wp:cNvGraphicFramePr>
            <a:graphic>
              <a:graphicData uri="http://schemas.openxmlformats.org/drawingml/2006/picture">
                <pic:pic>
                  <pic:nvPicPr>
                    <pic:cNvPr id="0" name="4b7bde578e85112d.png"/>
                    <pic:cNvPicPr/>
                  </pic:nvPicPr>
                  <pic:blipFill>
                    <a:blip r:embed="rId16"/>
                    <a:stretch>
                      <a:fillRect/>
                    </a:stretch>
                  </pic:blipFill>
                  <pic:spPr>
                    <a:xfrm>
                      <a:off x="0" y="0"/>
                      <a:ext cx="346138" cy="105236"/>
                    </a:xfrm>
                    <a:prstGeom prst="rect"/>
                  </pic:spPr>
                </pic:pic>
              </a:graphicData>
            </a:graphic>
          </wp:inline>
        </w:drawing>
      </w:r>
    </w:p>
    <w:p>
      <w:r>
        <w:rPr>
          <w:b w:val="0"/>
        </w:rPr>
        <w:t>denote measured depth below the ground surface. Therefore:</w:t>
      </w:r>
    </w:p>
    <w:p>
      <w:pPr>
        <w:pStyle w:val="ListBullet"/>
      </w:pPr>
      <w:r>
        <w:rPr>
          <w:b w:val="0"/>
        </w:rPr>
        <w:t>a larger value means the water surface is deeper and generally less favorable;</w:t>
      </w:r>
    </w:p>
    <w:p>
      <w:pPr>
        <w:pStyle w:val="ListBullet"/>
      </w:pPr>
      <w:r>
        <w:rPr>
          <w:b w:val="0"/>
        </w:rPr>
        <w:t>a smaller value means the water surface is shallower and generally more favorable;</w:t>
      </w:r>
    </w:p>
    <w:p>
      <w:pPr>
        <w:pStyle w:val="ListBullet"/>
      </w:pPr>
      <w:r>
        <w:rPr>
          <w:b w:val="0"/>
        </w:rPr>
        <w:t>a positive change in depth means the level moved deeper;</w:t>
      </w:r>
    </w:p>
    <w:p>
      <w:pPr>
        <w:pStyle w:val="ListBullet"/>
      </w:pPr>
      <w:r>
        <w:rPr>
          <w:b w:val="0"/>
        </w:rPr>
        <w:t>a negative change means it moved shallower or recovered.</w:t>
      </w:r>
    </w:p>
    <w:p>
      <w:r>
        <w:rPr>
          <w:b w:val="0"/>
        </w:rPr>
        <w:t>The value measured in a borewell may be a hydraulic head expressed as a depth in the well. In fractured hard rock, it need not equal the physical depth of the water-bearing fracture. A fracture at 150 m can create a static water surface at 60 m below ground if the pressure head is sufficient.</w:t>
      </w:r>
    </w:p>
    <w:p>
      <w:pPr>
        <w:pStyle w:val="Heading2"/>
        <w:pageBreakBefore w:val="0"/>
      </w:pPr>
      <w:r>
        <w:rPr>
          <w:b/>
        </w:rPr>
        <w:t>3.2 Borewell recharge versus aquifer recharge</w:t>
      </w:r>
    </w:p>
    <w:p>
      <w:r>
        <w:rPr>
          <w:b w:val="0"/>
        </w:rPr>
        <w:t>Strictly, the aquifer or fracture network feeding a borewell recharges. The borewell records the resulting hydraulic response. Rainfall, surface permeability, soil, weathered-zone storage, fracture connectivity, nearby pumping, and engineered recharge all affect that response.</w:t>
      </w:r>
    </w:p>
    <w:p>
      <w:pPr>
        <w:pStyle w:val="Heading2"/>
        <w:pageBreakBefore w:val="0"/>
      </w:pPr>
      <w:r>
        <w:rPr>
          <w:b/>
        </w:rPr>
        <w:t>3.3 Dynamic versus static level</w:t>
      </w:r>
    </w:p>
    <w:p>
      <w:r>
        <w:rPr>
          <w:b w:val="0"/>
        </w:rPr>
        <w:t>The working interpretation is that the Type B start and stop values are dynamic session-boundary measurements. This is not confirmed by a vendor data dictionary. A true static water level requires a defined period without pumping and a stable measurement protocol. That distinction matters because a dynamic value combines regional state, recent pumping, pump depth, well losses, and recovery.</w:t>
      </w:r>
    </w:p>
    <w:p>
      <w:pPr>
        <w:pStyle w:val="Heading2"/>
        <w:pageBreakBefore w:val="0"/>
      </w:pPr>
      <w:r>
        <w:rPr>
          <w:b/>
        </w:rPr>
        <w:t>3.4 Core notation</w:t>
      </w:r>
    </w:p>
    <w:tbl>
      <w:tblPr>
        <w:tblStyle w:val="TableGrid"/>
        <w:tblW w:type="auto" w:w="0"/>
        <w:jc w:val="center"/>
        <w:tblLayout w:type="fixed"/>
        <w:tblLook w:firstColumn="1" w:firstRow="1" w:lastColumn="0" w:lastRow="0" w:noHBand="0" w:noVBand="1" w:val="04A0"/>
        <w:tblBorders>
          <w:top w:val="single" w:sz="4" w:color="D8E0E5"/>
          <w:left w:val="single" w:sz="4" w:color="D8E0E5"/>
          <w:bottom w:val="single" w:sz="4" w:color="D8E0E5"/>
          <w:right w:val="single" w:sz="4" w:color="D8E0E5"/>
          <w:insideH w:val="single" w:sz="4" w:color="D8E0E5"/>
          <w:insideV w:val="single" w:sz="4" w:color="D8E0E5"/>
        </w:tblBorders>
      </w:tblPr>
      <w:tblGrid>
        <w:gridCol w:w="5046"/>
        <w:gridCol w:w="5046"/>
      </w:tblGrid>
      <w:tr>
        <w:trPr>
          <w:cantSplit/>
          <w:tblHeader w:val="true"/>
        </w:trPr>
        <w:tc>
          <w:tcPr>
            <w:tcW w:type="dxa" w:w="3600"/>
            <w:vAlign w:val="center"/>
            <w:tcMar>
              <w:top w:w="65" w:type="dxa"/>
              <w:start w:w="100" w:type="dxa"/>
              <w:bottom w:w="65" w:type="dxa"/>
              <w:end w:w="100" w:type="dxa"/>
            </w:tcMar>
            <w:shd w:fill="17324D"/>
          </w:tcPr>
          <w:p>
            <w:pPr>
              <w:spacing w:after="0" w:line="240" w:lineRule="auto"/>
            </w:pPr>
            <w:r>
              <w:rPr>
                <w:b/>
                <w:color w:val="FFFFFF"/>
                <w:sz w:val="16"/>
              </w:rPr>
              <w:t>Symbol</w:t>
            </w:r>
          </w:p>
        </w:tc>
        <w:tc>
          <w:tcPr>
            <w:tcW w:type="dxa" w:w="6400"/>
            <w:vAlign w:val="center"/>
            <w:tcMar>
              <w:top w:w="65" w:type="dxa"/>
              <w:start w:w="100" w:type="dxa"/>
              <w:bottom w:w="65" w:type="dxa"/>
              <w:end w:w="100" w:type="dxa"/>
            </w:tcMar>
            <w:shd w:fill="17324D"/>
          </w:tcPr>
          <w:p>
            <w:pPr>
              <w:spacing w:after="0" w:line="240" w:lineRule="auto"/>
            </w:pPr>
            <w:r>
              <w:rPr>
                <w:b/>
                <w:color w:val="FFFFFF"/>
                <w:sz w:val="16"/>
              </w:rPr>
              <w:t>Meaning</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i</w:t>
            </w:r>
          </w:p>
        </w:tc>
        <w:tc>
          <w:tcPr>
            <w:tcW w:type="dxa" w:w="6400"/>
            <w:vAlign w:val="center"/>
            <w:tcMar>
              <w:top w:w="65" w:type="dxa"/>
              <w:start w:w="100" w:type="dxa"/>
              <w:bottom w:w="65" w:type="dxa"/>
              <w:end w:w="100" w:type="dxa"/>
            </w:tcMar>
          </w:tcPr>
          <w:p>
            <w:pPr>
              <w:spacing w:after="0" w:line="240" w:lineRule="auto"/>
            </w:pPr>
            <w:r>
              <w:rPr>
                <w:b w:val="0"/>
                <w:color w:val="222B32"/>
                <w:sz w:val="16"/>
              </w:rPr>
              <w:t>Well index</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k</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Pumping-session index within a well</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t</w:t>
            </w:r>
          </w:p>
        </w:tc>
        <w:tc>
          <w:tcPr>
            <w:tcW w:type="dxa" w:w="6400"/>
            <w:vAlign w:val="center"/>
            <w:tcMar>
              <w:top w:w="65" w:type="dxa"/>
              <w:start w:w="100" w:type="dxa"/>
              <w:bottom w:w="65" w:type="dxa"/>
              <w:end w:w="100" w:type="dxa"/>
            </w:tcMar>
          </w:tcPr>
          <w:p>
            <w:pPr>
              <w:spacing w:after="0" w:line="240" w:lineRule="auto"/>
            </w:pPr>
            <w:r>
              <w:rPr>
                <w:b w:val="0"/>
                <w:color w:val="222B32"/>
                <w:sz w:val="16"/>
              </w:rPr>
              <w:t>Time</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h_(i,k)^(start)</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Water-level depth at session start, m bgs</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h_(i,k)^(stop)</w:t>
            </w:r>
          </w:p>
        </w:tc>
        <w:tc>
          <w:tcPr>
            <w:tcW w:type="dxa" w:w="6400"/>
            <w:vAlign w:val="center"/>
            <w:tcMar>
              <w:top w:w="65" w:type="dxa"/>
              <w:start w:w="100" w:type="dxa"/>
              <w:bottom w:w="65" w:type="dxa"/>
              <w:end w:w="100" w:type="dxa"/>
            </w:tcMar>
          </w:tcPr>
          <w:p>
            <w:pPr>
              <w:spacing w:after="0" w:line="240" w:lineRule="auto"/>
            </w:pPr>
            <w:r>
              <w:rPr>
                <w:b w:val="0"/>
                <w:color w:val="222B32"/>
                <w:sz w:val="16"/>
              </w:rPr>
              <w:t>Water-level depth at session stop, m bgs</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D_(i,k)</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Session duration, minutes</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q(t)</w:t>
            </w:r>
          </w:p>
        </w:tc>
        <w:tc>
          <w:tcPr>
            <w:tcW w:type="dxa" w:w="6400"/>
            <w:vAlign w:val="center"/>
            <w:tcMar>
              <w:top w:w="65" w:type="dxa"/>
              <w:start w:w="100" w:type="dxa"/>
              <w:bottom w:w="65" w:type="dxa"/>
              <w:end w:w="100" w:type="dxa"/>
            </w:tcMar>
          </w:tcPr>
          <w:p>
            <w:pPr>
              <w:spacing w:after="0" w:line="240" w:lineRule="auto"/>
            </w:pPr>
            <w:r>
              <w:rPr>
                <w:b w:val="0"/>
                <w:color w:val="222B32"/>
                <w:sz w:val="16"/>
              </w:rPr>
              <w:t>Discharge, litres per minute</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p(t)</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Electrical power, kilowatts</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V_(i,k)</w:t>
            </w:r>
          </w:p>
        </w:tc>
        <w:tc>
          <w:tcPr>
            <w:tcW w:type="dxa" w:w="6400"/>
            <w:vAlign w:val="center"/>
            <w:tcMar>
              <w:top w:w="65" w:type="dxa"/>
              <w:start w:w="100" w:type="dxa"/>
              <w:bottom w:w="65" w:type="dxa"/>
              <w:end w:w="100" w:type="dxa"/>
            </w:tcMar>
          </w:tcPr>
          <w:p>
            <w:pPr>
              <w:spacing w:after="0" w:line="240" w:lineRule="auto"/>
            </w:pPr>
            <w:r>
              <w:rPr>
                <w:b w:val="0"/>
                <w:color w:val="222B32"/>
                <w:sz w:val="16"/>
              </w:rPr>
              <w:t>Integrated pumped volume, litres</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E_(i,k)</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Integrated energy, kWh</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Δ h_(i,k)^(pump)</w:t>
            </w:r>
          </w:p>
        </w:tc>
        <w:tc>
          <w:tcPr>
            <w:tcW w:type="dxa" w:w="6400"/>
            <w:vAlign w:val="center"/>
            <w:tcMar>
              <w:top w:w="65" w:type="dxa"/>
              <w:start w:w="100" w:type="dxa"/>
              <w:bottom w:w="65" w:type="dxa"/>
              <w:end w:w="100" w:type="dxa"/>
            </w:tcMar>
          </w:tcPr>
          <w:p>
            <w:pPr>
              <w:spacing w:after="0" w:line="240" w:lineRule="auto"/>
            </w:pPr>
            <w:r>
              <w:rPr>
                <w:b w:val="0"/>
                <w:color w:val="222B32"/>
                <w:sz w:val="16"/>
              </w:rPr>
              <w:t>Stop depth minus start depth during pumping</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G_(i,k)</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Off gap from session k stop to session k+1 start, minutes</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Δ h_(i,k)^(rec)</w:t>
            </w:r>
          </w:p>
        </w:tc>
        <w:tc>
          <w:tcPr>
            <w:tcW w:type="dxa" w:w="6400"/>
            <w:vAlign w:val="center"/>
            <w:tcMar>
              <w:top w:w="65" w:type="dxa"/>
              <w:start w:w="100" w:type="dxa"/>
              <w:bottom w:w="65" w:type="dxa"/>
              <w:end w:w="100" w:type="dxa"/>
            </w:tcMar>
          </w:tcPr>
          <w:p>
            <w:pPr>
              <w:spacing w:after="0" w:line="240" w:lineRule="auto"/>
            </w:pPr>
            <w:r>
              <w:rPr>
                <w:b w:val="0"/>
                <w:color w:val="222B32"/>
                <w:sz w:val="16"/>
              </w:rPr>
              <w:t>Next start depth minus previous stop depth</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Δ h_(i,k)^(cycle)</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Next start depth minus previous start depth</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x</w:t>
            </w:r>
          </w:p>
        </w:tc>
        <w:tc>
          <w:tcPr>
            <w:tcW w:type="dxa" w:w="6400"/>
            <w:vAlign w:val="center"/>
            <w:tcMar>
              <w:top w:w="65" w:type="dxa"/>
              <w:start w:w="100" w:type="dxa"/>
              <w:bottom w:w="65" w:type="dxa"/>
              <w:end w:w="100" w:type="dxa"/>
            </w:tcMar>
          </w:tcPr>
          <w:p>
            <w:pPr>
              <w:spacing w:after="0" w:line="240" w:lineRule="auto"/>
            </w:pPr>
            <w:r>
              <w:rPr>
                <w:b w:val="0"/>
                <w:color w:val="222B32"/>
                <w:sz w:val="16"/>
              </w:rPr>
              <w:t>Predictor vector</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y</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Transition target</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hat(y)</w:t>
            </w:r>
          </w:p>
        </w:tc>
        <w:tc>
          <w:tcPr>
            <w:tcW w:type="dxa" w:w="6400"/>
            <w:vAlign w:val="center"/>
            <w:tcMar>
              <w:top w:w="65" w:type="dxa"/>
              <w:start w:w="100" w:type="dxa"/>
              <w:bottom w:w="65" w:type="dxa"/>
              <w:end w:w="100" w:type="dxa"/>
            </w:tcMar>
          </w:tcPr>
          <w:p>
            <w:pPr>
              <w:spacing w:after="0" w:line="240" w:lineRule="auto"/>
            </w:pPr>
            <w:r>
              <w:rPr>
                <w:b w:val="0"/>
                <w:color w:val="222B32"/>
                <w:sz w:val="16"/>
              </w:rPr>
              <w:t>Predicted transition</w:t>
            </w:r>
          </w:p>
        </w:tc>
      </w:tr>
    </w:tbl>
    <w:p>
      <w:pPr>
        <w:spacing w:after="0"/>
      </w:pPr>
    </w:p>
    <w:p>
      <w:pPr>
        <w:pStyle w:val="Heading1"/>
        <w:pageBreakBefore w:val="0"/>
      </w:pPr>
      <w:r>
        <w:rPr>
          <w:b/>
        </w:rPr>
        <w:t>4. Supplied data inventory</w:t>
      </w:r>
    </w:p>
    <w:p>
      <w:pPr>
        <w:pStyle w:val="Heading2"/>
        <w:pageBreakBefore w:val="0"/>
      </w:pPr>
      <w:r>
        <w:rPr>
          <w:b/>
        </w:rPr>
        <w:t>4.1 Files and pairing</w:t>
      </w:r>
    </w:p>
    <w:p>
      <w:r>
        <w:rPr>
          <w:b w:val="0"/>
        </w:rPr>
        <w:t>The supplied folder contained 1,158 anonymized CSV files:</w:t>
      </w:r>
    </w:p>
    <w:p>
      <w:pPr>
        <w:pStyle w:val="ListBullet"/>
      </w:pPr>
      <w:r>
        <w:rPr>
          <w:b w:val="0"/>
        </w:rPr>
        <w:t>579 Type A files;</w:t>
      </w:r>
    </w:p>
    <w:p>
      <w:pPr>
        <w:pStyle w:val="ListBullet"/>
      </w:pPr>
      <w:r>
        <w:rPr>
          <w:b w:val="0"/>
        </w:rPr>
        <w:t>579 Type B files;</w:t>
      </w:r>
    </w:p>
    <w:p>
      <w:pPr>
        <w:pStyle w:val="ListBullet"/>
      </w:pPr>
      <w:r>
        <w:rPr>
          <w:b w:val="0"/>
        </w:rPr>
        <w:t>one Type A and one Type B file for each anonymized well ID.</w:t>
      </w:r>
    </w:p>
    <w:p>
      <w:r>
        <w:rPr>
          <w:b w:val="0"/>
        </w:rPr>
        <w:t>The observation period was approximately 15 days, from 15 to 29 July 2026.</w:t>
      </w:r>
    </w:p>
    <w:p>
      <w:r>
        <w:rPr>
          <w:b w:val="0"/>
        </w:rPr>
        <w:t xml:space="preserve">The importer skips the first metadata line and reads the second line as the CSV header. Timestamps are parsed with the exact format </w:t>
      </w:r>
      <w:r>
        <w:rPr>
          <w:rFonts w:ascii="Aptos Mono" w:hAnsi="Aptos Mono"/>
          <w:color w:val="174554"/>
          <w:sz w:val="18"/>
        </w:rPr>
        <w:t>DDMMYY HHMMSS</w:t>
      </w:r>
      <w:r>
        <w:rPr>
          <w:b w:val="0"/>
        </w:rPr>
        <w:t xml:space="preserve">, corresponding to Python format </w:t>
      </w:r>
      <w:r>
        <w:rPr>
          <w:rFonts w:ascii="Aptos Mono" w:hAnsi="Aptos Mono"/>
          <w:color w:val="174554"/>
          <w:sz w:val="18"/>
        </w:rPr>
        <w:t>%d%m%y %H%M%S</w:t>
      </w:r>
      <w:r>
        <w:rPr>
          <w:b w:val="0"/>
        </w:rPr>
        <w:t>.</w:t>
      </w:r>
    </w:p>
    <w:p>
      <w:pPr>
        <w:pStyle w:val="Heading2"/>
        <w:pageBreakBefore w:val="0"/>
      </w:pPr>
      <w:r>
        <w:rPr>
          <w:b/>
        </w:rPr>
        <w:t>4.2 Type A: high-frequency operating records</w:t>
      </w:r>
    </w:p>
    <w:p>
      <w:r>
        <w:rPr>
          <w:b w:val="0"/>
        </w:rPr>
        <w:t>Type A has four fields:</w:t>
      </w:r>
    </w:p>
    <w:tbl>
      <w:tblPr>
        <w:tblStyle w:val="TableGrid"/>
        <w:tblW w:type="auto" w:w="0"/>
        <w:jc w:val="center"/>
        <w:tblLayout w:type="fixed"/>
        <w:tblLook w:firstColumn="1" w:firstRow="1" w:lastColumn="0" w:lastRow="0" w:noHBand="0" w:noVBand="1" w:val="04A0"/>
        <w:tblBorders>
          <w:top w:val="single" w:sz="4" w:color="D8E0E5"/>
          <w:left w:val="single" w:sz="4" w:color="D8E0E5"/>
          <w:bottom w:val="single" w:sz="4" w:color="D8E0E5"/>
          <w:right w:val="single" w:sz="4" w:color="D8E0E5"/>
          <w:insideH w:val="single" w:sz="4" w:color="D8E0E5"/>
          <w:insideV w:val="single" w:sz="4" w:color="D8E0E5"/>
        </w:tblBorders>
      </w:tblPr>
      <w:tblGrid>
        <w:gridCol w:w="5046"/>
        <w:gridCol w:w="5046"/>
      </w:tblGrid>
      <w:tr>
        <w:trPr>
          <w:cantSplit/>
          <w:tblHeader w:val="true"/>
        </w:trPr>
        <w:tc>
          <w:tcPr>
            <w:tcW w:type="dxa" w:w="3600"/>
            <w:vAlign w:val="center"/>
            <w:tcMar>
              <w:top w:w="65" w:type="dxa"/>
              <w:start w:w="100" w:type="dxa"/>
              <w:bottom w:w="65" w:type="dxa"/>
              <w:end w:w="100" w:type="dxa"/>
            </w:tcMar>
            <w:shd w:fill="17324D"/>
          </w:tcPr>
          <w:p>
            <w:pPr>
              <w:spacing w:after="0" w:line="240" w:lineRule="auto"/>
            </w:pPr>
            <w:r>
              <w:rPr>
                <w:b/>
                <w:color w:val="FFFFFF"/>
                <w:sz w:val="16"/>
              </w:rPr>
              <w:t>Field</w:t>
            </w:r>
          </w:p>
        </w:tc>
        <w:tc>
          <w:tcPr>
            <w:tcW w:type="dxa" w:w="6400"/>
            <w:vAlign w:val="center"/>
            <w:tcMar>
              <w:top w:w="65" w:type="dxa"/>
              <w:start w:w="100" w:type="dxa"/>
              <w:bottom w:w="65" w:type="dxa"/>
              <w:end w:w="100" w:type="dxa"/>
            </w:tcMar>
            <w:shd w:fill="17324D"/>
          </w:tcPr>
          <w:p>
            <w:pPr>
              <w:spacing w:after="0" w:line="240" w:lineRule="auto"/>
            </w:pPr>
            <w:r>
              <w:rPr>
                <w:b/>
                <w:color w:val="FFFFFF"/>
                <w:sz w:val="16"/>
              </w:rPr>
              <w:t>Interpretation used</w:t>
            </w:r>
          </w:p>
        </w:tc>
      </w:tr>
      <w:tr>
        <w:trPr>
          <w:cantSplit/>
        </w:trPr>
        <w:tc>
          <w:tcPr>
            <w:tcW w:type="dxa" w:w="3600"/>
            <w:vAlign w:val="center"/>
            <w:tcMar>
              <w:top w:w="65" w:type="dxa"/>
              <w:start w:w="100" w:type="dxa"/>
              <w:bottom w:w="65" w:type="dxa"/>
              <w:end w:w="100" w:type="dxa"/>
            </w:tcMar>
          </w:tcPr>
          <w:p>
            <w:pPr>
              <w:spacing w:after="0" w:line="240" w:lineRule="auto"/>
            </w:pPr>
            <w:r>
              <w:rPr>
                <w:rFonts w:ascii="Aptos Mono" w:hAnsi="Aptos Mono"/>
                <w:color w:val="174554"/>
                <w:sz w:val="16"/>
              </w:rPr>
              <w:t>timestamp</w:t>
            </w:r>
          </w:p>
        </w:tc>
        <w:tc>
          <w:tcPr>
            <w:tcW w:type="dxa" w:w="6400"/>
            <w:vAlign w:val="center"/>
            <w:tcMar>
              <w:top w:w="65" w:type="dxa"/>
              <w:start w:w="100" w:type="dxa"/>
              <w:bottom w:w="65" w:type="dxa"/>
              <w:end w:w="100" w:type="dxa"/>
            </w:tcMar>
          </w:tcPr>
          <w:p>
            <w:pPr>
              <w:spacing w:after="0" w:line="240" w:lineRule="auto"/>
            </w:pPr>
            <w:r>
              <w:rPr>
                <w:b w:val="0"/>
                <w:color w:val="222B32"/>
                <w:sz w:val="16"/>
              </w:rPr>
              <w:t>Observation time</w:t>
            </w:r>
          </w:p>
        </w:tc>
      </w:tr>
      <w:tr>
        <w:trPr>
          <w:cantSplit/>
        </w:trPr>
        <w:tc>
          <w:tcPr>
            <w:tcW w:type="dxa" w:w="3600"/>
            <w:vAlign w:val="center"/>
            <w:tcMar>
              <w:top w:w="65" w:type="dxa"/>
              <w:start w:w="100" w:type="dxa"/>
              <w:bottom w:w="65" w:type="dxa"/>
              <w:end w:w="100" w:type="dxa"/>
            </w:tcMar>
            <w:shd w:fill="F4F8FA"/>
          </w:tcPr>
          <w:p>
            <w:pPr>
              <w:spacing w:after="0" w:line="240" w:lineRule="auto"/>
            </w:pPr>
            <w:r>
              <w:rPr>
                <w:rFonts w:ascii="Aptos Mono" w:hAnsi="Aptos Mono"/>
                <w:color w:val="174554"/>
                <w:sz w:val="16"/>
              </w:rPr>
              <w:t>discharge L/min</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Instantaneous discharge rate</w:t>
            </w:r>
          </w:p>
        </w:tc>
      </w:tr>
      <w:tr>
        <w:trPr>
          <w:cantSplit/>
        </w:trPr>
        <w:tc>
          <w:tcPr>
            <w:tcW w:type="dxa" w:w="3600"/>
            <w:vAlign w:val="center"/>
            <w:tcMar>
              <w:top w:w="65" w:type="dxa"/>
              <w:start w:w="100" w:type="dxa"/>
              <w:bottom w:w="65" w:type="dxa"/>
              <w:end w:w="100" w:type="dxa"/>
            </w:tcMar>
          </w:tcPr>
          <w:p>
            <w:pPr>
              <w:spacing w:after="0" w:line="240" w:lineRule="auto"/>
            </w:pPr>
            <w:r>
              <w:rPr>
                <w:rFonts w:ascii="Aptos Mono" w:hAnsi="Aptos Mono"/>
                <w:color w:val="174554"/>
                <w:sz w:val="16"/>
              </w:rPr>
              <w:t>power kW</w:t>
            </w:r>
          </w:p>
        </w:tc>
        <w:tc>
          <w:tcPr>
            <w:tcW w:type="dxa" w:w="6400"/>
            <w:vAlign w:val="center"/>
            <w:tcMar>
              <w:top w:w="65" w:type="dxa"/>
              <w:start w:w="100" w:type="dxa"/>
              <w:bottom w:w="65" w:type="dxa"/>
              <w:end w:w="100" w:type="dxa"/>
            </w:tcMar>
          </w:tcPr>
          <w:p>
            <w:pPr>
              <w:spacing w:after="0" w:line="240" w:lineRule="auto"/>
            </w:pPr>
            <w:r>
              <w:rPr>
                <w:b w:val="0"/>
                <w:color w:val="222B32"/>
                <w:sz w:val="16"/>
              </w:rPr>
              <w:t>Instantaneous electrical power</w:t>
            </w:r>
          </w:p>
        </w:tc>
      </w:tr>
      <w:tr>
        <w:trPr>
          <w:cantSplit/>
        </w:trPr>
        <w:tc>
          <w:tcPr>
            <w:tcW w:type="dxa" w:w="3600"/>
            <w:vAlign w:val="center"/>
            <w:tcMar>
              <w:top w:w="65" w:type="dxa"/>
              <w:start w:w="100" w:type="dxa"/>
              <w:bottom w:w="65" w:type="dxa"/>
              <w:end w:w="100" w:type="dxa"/>
            </w:tcMar>
            <w:shd w:fill="F4F8FA"/>
          </w:tcPr>
          <w:p>
            <w:pPr>
              <w:spacing w:after="0" w:line="240" w:lineRule="auto"/>
            </w:pPr>
            <w:r>
              <w:rPr>
                <w:rFonts w:ascii="Aptos Mono" w:hAnsi="Aptos Mono"/>
                <w:color w:val="174554"/>
                <w:sz w:val="16"/>
              </w:rPr>
              <w:t>pump_status</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Recorded ON/OFF label</w:t>
            </w:r>
          </w:p>
        </w:tc>
      </w:tr>
    </w:tbl>
    <w:p>
      <w:pPr>
        <w:spacing w:after="0"/>
      </w:pPr>
    </w:p>
    <w:p>
      <w:r>
        <w:rPr>
          <w:b w:val="0"/>
        </w:rPr>
        <w:t>Audit totals:</w:t>
      </w:r>
    </w:p>
    <w:p>
      <w:pPr>
        <w:pStyle w:val="ListBullet"/>
      </w:pPr>
      <w:r>
        <w:rPr>
          <w:b w:val="0"/>
        </w:rPr>
        <w:t>489,828 Type A rows;</w:t>
      </w:r>
    </w:p>
    <w:p>
      <w:pPr>
        <w:pStyle w:val="ListBullet"/>
      </w:pPr>
      <w:r>
        <w:rPr>
          <w:b w:val="0"/>
        </w:rPr>
        <w:t>Type A rows per well: minimum 1, median 591, maximum 3,873;</w:t>
      </w:r>
    </w:p>
    <w:p>
      <w:pPr>
        <w:pStyle w:val="ListBullet"/>
      </w:pPr>
      <w:r>
        <w:rPr>
          <w:b w:val="0"/>
        </w:rPr>
        <w:t>median sampling gap 5.133 minutes;</w:t>
      </w:r>
    </w:p>
    <w:p>
      <w:pPr>
        <w:pStyle w:val="ListBullet"/>
      </w:pPr>
      <w:r>
        <w:rPr>
          <w:b w:val="0"/>
        </w:rPr>
        <w:t>95.2% of gaps between 4 and 6 minutes;</w:t>
      </w:r>
    </w:p>
    <w:p>
      <w:pPr>
        <w:pStyle w:val="ListBullet"/>
      </w:pPr>
      <w:r>
        <w:rPr>
          <w:b w:val="0"/>
        </w:rPr>
        <w:t>489,016 rows labeled ON;</w:t>
      </w:r>
    </w:p>
    <w:p>
      <w:pPr>
        <w:pStyle w:val="ListBullet"/>
      </w:pPr>
      <w:r>
        <w:rPr>
          <w:b w:val="0"/>
        </w:rPr>
        <w:t>812 rows labeled OFF.</w:t>
      </w:r>
    </w:p>
    <w:p>
      <w:r>
        <w:rPr>
          <w:b w:val="0"/>
        </w:rPr>
        <w:t>There were 340 wells with only ON records, 227 with both ON and OFF records, and 12 with only OFF records. The OFF records had zero discharge but nonzero power, with mean power approximately 5.454 kW. This requires an explanation from the data owner: possible standby consumption, label semantics, instrumentation offset, or anonymization effects.</w:t>
      </w:r>
    </w:p>
    <w:p>
      <w:pPr>
        <w:pStyle w:val="Heading2"/>
        <w:pageBreakBefore w:val="0"/>
      </w:pPr>
      <w:r>
        <w:rPr>
          <w:b/>
        </w:rPr>
        <w:t>4.3 Type B: pumping-session boundary records</w:t>
      </w:r>
    </w:p>
    <w:p>
      <w:r>
        <w:rPr>
          <w:b w:val="0"/>
        </w:rPr>
        <w:t>Type B provides:</w:t>
      </w:r>
    </w:p>
    <w:p>
      <w:pPr>
        <w:pStyle w:val="ListBullet"/>
      </w:pPr>
      <w:r>
        <w:rPr>
          <w:b w:val="0"/>
        </w:rPr>
        <w:t>session start timestamp;</w:t>
      </w:r>
    </w:p>
    <w:p>
      <w:pPr>
        <w:pStyle w:val="ListBullet"/>
      </w:pPr>
      <w:r>
        <w:rPr>
          <w:b w:val="0"/>
        </w:rPr>
        <w:t>session stop timestamp;</w:t>
      </w:r>
    </w:p>
    <w:p>
      <w:pPr>
        <w:pStyle w:val="ListBullet"/>
      </w:pPr>
      <w:r>
        <w:rPr>
          <w:b w:val="0"/>
        </w:rPr>
        <w:t>a start field labeled actual borewell depth in feet;</w:t>
      </w:r>
    </w:p>
    <w:p>
      <w:pPr>
        <w:pStyle w:val="ListBullet"/>
      </w:pPr>
      <w:r>
        <w:rPr>
          <w:b w:val="0"/>
        </w:rPr>
        <w:t>water level at start in metres below surface;</w:t>
      </w:r>
    </w:p>
    <w:p>
      <w:pPr>
        <w:pStyle w:val="ListBullet"/>
      </w:pPr>
      <w:r>
        <w:rPr>
          <w:b w:val="0"/>
        </w:rPr>
        <w:t>a stop field labeled actual borewell depth in feet;</w:t>
      </w:r>
    </w:p>
    <w:p>
      <w:pPr>
        <w:pStyle w:val="ListBullet"/>
      </w:pPr>
      <w:r>
        <w:rPr>
          <w:b w:val="0"/>
        </w:rPr>
        <w:t>water level at stop in metres below surface;</w:t>
      </w:r>
    </w:p>
    <w:p>
      <w:pPr>
        <w:pStyle w:val="ListBullet"/>
      </w:pPr>
      <w:r>
        <w:rPr>
          <w:b w:val="0"/>
        </w:rPr>
        <w:t>duration in minutes.</w:t>
      </w:r>
    </w:p>
    <w:p>
      <w:r>
        <w:rPr>
          <w:b w:val="0"/>
        </w:rPr>
        <w:t>The feet fields equal the corresponding water-level values in metres multiplied by 3.28084, subject to rounding. They are therefore duplicate units, not confirmed construction depths. They must not be interpreted as drilled depth.</w:t>
      </w:r>
    </w:p>
    <w:p>
      <w:r>
        <w:rPr>
          <w:b w:val="0"/>
        </w:rPr>
        <w:t>Audit totals:</w:t>
      </w:r>
    </w:p>
    <w:p>
      <w:pPr>
        <w:pStyle w:val="ListBullet"/>
      </w:pPr>
      <w:r>
        <w:rPr>
          <w:b w:val="0"/>
        </w:rPr>
        <w:t>12,355 pumping sessions;</w:t>
      </w:r>
    </w:p>
    <w:p>
      <w:pPr>
        <w:pStyle w:val="ListBullet"/>
      </w:pPr>
      <w:r>
        <w:rPr>
          <w:b w:val="0"/>
        </w:rPr>
        <w:t>11,788 consecutive-session transitions before quality screening;</w:t>
      </w:r>
    </w:p>
    <w:p>
      <w:pPr>
        <w:pStyle w:val="ListBullet"/>
      </w:pPr>
      <w:r>
        <w:rPr>
          <w:b w:val="0"/>
        </w:rPr>
        <w:t>12 wells with zero sessions;</w:t>
      </w:r>
    </w:p>
    <w:p>
      <w:pPr>
        <w:pStyle w:val="ListBullet"/>
      </w:pPr>
      <w:r>
        <w:rPr>
          <w:b w:val="0"/>
        </w:rPr>
        <w:t>Type B sessions per well: minimum 0, median 17, maximum 220;</w:t>
      </w:r>
    </w:p>
    <w:p>
      <w:pPr>
        <w:pStyle w:val="ListBullet"/>
      </w:pPr>
      <w:r>
        <w:rPr>
          <w:b w:val="0"/>
        </w:rPr>
        <w:t>median 17 sessions per well;</w:t>
      </w:r>
    </w:p>
    <w:p>
      <w:pPr>
        <w:pStyle w:val="ListBullet"/>
      </w:pPr>
      <w:r>
        <w:rPr>
          <w:b w:val="0"/>
        </w:rPr>
        <w:t>maximum 220 sessions in one well;</w:t>
      </w:r>
    </w:p>
    <w:p>
      <w:pPr>
        <w:pStyle w:val="ListBullet"/>
      </w:pPr>
      <w:r>
        <w:rPr>
          <w:b w:val="0"/>
        </w:rPr>
        <w:t>502 wells with at least 5 sessions;</w:t>
      </w:r>
    </w:p>
    <w:p>
      <w:pPr>
        <w:pStyle w:val="ListBullet"/>
      </w:pPr>
      <w:r>
        <w:rPr>
          <w:b w:val="0"/>
        </w:rPr>
        <w:t>423 wells with at least 10 sessions.</w:t>
      </w:r>
    </w:p>
    <w:p>
      <w:pPr>
        <w:pStyle w:val="Heading2"/>
        <w:pageBreakBefore w:val="0"/>
      </w:pPr>
      <w:r>
        <w:rPr>
          <w:b/>
        </w:rPr>
        <w:t>4.4 Exact linkage between the file types</w:t>
      </w:r>
    </w:p>
    <w:p>
      <w:r>
        <w:rPr>
          <w:b w:val="0"/>
        </w:rPr>
        <w:t>All 489,016 Type A ON rows occurred inside Type B session intervals. The 812 remaining Type A rows occurred outside Type B sessions. Every Type B session had corresponding Type A data, and Type A records occurred exactly at every Type B start and stop timestamp.</w:t>
      </w:r>
    </w:p>
    <w:p>
      <w:r>
        <w:rPr>
          <w:b w:val="0"/>
        </w:rPr>
        <w:t xml:space="preserve">The implementation uses Type B intervals as the authoritative session boundaries. It integrates Type A discharge and power inside those intervals. The </w:t>
      </w:r>
      <w:r>
        <w:rPr>
          <w:rFonts w:ascii="Aptos Mono" w:hAnsi="Aptos Mono"/>
          <w:color w:val="174554"/>
          <w:sz w:val="18"/>
        </w:rPr>
        <w:t>pump_status</w:t>
      </w:r>
      <w:r>
        <w:rPr>
          <w:b w:val="0"/>
        </w:rPr>
        <w:t xml:space="preserve"> field is read during import but is not used as a model predictor or session filter. OFF rows outside Type B sessions are excluded from pumping-session integration. Recovery is inferred between Type B sessions; there is no continuous off-period water-level series.</w:t>
      </w:r>
    </w:p>
    <w:p>
      <w:pPr>
        <w:pStyle w:val="Heading2"/>
        <w:pageBreakBefore w:val="0"/>
      </w:pPr>
      <w:r>
        <w:rPr>
          <w:b/>
        </w:rPr>
        <w:t>4.5 Coverage by well</w:t>
      </w:r>
    </w:p>
    <w:tbl>
      <w:tblPr>
        <w:tblStyle w:val="TableGrid"/>
        <w:tblW w:type="auto" w:w="0"/>
        <w:jc w:val="center"/>
        <w:tblLayout w:type="fixed"/>
        <w:tblLook w:firstColumn="1" w:firstRow="1" w:lastColumn="0" w:lastRow="0" w:noHBand="0" w:noVBand="1" w:val="04A0"/>
        <w:tblBorders>
          <w:top w:val="single" w:sz="4" w:color="D8E0E5"/>
          <w:left w:val="single" w:sz="4" w:color="D8E0E5"/>
          <w:bottom w:val="single" w:sz="4" w:color="D8E0E5"/>
          <w:right w:val="single" w:sz="4" w:color="D8E0E5"/>
          <w:insideH w:val="single" w:sz="4" w:color="D8E0E5"/>
          <w:insideV w:val="single" w:sz="4" w:color="D8E0E5"/>
        </w:tblBorders>
      </w:tblPr>
      <w:tblGrid>
        <w:gridCol w:w="5046"/>
        <w:gridCol w:w="5046"/>
      </w:tblGrid>
      <w:tr>
        <w:trPr>
          <w:cantSplit/>
          <w:tblHeader w:val="true"/>
        </w:trPr>
        <w:tc>
          <w:tcPr>
            <w:tcW w:type="dxa" w:w="3600"/>
            <w:vAlign w:val="center"/>
            <w:tcMar>
              <w:top w:w="65" w:type="dxa"/>
              <w:start w:w="100" w:type="dxa"/>
              <w:bottom w:w="65" w:type="dxa"/>
              <w:end w:w="100" w:type="dxa"/>
            </w:tcMar>
            <w:shd w:fill="17324D"/>
          </w:tcPr>
          <w:p>
            <w:pPr>
              <w:spacing w:after="0" w:line="240" w:lineRule="auto"/>
            </w:pPr>
            <w:r>
              <w:rPr>
                <w:b/>
                <w:color w:val="FFFFFF"/>
                <w:sz w:val="16"/>
              </w:rPr>
              <w:t>Coverage statement</w:t>
            </w:r>
          </w:p>
        </w:tc>
        <w:tc>
          <w:tcPr>
            <w:tcW w:type="dxa" w:w="6400"/>
            <w:vAlign w:val="center"/>
            <w:tcMar>
              <w:top w:w="65" w:type="dxa"/>
              <w:start w:w="100" w:type="dxa"/>
              <w:bottom w:w="65" w:type="dxa"/>
              <w:end w:w="100" w:type="dxa"/>
            </w:tcMar>
            <w:shd w:fill="17324D"/>
          </w:tcPr>
          <w:p>
            <w:pPr>
              <w:spacing w:after="0" w:line="240" w:lineRule="auto"/>
            </w:pPr>
            <w:r>
              <w:rPr>
                <w:b/>
                <w:color w:val="FFFFFF"/>
                <w:sz w:val="16"/>
              </w:rPr>
              <w:t>Well count</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At least 13 observed days</w:t>
            </w:r>
          </w:p>
        </w:tc>
        <w:tc>
          <w:tcPr>
            <w:tcW w:type="dxa" w:w="6400"/>
            <w:vAlign w:val="center"/>
            <w:tcMar>
              <w:top w:w="65" w:type="dxa"/>
              <w:start w:w="100" w:type="dxa"/>
              <w:bottom w:w="65" w:type="dxa"/>
              <w:end w:w="100" w:type="dxa"/>
            </w:tcMar>
          </w:tcPr>
          <w:p>
            <w:pPr>
              <w:spacing w:after="0" w:line="240" w:lineRule="auto"/>
            </w:pPr>
            <w:r>
              <w:rPr>
                <w:b w:val="0"/>
                <w:color w:val="222B32"/>
                <w:sz w:val="16"/>
              </w:rPr>
              <w:t>376</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Fewer than 7 observed days</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80</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Fewer than 1 observed day</w:t>
            </w:r>
          </w:p>
        </w:tc>
        <w:tc>
          <w:tcPr>
            <w:tcW w:type="dxa" w:w="6400"/>
            <w:vAlign w:val="center"/>
            <w:tcMar>
              <w:top w:w="65" w:type="dxa"/>
              <w:start w:w="100" w:type="dxa"/>
              <w:bottom w:w="65" w:type="dxa"/>
              <w:end w:w="100" w:type="dxa"/>
            </w:tcMar>
          </w:tcPr>
          <w:p>
            <w:pPr>
              <w:spacing w:after="0" w:line="240" w:lineRule="auto"/>
            </w:pPr>
            <w:r>
              <w:rPr>
                <w:b w:val="0"/>
                <w:color w:val="222B32"/>
                <w:sz w:val="16"/>
              </w:rPr>
              <w:t>36</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Zero-day span, effectively a single time point</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10</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At least 7 days and at least 10 sessions</w:t>
            </w:r>
          </w:p>
        </w:tc>
        <w:tc>
          <w:tcPr>
            <w:tcW w:type="dxa" w:w="6400"/>
            <w:vAlign w:val="center"/>
            <w:tcMar>
              <w:top w:w="65" w:type="dxa"/>
              <w:start w:w="100" w:type="dxa"/>
              <w:bottom w:w="65" w:type="dxa"/>
              <w:end w:w="100" w:type="dxa"/>
            </w:tcMar>
          </w:tcPr>
          <w:p>
            <w:pPr>
              <w:spacing w:after="0" w:line="240" w:lineRule="auto"/>
            </w:pPr>
            <w:r>
              <w:rPr>
                <w:b w:val="0"/>
                <w:color w:val="222B32"/>
                <w:sz w:val="16"/>
              </w:rPr>
              <w:t>413</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At least 13 days and at least 10 sessions</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346</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At least 13 days and at least 20 sessions</w:t>
            </w:r>
          </w:p>
        </w:tc>
        <w:tc>
          <w:tcPr>
            <w:tcW w:type="dxa" w:w="6400"/>
            <w:vAlign w:val="center"/>
            <w:tcMar>
              <w:top w:w="65" w:type="dxa"/>
              <w:start w:w="100" w:type="dxa"/>
              <w:bottom w:w="65" w:type="dxa"/>
              <w:end w:w="100" w:type="dxa"/>
            </w:tcMar>
          </w:tcPr>
          <w:p>
            <w:pPr>
              <w:spacing w:after="0" w:line="240" w:lineRule="auto"/>
            </w:pPr>
            <w:r>
              <w:rPr>
                <w:b w:val="0"/>
                <w:color w:val="222B32"/>
                <w:sz w:val="16"/>
              </w:rPr>
              <w:t>217</w:t>
            </w:r>
          </w:p>
        </w:tc>
      </w:tr>
    </w:tbl>
    <w:p>
      <w:pPr>
        <w:spacing w:after="0"/>
      </w:pPr>
    </w:p>
    <w:p>
      <w:pPr>
        <w:pStyle w:val="Heading2"/>
        <w:pageBreakBefore w:val="0"/>
      </w:pPr>
      <w:r>
        <w:rPr>
          <w:b/>
        </w:rPr>
        <w:t>4.6 Raw distributions and anomalies</w:t>
      </w:r>
    </w:p>
    <w:tbl>
      <w:tblPr>
        <w:tblStyle w:val="TableGrid"/>
        <w:tblW w:type="auto" w:w="0"/>
        <w:jc w:val="center"/>
        <w:tblLayout w:type="fixed"/>
        <w:tblLook w:firstColumn="1" w:firstRow="1" w:lastColumn="0" w:lastRow="0" w:noHBand="0" w:noVBand="1" w:val="04A0"/>
        <w:tblBorders>
          <w:top w:val="single" w:sz="4" w:color="D8E0E5"/>
          <w:left w:val="single" w:sz="4" w:color="D8E0E5"/>
          <w:bottom w:val="single" w:sz="4" w:color="D8E0E5"/>
          <w:right w:val="single" w:sz="4" w:color="D8E0E5"/>
          <w:insideH w:val="single" w:sz="4" w:color="D8E0E5"/>
          <w:insideV w:val="single" w:sz="4" w:color="D8E0E5"/>
        </w:tblBorders>
      </w:tblPr>
      <w:tblGrid>
        <w:gridCol w:w="2018"/>
        <w:gridCol w:w="2018"/>
        <w:gridCol w:w="2018"/>
        <w:gridCol w:w="2018"/>
        <w:gridCol w:w="2018"/>
      </w:tblGrid>
      <w:tr>
        <w:trPr>
          <w:cantSplit/>
          <w:tblHeader w:val="true"/>
        </w:trPr>
        <w:tc>
          <w:tcPr>
            <w:tcW w:type="dxa" w:w="2000"/>
            <w:vAlign w:val="center"/>
            <w:tcMar>
              <w:top w:w="65" w:type="dxa"/>
              <w:start w:w="100" w:type="dxa"/>
              <w:bottom w:w="65" w:type="dxa"/>
              <w:end w:w="100" w:type="dxa"/>
            </w:tcMar>
            <w:shd w:fill="17324D"/>
          </w:tcPr>
          <w:p>
            <w:pPr>
              <w:spacing w:after="0" w:line="240" w:lineRule="auto"/>
            </w:pPr>
            <w:r>
              <w:rPr>
                <w:b/>
                <w:color w:val="FFFFFF"/>
                <w:sz w:val="16"/>
              </w:rPr>
              <w:t>Quantity</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Mean</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Median</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Minimum</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Maximum</w:t>
            </w:r>
          </w:p>
        </w:tc>
      </w:tr>
      <w:tr>
        <w:trPr>
          <w:cantSplit/>
        </w:trPr>
        <w:tc>
          <w:tcPr>
            <w:tcW w:type="dxa" w:w="2000"/>
            <w:vAlign w:val="center"/>
            <w:tcMar>
              <w:top w:w="65" w:type="dxa"/>
              <w:start w:w="100" w:type="dxa"/>
              <w:bottom w:w="65" w:type="dxa"/>
              <w:end w:w="100" w:type="dxa"/>
            </w:tcMar>
          </w:tcPr>
          <w:p>
            <w:pPr>
              <w:spacing w:after="0" w:line="240" w:lineRule="auto"/>
            </w:pPr>
            <w:r>
              <w:rPr>
                <w:b w:val="0"/>
                <w:color w:val="222B32"/>
                <w:sz w:val="16"/>
              </w:rPr>
              <w:t>Start level, m bgs</w:t>
            </w:r>
          </w:p>
        </w:tc>
        <w:tc>
          <w:tcPr>
            <w:tcW w:type="dxa" w:w="2000"/>
            <w:vAlign w:val="center"/>
            <w:tcMar>
              <w:top w:w="65" w:type="dxa"/>
              <w:start w:w="100" w:type="dxa"/>
              <w:bottom w:w="65" w:type="dxa"/>
              <w:end w:w="100" w:type="dxa"/>
            </w:tcMar>
          </w:tcPr>
          <w:p>
            <w:pPr>
              <w:spacing w:after="0" w:line="240" w:lineRule="auto"/>
            </w:pPr>
            <w:r>
              <w:rPr>
                <w:b w:val="0"/>
                <w:color w:val="222B32"/>
                <w:sz w:val="16"/>
              </w:rPr>
              <w:t>86.552</w:t>
            </w:r>
          </w:p>
        </w:tc>
        <w:tc>
          <w:tcPr>
            <w:tcW w:type="dxa" w:w="2000"/>
            <w:vAlign w:val="center"/>
            <w:tcMar>
              <w:top w:w="65" w:type="dxa"/>
              <w:start w:w="100" w:type="dxa"/>
              <w:bottom w:w="65" w:type="dxa"/>
              <w:end w:w="100" w:type="dxa"/>
            </w:tcMar>
          </w:tcPr>
          <w:p>
            <w:pPr>
              <w:spacing w:after="0" w:line="240" w:lineRule="auto"/>
            </w:pPr>
            <w:r>
              <w:rPr>
                <w:b w:val="0"/>
                <w:color w:val="222B32"/>
                <w:sz w:val="16"/>
              </w:rPr>
              <w:t>69.700</w:t>
            </w:r>
          </w:p>
        </w:tc>
        <w:tc>
          <w:tcPr>
            <w:tcW w:type="dxa" w:w="2000"/>
            <w:vAlign w:val="center"/>
            <w:tcMar>
              <w:top w:w="65" w:type="dxa"/>
              <w:start w:w="100" w:type="dxa"/>
              <w:bottom w:w="65" w:type="dxa"/>
              <w:end w:w="100" w:type="dxa"/>
            </w:tcMar>
          </w:tcPr>
          <w:p>
            <w:pPr>
              <w:spacing w:after="0" w:line="240" w:lineRule="auto"/>
            </w:pPr>
            <w:r>
              <w:rPr>
                <w:b w:val="0"/>
                <w:color w:val="222B32"/>
                <w:sz w:val="16"/>
              </w:rPr>
              <w:t>0.910</w:t>
            </w:r>
          </w:p>
        </w:tc>
        <w:tc>
          <w:tcPr>
            <w:tcW w:type="dxa" w:w="2000"/>
            <w:vAlign w:val="center"/>
            <w:tcMar>
              <w:top w:w="65" w:type="dxa"/>
              <w:start w:w="100" w:type="dxa"/>
              <w:bottom w:w="65" w:type="dxa"/>
              <w:end w:w="100" w:type="dxa"/>
            </w:tcMar>
          </w:tcPr>
          <w:p>
            <w:pPr>
              <w:spacing w:after="0" w:line="240" w:lineRule="auto"/>
            </w:pPr>
            <w:r>
              <w:rPr>
                <w:b w:val="0"/>
                <w:color w:val="222B32"/>
                <w:sz w:val="16"/>
              </w:rPr>
              <w:t>457.120</w:t>
            </w:r>
          </w:p>
        </w:tc>
      </w:tr>
      <w:tr>
        <w:trPr>
          <w:cantSplit/>
        </w:trPr>
        <w:tc>
          <w:tcPr>
            <w:tcW w:type="dxa" w:w="2000"/>
            <w:vAlign w:val="center"/>
            <w:tcMar>
              <w:top w:w="65" w:type="dxa"/>
              <w:start w:w="100" w:type="dxa"/>
              <w:bottom w:w="65" w:type="dxa"/>
              <w:end w:w="100" w:type="dxa"/>
            </w:tcMar>
            <w:shd w:fill="F4F8FA"/>
          </w:tcPr>
          <w:p>
            <w:pPr>
              <w:spacing w:after="0" w:line="240" w:lineRule="auto"/>
            </w:pPr>
            <w:r>
              <w:rPr>
                <w:b w:val="0"/>
                <w:color w:val="222B32"/>
                <w:sz w:val="16"/>
              </w:rPr>
              <w:t>Stop level, m bgs</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88.157</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65.740</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0.880</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457.180</w:t>
            </w:r>
          </w:p>
        </w:tc>
      </w:tr>
      <w:tr>
        <w:trPr>
          <w:cantSplit/>
        </w:trPr>
        <w:tc>
          <w:tcPr>
            <w:tcW w:type="dxa" w:w="2000"/>
            <w:vAlign w:val="center"/>
            <w:tcMar>
              <w:top w:w="65" w:type="dxa"/>
              <w:start w:w="100" w:type="dxa"/>
              <w:bottom w:w="65" w:type="dxa"/>
              <w:end w:w="100" w:type="dxa"/>
            </w:tcMar>
          </w:tcPr>
          <w:p>
            <w:pPr>
              <w:spacing w:after="0" w:line="240" w:lineRule="auto"/>
            </w:pPr>
            <w:r>
              <w:rPr>
                <w:b w:val="0"/>
                <w:color w:val="222B32"/>
                <w:sz w:val="16"/>
              </w:rPr>
              <w:t>Duration, minutes</w:t>
            </w:r>
          </w:p>
        </w:tc>
        <w:tc>
          <w:tcPr>
            <w:tcW w:type="dxa" w:w="2000"/>
            <w:vAlign w:val="center"/>
            <w:tcMar>
              <w:top w:w="65" w:type="dxa"/>
              <w:start w:w="100" w:type="dxa"/>
              <w:bottom w:w="65" w:type="dxa"/>
              <w:end w:w="100" w:type="dxa"/>
            </w:tcMar>
          </w:tcPr>
          <w:p>
            <w:pPr>
              <w:spacing w:after="0" w:line="240" w:lineRule="auto"/>
            </w:pPr>
            <w:r>
              <w:rPr>
                <w:b w:val="0"/>
                <w:color w:val="222B32"/>
                <w:sz w:val="16"/>
              </w:rPr>
              <w:t>196.120</w:t>
            </w:r>
          </w:p>
        </w:tc>
        <w:tc>
          <w:tcPr>
            <w:tcW w:type="dxa" w:w="2000"/>
            <w:vAlign w:val="center"/>
            <w:tcMar>
              <w:top w:w="65" w:type="dxa"/>
              <w:start w:w="100" w:type="dxa"/>
              <w:bottom w:w="65" w:type="dxa"/>
              <w:end w:w="100" w:type="dxa"/>
            </w:tcMar>
          </w:tcPr>
          <w:p>
            <w:pPr>
              <w:spacing w:after="0" w:line="240" w:lineRule="auto"/>
            </w:pPr>
            <w:r>
              <w:rPr>
                <w:b w:val="0"/>
                <w:color w:val="222B32"/>
                <w:sz w:val="16"/>
              </w:rPr>
              <w:t>108.100</w:t>
            </w:r>
          </w:p>
        </w:tc>
        <w:tc>
          <w:tcPr>
            <w:tcW w:type="dxa" w:w="2000"/>
            <w:vAlign w:val="center"/>
            <w:tcMar>
              <w:top w:w="65" w:type="dxa"/>
              <w:start w:w="100" w:type="dxa"/>
              <w:bottom w:w="65" w:type="dxa"/>
              <w:end w:w="100" w:type="dxa"/>
            </w:tcMar>
          </w:tcPr>
          <w:p>
            <w:pPr>
              <w:spacing w:after="0" w:line="240" w:lineRule="auto"/>
            </w:pPr>
            <w:r>
              <w:rPr>
                <w:b w:val="0"/>
                <w:color w:val="222B32"/>
                <w:sz w:val="16"/>
              </w:rPr>
              <w:t>0.300</w:t>
            </w:r>
          </w:p>
        </w:tc>
        <w:tc>
          <w:tcPr>
            <w:tcW w:type="dxa" w:w="2000"/>
            <w:vAlign w:val="center"/>
            <w:tcMar>
              <w:top w:w="65" w:type="dxa"/>
              <w:start w:w="100" w:type="dxa"/>
              <w:bottom w:w="65" w:type="dxa"/>
              <w:end w:w="100" w:type="dxa"/>
            </w:tcMar>
          </w:tcPr>
          <w:p>
            <w:pPr>
              <w:spacing w:after="0" w:line="240" w:lineRule="auto"/>
            </w:pPr>
            <w:r>
              <w:rPr>
                <w:b w:val="0"/>
                <w:color w:val="222B32"/>
                <w:sz w:val="16"/>
              </w:rPr>
              <w:t>12,902.500</w:t>
            </w:r>
          </w:p>
        </w:tc>
      </w:tr>
      <w:tr>
        <w:trPr>
          <w:cantSplit/>
        </w:trPr>
        <w:tc>
          <w:tcPr>
            <w:tcW w:type="dxa" w:w="2000"/>
            <w:vAlign w:val="center"/>
            <w:tcMar>
              <w:top w:w="65" w:type="dxa"/>
              <w:start w:w="100" w:type="dxa"/>
              <w:bottom w:w="65" w:type="dxa"/>
              <w:end w:w="100" w:type="dxa"/>
            </w:tcMar>
            <w:shd w:fill="F4F8FA"/>
          </w:tcPr>
          <w:p>
            <w:pPr>
              <w:spacing w:after="0" w:line="240" w:lineRule="auto"/>
            </w:pPr>
            <w:r>
              <w:rPr>
                <w:b w:val="0"/>
                <w:color w:val="222B32"/>
                <w:sz w:val="16"/>
              </w:rPr>
              <w:t>Stop minus start, m</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1.606</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1.340</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-434.960</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432.430</w:t>
            </w:r>
          </w:p>
        </w:tc>
      </w:tr>
      <w:tr>
        <w:trPr>
          <w:cantSplit/>
        </w:trPr>
        <w:tc>
          <w:tcPr>
            <w:tcW w:type="dxa" w:w="2000"/>
            <w:vAlign w:val="center"/>
            <w:tcMar>
              <w:top w:w="65" w:type="dxa"/>
              <w:start w:w="100" w:type="dxa"/>
              <w:bottom w:w="65" w:type="dxa"/>
              <w:end w:w="100" w:type="dxa"/>
            </w:tcMar>
          </w:tcPr>
          <w:p>
            <w:pPr>
              <w:spacing w:after="0" w:line="240" w:lineRule="auto"/>
            </w:pPr>
            <w:r>
              <w:rPr>
                <w:b w:val="0"/>
                <w:color w:val="222B32"/>
                <w:sz w:val="16"/>
              </w:rPr>
              <w:t>Off gap, minutes</w:t>
            </w:r>
          </w:p>
        </w:tc>
        <w:tc>
          <w:tcPr>
            <w:tcW w:type="dxa" w:w="2000"/>
            <w:vAlign w:val="center"/>
            <w:tcMar>
              <w:top w:w="65" w:type="dxa"/>
              <w:start w:w="100" w:type="dxa"/>
              <w:bottom w:w="65" w:type="dxa"/>
              <w:end w:w="100" w:type="dxa"/>
            </w:tcMar>
          </w:tcPr>
          <w:p>
            <w:pPr>
              <w:spacing w:after="0" w:line="240" w:lineRule="auto"/>
            </w:pPr>
            <w:r>
              <w:rPr>
                <w:b w:val="0"/>
                <w:color w:val="222B32"/>
                <w:sz w:val="16"/>
              </w:rPr>
              <w:t>—</w:t>
            </w:r>
          </w:p>
        </w:tc>
        <w:tc>
          <w:tcPr>
            <w:tcW w:type="dxa" w:w="2000"/>
            <w:vAlign w:val="center"/>
            <w:tcMar>
              <w:top w:w="65" w:type="dxa"/>
              <w:start w:w="100" w:type="dxa"/>
              <w:bottom w:w="65" w:type="dxa"/>
              <w:end w:w="100" w:type="dxa"/>
            </w:tcMar>
          </w:tcPr>
          <w:p>
            <w:pPr>
              <w:spacing w:after="0" w:line="240" w:lineRule="auto"/>
            </w:pPr>
            <w:r>
              <w:rPr>
                <w:b w:val="0"/>
                <w:color w:val="222B32"/>
                <w:sz w:val="16"/>
              </w:rPr>
              <w:t>363.720</w:t>
            </w:r>
          </w:p>
        </w:tc>
        <w:tc>
          <w:tcPr>
            <w:tcW w:type="dxa" w:w="2000"/>
            <w:vAlign w:val="center"/>
            <w:tcMar>
              <w:top w:w="65" w:type="dxa"/>
              <w:start w:w="100" w:type="dxa"/>
              <w:bottom w:w="65" w:type="dxa"/>
              <w:end w:w="100" w:type="dxa"/>
            </w:tcMar>
          </w:tcPr>
          <w:p>
            <w:pPr>
              <w:spacing w:after="0" w:line="240" w:lineRule="auto"/>
            </w:pPr>
            <w:r>
              <w:rPr>
                <w:b w:val="0"/>
                <w:color w:val="222B32"/>
                <w:sz w:val="16"/>
              </w:rPr>
              <w:t>15.030</w:t>
            </w:r>
          </w:p>
        </w:tc>
        <w:tc>
          <w:tcPr>
            <w:tcW w:type="dxa" w:w="2000"/>
            <w:vAlign w:val="center"/>
            <w:tcMar>
              <w:top w:w="65" w:type="dxa"/>
              <w:start w:w="100" w:type="dxa"/>
              <w:bottom w:w="65" w:type="dxa"/>
              <w:end w:w="100" w:type="dxa"/>
            </w:tcMar>
          </w:tcPr>
          <w:p>
            <w:pPr>
              <w:spacing w:after="0" w:line="240" w:lineRule="auto"/>
            </w:pPr>
            <w:r>
              <w:rPr>
                <w:b w:val="0"/>
                <w:color w:val="222B32"/>
                <w:sz w:val="16"/>
              </w:rPr>
              <w:t>17,117.000</w:t>
            </w:r>
          </w:p>
        </w:tc>
      </w:tr>
    </w:tbl>
    <w:p>
      <w:pPr>
        <w:spacing w:after="0"/>
      </w:pPr>
    </w:p>
    <w:p>
      <w:r>
        <w:rPr>
          <w:b w:val="0"/>
        </w:rPr>
        <w:t>Of the 12,355 sessions, 7,087 had a positive stop-minus-start change, 5,223 had a negative change, and 45 were unchanged. A negative pumping-session change can reflect boundary timing, recovery during intermittent pumping, measurement noise, a label issue, or anonymization. It should not automatically be treated as physically impossible.</w:t>
      </w:r>
    </w:p>
    <w:p>
      <w:r>
        <w:rPr>
          <w:b w:val="0"/>
        </w:rPr>
        <w:t>No missing parse values were found in populated rows, but numerical completeness does not establish validity. Units, sensor calibration, measurement semantics, and whether anonymization altered numeric values remain unconfirmed.</w:t>
      </w:r>
    </w:p>
    <w:p>
      <w:pPr>
        <w:pStyle w:val="Heading1"/>
        <w:pageBreakBefore w:val="0"/>
      </w:pPr>
      <w:r>
        <w:rPr>
          <w:b/>
        </w:rPr>
        <w:t>5. Session feature construction</w:t>
      </w:r>
    </w:p>
    <w:p>
      <w:pPr>
        <w:pStyle w:val="Heading2"/>
        <w:pageBreakBefore w:val="0"/>
      </w:pPr>
      <w:r>
        <w:rPr>
          <w:b/>
        </w:rPr>
        <w:t>5.1 Type A points assigned to a Type B session</w:t>
      </w:r>
    </w:p>
    <w:p>
      <w:r>
        <w:rPr>
          <w:b w:val="0"/>
        </w:rPr>
        <w:t>For a Type B session with start time t_0 and stop time t_1, the Type A segment is</w:t>
      </w:r>
    </w:p>
    <w:p>
      <w:pPr>
        <w:pStyle w:val="EquationDisplay"/>
      </w:pPr>
      <w:r>
        <w:drawing>
          <wp:inline xmlns:a="http://schemas.openxmlformats.org/drawingml/2006/main" xmlns:pic="http://schemas.openxmlformats.org/drawingml/2006/picture">
            <wp:extent cx="2017204" cy="149893"/>
            <wp:docPr id="2" name="Picture 2" descr="\mathcal{S}_{i,k}=\{(t_j,q_j,p_j): t_0 \le t_j \le t_1\}."/>
            <wp:cNvGraphicFramePr>
              <a:graphicFrameLocks noChangeAspect="1"/>
            </wp:cNvGraphicFramePr>
            <a:graphic>
              <a:graphicData uri="http://schemas.openxmlformats.org/drawingml/2006/picture">
                <pic:pic>
                  <pic:nvPicPr>
                    <pic:cNvPr id="0" name="7f3158bf081792bc.png"/>
                    <pic:cNvPicPr/>
                  </pic:nvPicPr>
                  <pic:blipFill>
                    <a:blip r:embed="rId17"/>
                    <a:stretch>
                      <a:fillRect/>
                    </a:stretch>
                  </pic:blipFill>
                  <pic:spPr>
                    <a:xfrm>
                      <a:off x="0" y="0"/>
                      <a:ext cx="2017204" cy="149893"/>
                    </a:xfrm>
                    <a:prstGeom prst="rect"/>
                  </pic:spPr>
                </pic:pic>
              </a:graphicData>
            </a:graphic>
          </wp:inline>
        </w:drawing>
      </w:r>
    </w:p>
    <w:p>
      <w:r>
        <w:rPr>
          <w:b w:val="0"/>
        </w:rPr>
        <w:t>Both endpoints are included. A cursor through each well’s time-sorted Type A records makes the matching deterministic.</w:t>
      </w:r>
    </w:p>
    <w:p>
      <w:pPr>
        <w:pStyle w:val="Heading2"/>
        <w:pageBreakBefore w:val="0"/>
      </w:pPr>
      <w:r>
        <w:rPr>
          <w:b/>
        </w:rPr>
        <w:t>5.2 Pumped volume</w:t>
      </w:r>
    </w:p>
    <w:p>
      <w:r>
        <w:rPr>
          <w:b w:val="0"/>
        </w:rPr>
        <w:t>For Type A observations at minute offsets τ_j=(t_j-t_0)/60, pumped volume is trapezoidally integrated:</w:t>
      </w:r>
    </w:p>
    <w:p>
      <w:pPr>
        <w:pStyle w:val="EquationDisplay"/>
      </w:pPr>
      <w:r>
        <w:drawing>
          <wp:inline xmlns:a="http://schemas.openxmlformats.org/drawingml/2006/main" xmlns:pic="http://schemas.openxmlformats.org/drawingml/2006/picture">
            <wp:extent cx="1929511" cy="438237"/>
            <wp:docPr id="3" name="Picture 3" descr="V_{i,k}=\sum_{j=1}^{n-1}\frac{q_j+q_{j+1}}{2}(\tau_{j+1}-\tau_j)."/>
            <wp:cNvGraphicFramePr>
              <a:graphicFrameLocks noChangeAspect="1"/>
            </wp:cNvGraphicFramePr>
            <a:graphic>
              <a:graphicData uri="http://schemas.openxmlformats.org/drawingml/2006/picture">
                <pic:pic>
                  <pic:nvPicPr>
                    <pic:cNvPr id="0" name="89140133a94c812d.png"/>
                    <pic:cNvPicPr/>
                  </pic:nvPicPr>
                  <pic:blipFill>
                    <a:blip r:embed="rId18"/>
                    <a:stretch>
                      <a:fillRect/>
                    </a:stretch>
                  </pic:blipFill>
                  <pic:spPr>
                    <a:xfrm>
                      <a:off x="0" y="0"/>
                      <a:ext cx="1929511" cy="438237"/>
                    </a:xfrm>
                    <a:prstGeom prst="rect"/>
                  </pic:spPr>
                </pic:pic>
              </a:graphicData>
            </a:graphic>
          </wp:inline>
        </w:drawing>
      </w:r>
    </w:p>
    <w:p>
      <w:r>
        <w:rPr>
          <w:b w:val="0"/>
        </w:rPr>
        <w:t>Because q is litres per minute and τ is minutes, V is litres. At least two Type A points are required.</w:t>
      </w:r>
    </w:p>
    <w:p>
      <w:pPr>
        <w:pStyle w:val="Heading2"/>
        <w:pageBreakBefore w:val="0"/>
      </w:pPr>
      <w:r>
        <w:rPr>
          <w:b/>
        </w:rPr>
        <w:t>5.3 Electrical energy</w:t>
      </w:r>
    </w:p>
    <w:p>
      <w:r>
        <w:rPr>
          <w:b w:val="0"/>
        </w:rPr>
        <w:t>Power is also trapezoidally integrated:</w:t>
      </w:r>
    </w:p>
    <w:p>
      <w:pPr>
        <w:pStyle w:val="EquationDisplay"/>
      </w:pPr>
      <w:r>
        <w:drawing>
          <wp:inline xmlns:a="http://schemas.openxmlformats.org/drawingml/2006/main" xmlns:pic="http://schemas.openxmlformats.org/drawingml/2006/picture">
            <wp:extent cx="2199005" cy="438024"/>
            <wp:docPr id="4" name="Picture 4" descr="E_{i,k}=\frac{1}{60}\sum_{j=1}^{n-1}\frac{p_j+p_{j+1}}{2}(\tau_{j+1}-\tau_j)."/>
            <wp:cNvGraphicFramePr>
              <a:graphicFrameLocks noChangeAspect="1"/>
            </wp:cNvGraphicFramePr>
            <a:graphic>
              <a:graphicData uri="http://schemas.openxmlformats.org/drawingml/2006/picture">
                <pic:pic>
                  <pic:nvPicPr>
                    <pic:cNvPr id="0" name="f31b5cf91ac47c4c.png"/>
                    <pic:cNvPicPr/>
                  </pic:nvPicPr>
                  <pic:blipFill>
                    <a:blip r:embed="rId19"/>
                    <a:stretch>
                      <a:fillRect/>
                    </a:stretch>
                  </pic:blipFill>
                  <pic:spPr>
                    <a:xfrm>
                      <a:off x="0" y="0"/>
                      <a:ext cx="2199005" cy="438024"/>
                    </a:xfrm>
                    <a:prstGeom prst="rect"/>
                  </pic:spPr>
                </pic:pic>
              </a:graphicData>
            </a:graphic>
          </wp:inline>
        </w:drawing>
      </w:r>
    </w:p>
    <w:p>
      <w:r>
        <w:rPr>
          <w:b w:val="0"/>
        </w:rPr>
        <w:t>The division by 60 converts kW-minutes to kWh.</w:t>
      </w:r>
    </w:p>
    <w:p>
      <w:pPr>
        <w:pStyle w:val="Heading2"/>
        <w:pageBreakBefore w:val="0"/>
      </w:pPr>
      <w:r>
        <w:rPr>
          <w:b/>
        </w:rPr>
        <w:t>5.4 Pumping target</w:t>
      </w:r>
    </w:p>
    <w:p>
      <w:r>
        <w:rPr>
          <w:b w:val="0"/>
        </w:rPr>
        <w:t>The pumping-session target is</w:t>
      </w:r>
    </w:p>
    <w:p>
      <w:pPr>
        <w:pStyle w:val="EquationDisplay"/>
      </w:pPr>
      <w:r>
        <w:drawing>
          <wp:inline xmlns:a="http://schemas.openxmlformats.org/drawingml/2006/main" xmlns:pic="http://schemas.openxmlformats.org/drawingml/2006/picture">
            <wp:extent cx="1465579" cy="199390"/>
            <wp:docPr id="5" name="Picture 5" descr="\Delta h_{i,k}^{pump}=h_{i,k}^{stop}-h_{i,k}^{start}."/>
            <wp:cNvGraphicFramePr>
              <a:graphicFrameLocks noChangeAspect="1"/>
            </wp:cNvGraphicFramePr>
            <a:graphic>
              <a:graphicData uri="http://schemas.openxmlformats.org/drawingml/2006/picture">
                <pic:pic>
                  <pic:nvPicPr>
                    <pic:cNvPr id="0" name="babfa6d95cdcc428.png"/>
                    <pic:cNvPicPr/>
                  </pic:nvPicPr>
                  <pic:blipFill>
                    <a:blip r:embed="rId20"/>
                    <a:stretch>
                      <a:fillRect/>
                    </a:stretch>
                  </pic:blipFill>
                  <pic:spPr>
                    <a:xfrm>
                      <a:off x="0" y="0"/>
                      <a:ext cx="1465579" cy="199390"/>
                    </a:xfrm>
                    <a:prstGeom prst="rect"/>
                  </pic:spPr>
                </pic:pic>
              </a:graphicData>
            </a:graphic>
          </wp:inline>
        </w:drawing>
      </w:r>
    </w:p>
    <w:p>
      <w:r>
        <w:rPr>
          <w:b w:val="0"/>
        </w:rPr>
        <w:t>Positive means the measured level became deeper during the session. Negative means it became shallower.</w:t>
      </w:r>
    </w:p>
    <w:p>
      <w:r>
        <w:rPr>
          <w:b w:val="0"/>
        </w:rPr>
        <w:t>An absolute endpoint-change rate is also calculated:</w:t>
      </w:r>
    </w:p>
    <w:p>
      <w:pPr>
        <w:pStyle w:val="EquationDisplay"/>
      </w:pPr>
      <w:r>
        <w:drawing>
          <wp:inline xmlns:a="http://schemas.openxmlformats.org/drawingml/2006/main" xmlns:pic="http://schemas.openxmlformats.org/drawingml/2006/picture">
            <wp:extent cx="1433194" cy="390063"/>
            <wp:docPr id="6" name="Picture 6" descr="r_{i,k}=\frac{|\Delta h_{i,k}^{pump}|}{\max(D_{i,k},0.01)}."/>
            <wp:cNvGraphicFramePr>
              <a:graphicFrameLocks noChangeAspect="1"/>
            </wp:cNvGraphicFramePr>
            <a:graphic>
              <a:graphicData uri="http://schemas.openxmlformats.org/drawingml/2006/picture">
                <pic:pic>
                  <pic:nvPicPr>
                    <pic:cNvPr id="0" name="a589bf2a44bee040.png"/>
                    <pic:cNvPicPr/>
                  </pic:nvPicPr>
                  <pic:blipFill>
                    <a:blip r:embed="rId21"/>
                    <a:stretch>
                      <a:fillRect/>
                    </a:stretch>
                  </pic:blipFill>
                  <pic:spPr>
                    <a:xfrm>
                      <a:off x="0" y="0"/>
                      <a:ext cx="1433194" cy="390063"/>
                    </a:xfrm>
                    <a:prstGeom prst="rect"/>
                  </pic:spPr>
                </pic:pic>
              </a:graphicData>
            </a:graphic>
          </wp:inline>
        </w:drawing>
      </w:r>
    </w:p>
    <w:p>
      <w:pPr>
        <w:pStyle w:val="Heading2"/>
        <w:pageBreakBefore w:val="0"/>
      </w:pPr>
      <w:r>
        <w:rPr>
          <w:b/>
        </w:rPr>
        <w:t>5.5 Recovery and full-cycle targets</w:t>
      </w:r>
    </w:p>
    <w:p>
      <w:r>
        <w:rPr>
          <w:b w:val="0"/>
        </w:rPr>
        <w:t>For consecutive sessions k and k+1 in the same well:</w:t>
      </w:r>
    </w:p>
    <w:p>
      <w:pPr>
        <w:pStyle w:val="EquationDisplay"/>
      </w:pPr>
      <w:r>
        <w:drawing>
          <wp:inline xmlns:a="http://schemas.openxmlformats.org/drawingml/2006/main" xmlns:pic="http://schemas.openxmlformats.org/drawingml/2006/picture">
            <wp:extent cx="1166558" cy="199292"/>
            <wp:docPr id="7" name="Picture 7" descr="G_{i,k}=t_{i,k+1}^{start}-t_{i,k}^{stop}"/>
            <wp:cNvGraphicFramePr>
              <a:graphicFrameLocks noChangeAspect="1"/>
            </wp:cNvGraphicFramePr>
            <a:graphic>
              <a:graphicData uri="http://schemas.openxmlformats.org/drawingml/2006/picture">
                <pic:pic>
                  <pic:nvPicPr>
                    <pic:cNvPr id="0" name="8c5efe1d36996016.png"/>
                    <pic:cNvPicPr/>
                  </pic:nvPicPr>
                  <pic:blipFill>
                    <a:blip r:embed="rId22"/>
                    <a:stretch>
                      <a:fillRect/>
                    </a:stretch>
                  </pic:blipFill>
                  <pic:spPr>
                    <a:xfrm>
                      <a:off x="0" y="0"/>
                      <a:ext cx="1166558" cy="199292"/>
                    </a:xfrm>
                    <a:prstGeom prst="rect"/>
                  </pic:spPr>
                </pic:pic>
              </a:graphicData>
            </a:graphic>
          </wp:inline>
        </w:drawing>
      </w:r>
    </w:p>
    <w:p>
      <w:r>
        <w:rPr>
          <w:b w:val="0"/>
        </w:rPr>
        <w:t>in minutes, and</w:t>
      </w:r>
    </w:p>
    <w:p>
      <w:pPr>
        <w:pStyle w:val="EquationDisplay"/>
      </w:pPr>
      <w:r>
        <w:drawing>
          <wp:inline xmlns:a="http://schemas.openxmlformats.org/drawingml/2006/main" xmlns:pic="http://schemas.openxmlformats.org/drawingml/2006/picture">
            <wp:extent cx="1378712" cy="199317"/>
            <wp:docPr id="8" name="Picture 8" descr="\Delta h_{i,k}^{rec}=h_{i,k+1}^{start}-h_{i,k}^{stop}."/>
            <wp:cNvGraphicFramePr>
              <a:graphicFrameLocks noChangeAspect="1"/>
            </wp:cNvGraphicFramePr>
            <a:graphic>
              <a:graphicData uri="http://schemas.openxmlformats.org/drawingml/2006/picture">
                <pic:pic>
                  <pic:nvPicPr>
                    <pic:cNvPr id="0" name="08c31e7f6bda0ab4.png"/>
                    <pic:cNvPicPr/>
                  </pic:nvPicPr>
                  <pic:blipFill>
                    <a:blip r:embed="rId23"/>
                    <a:stretch>
                      <a:fillRect/>
                    </a:stretch>
                  </pic:blipFill>
                  <pic:spPr>
                    <a:xfrm>
                      <a:off x="0" y="0"/>
                      <a:ext cx="1378712" cy="199317"/>
                    </a:xfrm>
                    <a:prstGeom prst="rect"/>
                  </pic:spPr>
                </pic:pic>
              </a:graphicData>
            </a:graphic>
          </wp:inline>
        </w:drawing>
      </w:r>
    </w:p>
    <w:p>
      <w:r>
        <w:rPr>
          <w:b w:val="0"/>
        </w:rPr>
        <w:t>A negative recovery change means the next session starts shallower than the previous session stopped.</w:t>
      </w:r>
    </w:p>
    <w:p>
      <w:r>
        <w:rPr>
          <w:b w:val="0"/>
        </w:rPr>
        <w:t>The full-cycle change is</w:t>
      </w:r>
    </w:p>
    <w:p>
      <w:pPr>
        <w:pStyle w:val="EquationDisplay"/>
      </w:pPr>
      <w:r>
        <w:drawing>
          <wp:inline xmlns:a="http://schemas.openxmlformats.org/drawingml/2006/main" xmlns:pic="http://schemas.openxmlformats.org/drawingml/2006/picture">
            <wp:extent cx="1492821" cy="207089"/>
            <wp:docPr id="9" name="Picture 9" descr="\Delta h_{i,k}^{cycle}=h_{i,k+1}^{start}-h_{i,k}^{start}."/>
            <wp:cNvGraphicFramePr>
              <a:graphicFrameLocks noChangeAspect="1"/>
            </wp:cNvGraphicFramePr>
            <a:graphic>
              <a:graphicData uri="http://schemas.openxmlformats.org/drawingml/2006/picture">
                <pic:pic>
                  <pic:nvPicPr>
                    <pic:cNvPr id="0" name="dbe9870c6aa28c76.png"/>
                    <pic:cNvPicPr/>
                  </pic:nvPicPr>
                  <pic:blipFill>
                    <a:blip r:embed="rId24"/>
                    <a:stretch>
                      <a:fillRect/>
                    </a:stretch>
                  </pic:blipFill>
                  <pic:spPr>
                    <a:xfrm>
                      <a:off x="0" y="0"/>
                      <a:ext cx="1492821" cy="207089"/>
                    </a:xfrm>
                    <a:prstGeom prst="rect"/>
                  </pic:spPr>
                </pic:pic>
              </a:graphicData>
            </a:graphic>
          </wp:inline>
        </w:drawing>
      </w:r>
    </w:p>
    <w:p>
      <w:r>
        <w:rPr>
          <w:b w:val="0"/>
        </w:rPr>
        <w:t>This compares the starts of two consecutive pumping sessions. A nonpositive value is counted as fully recovered for the summary statistic used here.</w:t>
      </w:r>
    </w:p>
    <w:p>
      <w:pPr>
        <w:pStyle w:val="Heading2"/>
        <w:pageBreakBefore w:val="0"/>
      </w:pPr>
      <w:r>
        <w:rPr>
          <w:b/>
        </w:rPr>
        <w:t>5.6 Transformations</w:t>
      </w:r>
    </w:p>
    <w:p>
      <w:r>
        <w:rPr>
          <w:b w:val="0"/>
        </w:rPr>
        <w:t>Long-tailed positive quantities are log-transformed:</w:t>
      </w:r>
    </w:p>
    <w:p>
      <w:pPr>
        <w:pStyle w:val="EquationDisplay"/>
      </w:pPr>
      <w:r>
        <w:drawing>
          <wp:inline xmlns:a="http://schemas.openxmlformats.org/drawingml/2006/main" xmlns:pic="http://schemas.openxmlformats.org/drawingml/2006/picture">
            <wp:extent cx="4549330" cy="143516"/>
            <wp:docPr id="10" name="Picture 10" descr="x_D=\log(1+D),\quad x_V=\log(1+\max(V,0)),\quad x_E=\log(1+\max(E,0)),"/>
            <wp:cNvGraphicFramePr>
              <a:graphicFrameLocks noChangeAspect="1"/>
            </wp:cNvGraphicFramePr>
            <a:graphic>
              <a:graphicData uri="http://schemas.openxmlformats.org/drawingml/2006/picture">
                <pic:pic>
                  <pic:nvPicPr>
                    <pic:cNvPr id="0" name="a8d3d5afdeec57c8.png"/>
                    <pic:cNvPicPr/>
                  </pic:nvPicPr>
                  <pic:blipFill>
                    <a:blip r:embed="rId25"/>
                    <a:stretch>
                      <a:fillRect/>
                    </a:stretch>
                  </pic:blipFill>
                  <pic:spPr>
                    <a:xfrm>
                      <a:off x="0" y="0"/>
                      <a:ext cx="4549330" cy="143516"/>
                    </a:xfrm>
                    <a:prstGeom prst="rect"/>
                  </pic:spPr>
                </pic:pic>
              </a:graphicData>
            </a:graphic>
          </wp:inline>
        </w:drawing>
      </w:r>
    </w:p>
    <w:p>
      <w:r>
        <w:rPr>
          <w:b w:val="0"/>
        </w:rPr>
        <w:t>and</w:t>
      </w:r>
    </w:p>
    <w:p>
      <w:pPr>
        <w:pStyle w:val="EquationDisplay"/>
      </w:pPr>
      <w:r>
        <w:drawing>
          <wp:inline xmlns:a="http://schemas.openxmlformats.org/drawingml/2006/main" xmlns:pic="http://schemas.openxmlformats.org/drawingml/2006/picture">
            <wp:extent cx="1576069" cy="143510"/>
            <wp:docPr id="11" name="Picture 11" descr="x_G=\log(1+\max(G,0))."/>
            <wp:cNvGraphicFramePr>
              <a:graphicFrameLocks noChangeAspect="1"/>
            </wp:cNvGraphicFramePr>
            <a:graphic>
              <a:graphicData uri="http://schemas.openxmlformats.org/drawingml/2006/picture">
                <pic:pic>
                  <pic:nvPicPr>
                    <pic:cNvPr id="0" name="f6232c7d217354c1.png"/>
                    <pic:cNvPicPr/>
                  </pic:nvPicPr>
                  <pic:blipFill>
                    <a:blip r:embed="rId26"/>
                    <a:stretch>
                      <a:fillRect/>
                    </a:stretch>
                  </pic:blipFill>
                  <pic:spPr>
                    <a:xfrm>
                      <a:off x="0" y="0"/>
                      <a:ext cx="1576069" cy="143510"/>
                    </a:xfrm>
                    <a:prstGeom prst="rect"/>
                  </pic:spPr>
                </pic:pic>
              </a:graphicData>
            </a:graphic>
          </wp:inline>
        </w:drawing>
      </w:r>
    </w:p>
    <w:p>
      <w:r>
        <w:rPr>
          <w:b w:val="0"/>
        </w:rPr>
        <w:t>Clock time is encoded cyclically. For the pump regression, a=hour+minute/60 (seconds dropped). For the recovery regression, a=hour of the next start (integer hour only). These distinct encodings are required to reproduce the serialized coefficients. Then</w:t>
      </w:r>
    </w:p>
    <w:p>
      <w:pPr>
        <w:pStyle w:val="EquationDisplay"/>
      </w:pPr>
      <w:r>
        <w:drawing>
          <wp:inline xmlns:a="http://schemas.openxmlformats.org/drawingml/2006/main" xmlns:pic="http://schemas.openxmlformats.org/drawingml/2006/picture">
            <wp:extent cx="2729674" cy="143533"/>
            <wp:docPr id="12" name="Picture 12" descr="x_{sin}=\sin(2\pi a/24),\qquad x_{cos}=\cos(2\pi a/24)."/>
            <wp:cNvGraphicFramePr>
              <a:graphicFrameLocks noChangeAspect="1"/>
            </wp:cNvGraphicFramePr>
            <a:graphic>
              <a:graphicData uri="http://schemas.openxmlformats.org/drawingml/2006/picture">
                <pic:pic>
                  <pic:nvPicPr>
                    <pic:cNvPr id="0" name="4bfc85606b1a11d1.png"/>
                    <pic:cNvPicPr/>
                  </pic:nvPicPr>
                  <pic:blipFill>
                    <a:blip r:embed="rId27"/>
                    <a:stretch>
                      <a:fillRect/>
                    </a:stretch>
                  </pic:blipFill>
                  <pic:spPr>
                    <a:xfrm>
                      <a:off x="0" y="0"/>
                      <a:ext cx="2729674" cy="143533"/>
                    </a:xfrm>
                    <a:prstGeom prst="rect"/>
                  </pic:spPr>
                </pic:pic>
              </a:graphicData>
            </a:graphic>
          </wp:inline>
        </w:drawing>
      </w:r>
    </w:p>
    <w:p>
      <w:r>
        <w:rPr>
          <w:b w:val="0"/>
        </w:rPr>
        <w:t>The global day index is</w:t>
      </w:r>
    </w:p>
    <w:p>
      <w:pPr>
        <w:pStyle w:val="EquationDisplay"/>
      </w:pPr>
      <w:r>
        <w:drawing>
          <wp:inline xmlns:a="http://schemas.openxmlformats.org/drawingml/2006/main" xmlns:pic="http://schemas.openxmlformats.org/drawingml/2006/picture">
            <wp:extent cx="1412621" cy="288368"/>
            <wp:docPr id="13" name="Picture 13" descr="x_{day}=\frac{t-t_{min}}{86400\text{ seconds}}."/>
            <wp:cNvGraphicFramePr>
              <a:graphicFrameLocks noChangeAspect="1"/>
            </wp:cNvGraphicFramePr>
            <a:graphic>
              <a:graphicData uri="http://schemas.openxmlformats.org/drawingml/2006/picture">
                <pic:pic>
                  <pic:nvPicPr>
                    <pic:cNvPr id="0" name="462d4d5ee432cb1d.png"/>
                    <pic:cNvPicPr/>
                  </pic:nvPicPr>
                  <pic:blipFill>
                    <a:blip r:embed="rId28"/>
                    <a:stretch>
                      <a:fillRect/>
                    </a:stretch>
                  </pic:blipFill>
                  <pic:spPr>
                    <a:xfrm>
                      <a:off x="0" y="0"/>
                      <a:ext cx="1412621" cy="288368"/>
                    </a:xfrm>
                    <a:prstGeom prst="rect"/>
                  </pic:spPr>
                </pic:pic>
              </a:graphicData>
            </a:graphic>
          </wp:inline>
        </w:drawing>
      </w:r>
    </w:p>
    <w:p>
      <w:pPr>
        <w:pStyle w:val="Heading1"/>
        <w:pageBreakBefore w:val="0"/>
      </w:pPr>
      <w:r>
        <w:rPr>
          <w:b/>
        </w:rPr>
        <w:t>6. Quality screening</w:t>
      </w:r>
    </w:p>
    <w:p>
      <w:pPr>
        <w:pStyle w:val="Heading2"/>
        <w:pageBreakBefore w:val="0"/>
      </w:pPr>
      <w:r>
        <w:rPr>
          <w:b/>
        </w:rPr>
        <w:t>6.1 Pump-session screen</w:t>
      </w:r>
    </w:p>
    <w:p>
      <w:r>
        <w:rPr>
          <w:b w:val="0"/>
        </w:rPr>
        <w:t>A pumping session is usable only when all conditions hold:</w:t>
      </w:r>
    </w:p>
    <w:p>
      <w:pPr>
        <w:spacing w:after="50"/>
        <w:ind w:left="408" w:hanging="238"/>
      </w:pPr>
      <w:r>
        <w:rPr>
          <w:b/>
          <w:color w:val="1F6F8B"/>
        </w:rPr>
        <w:t xml:space="preserve">1.  </w:t>
      </w:r>
      <w:r>
        <w:rPr>
          <w:b w:val="0"/>
        </w:rPr>
        <w:t>duration is at least 5 minutes;</w:t>
      </w:r>
    </w:p>
    <w:p>
      <w:pPr>
        <w:spacing w:after="50"/>
        <w:ind w:left="408" w:hanging="238"/>
      </w:pPr>
      <w:r>
        <w:rPr>
          <w:b/>
          <w:color w:val="1F6F8B"/>
        </w:rPr>
        <w:t xml:space="preserve">2.  </w:t>
      </w:r>
      <w:r>
        <w:rPr>
          <w:b w:val="0"/>
        </w:rPr>
        <w:t>duration is at most 1,440 minutes, or 24 hours;</w:t>
      </w:r>
    </w:p>
    <w:p>
      <w:pPr>
        <w:spacing w:after="50"/>
        <w:ind w:left="408" w:hanging="238"/>
      </w:pPr>
      <w:r>
        <w:rPr>
          <w:b/>
          <w:color w:val="1F6F8B"/>
        </w:rPr>
        <w:t xml:space="preserve">3.  </w:t>
      </w:r>
      <w:r>
        <w:rPr>
          <w:b w:val="0"/>
        </w:rPr>
        <w:t>absolute endpoint change is at most 50 m;</w:t>
      </w:r>
    </w:p>
    <w:p>
      <w:pPr>
        <w:spacing w:after="50"/>
        <w:ind w:left="408" w:hanging="238"/>
      </w:pPr>
      <w:r>
        <w:rPr>
          <w:b/>
          <w:color w:val="1F6F8B"/>
        </w:rPr>
        <w:t xml:space="preserve">4.  </w:t>
      </w:r>
      <w:r>
        <w:rPr>
          <w:b w:val="0"/>
        </w:rPr>
        <w:t>absolute change rate is at most 0.5 m/min;</w:t>
      </w:r>
    </w:p>
    <w:p>
      <w:pPr>
        <w:spacing w:after="50"/>
        <w:ind w:left="408" w:hanging="238"/>
      </w:pPr>
      <w:r>
        <w:rPr>
          <w:b/>
          <w:color w:val="1F6F8B"/>
        </w:rPr>
        <w:t xml:space="preserve">5.  </w:t>
      </w:r>
      <w:r>
        <w:rPr>
          <w:b w:val="0"/>
        </w:rPr>
        <w:t>at least two Type A samples fall in the session;</w:t>
      </w:r>
    </w:p>
    <w:p>
      <w:pPr>
        <w:spacing w:after="50"/>
        <w:ind w:left="408" w:hanging="238"/>
      </w:pPr>
      <w:r>
        <w:rPr>
          <w:b/>
          <w:color w:val="1F6F8B"/>
        </w:rPr>
        <w:t xml:space="preserve">6.  </w:t>
      </w:r>
      <w:r>
        <w:rPr>
          <w:b w:val="0"/>
        </w:rPr>
        <w:t>mean discharge is finite and greater than zero.</w:t>
      </w:r>
    </w:p>
    <w:p>
      <w:r>
        <w:rPr>
          <w:b w:val="0"/>
        </w:rPr>
        <w:t>This leaves 8,087 of 12,355 sessions, or 65.455%.</w:t>
      </w:r>
    </w:p>
    <w:p>
      <w:r>
        <w:rPr>
          <w:b w:val="0"/>
        </w:rPr>
        <w:t>The 50 m and 0.5 m/min thresholds are pragmatic robust screens, not site-certified physical limits. The all-record evaluation is retained to reveal how strongly anomalies affect performance.</w:t>
      </w:r>
    </w:p>
    <w:p>
      <w:pPr>
        <w:pStyle w:val="Heading2"/>
        <w:pageBreakBefore w:val="0"/>
      </w:pPr>
      <w:r>
        <w:rPr>
          <w:b/>
        </w:rPr>
        <w:t>6.2 Recovery-transition screen</w:t>
      </w:r>
    </w:p>
    <w:p>
      <w:r>
        <w:rPr>
          <w:b w:val="0"/>
        </w:rPr>
        <w:t>A recovery transition is usable only when:</w:t>
      </w:r>
    </w:p>
    <w:p>
      <w:pPr>
        <w:spacing w:after="50"/>
        <w:ind w:left="408" w:hanging="238"/>
      </w:pPr>
      <w:r>
        <w:rPr>
          <w:b/>
          <w:color w:val="1F6F8B"/>
        </w:rPr>
        <w:t xml:space="preserve">1.  </w:t>
      </w:r>
      <w:r>
        <w:rPr>
          <w:b w:val="0"/>
        </w:rPr>
        <w:t>both adjacent pumping sessions pass the session screen;</w:t>
      </w:r>
    </w:p>
    <w:p>
      <w:pPr>
        <w:spacing w:after="50"/>
        <w:ind w:left="408" w:hanging="238"/>
      </w:pPr>
      <w:r>
        <w:rPr>
          <w:b/>
          <w:color w:val="1F6F8B"/>
        </w:rPr>
        <w:t xml:space="preserve">2.  </w:t>
      </w:r>
      <w:r>
        <w:rPr>
          <w:b w:val="0"/>
        </w:rPr>
        <w:t>the off gap is nonnegative;</w:t>
      </w:r>
    </w:p>
    <w:p>
      <w:pPr>
        <w:spacing w:after="50"/>
        <w:ind w:left="408" w:hanging="238"/>
      </w:pPr>
      <w:r>
        <w:rPr>
          <w:b/>
          <w:color w:val="1F6F8B"/>
        </w:rPr>
        <w:t xml:space="preserve">3.  </w:t>
      </w:r>
      <w:r>
        <w:rPr>
          <w:b w:val="0"/>
        </w:rPr>
        <w:t>the off gap is no more than 7 days;</w:t>
      </w:r>
    </w:p>
    <w:p>
      <w:pPr>
        <w:spacing w:after="50"/>
        <w:ind w:left="408" w:hanging="238"/>
      </w:pPr>
      <w:r>
        <w:rPr>
          <w:b/>
          <w:color w:val="1F6F8B"/>
        </w:rPr>
        <w:t xml:space="preserve">4.  </w:t>
      </w:r>
      <w:r>
        <w:rPr>
          <w:b w:val="0"/>
        </w:rPr>
        <w:t>absolute recovery change is at most 50 m.</w:t>
      </w:r>
    </w:p>
    <w:p>
      <w:r>
        <w:rPr>
          <w:b w:val="0"/>
        </w:rPr>
        <w:t>This leaves 5,889 of 11,788 transitions, or 49.958%.</w:t>
      </w:r>
    </w:p>
    <w:p>
      <w:pPr>
        <w:pStyle w:val="Heading1"/>
        <w:pageBreakBefore w:val="0"/>
      </w:pPr>
      <w:r>
        <w:rPr>
          <w:b/>
        </w:rPr>
        <w:t>7. Validated pump-transition model</w:t>
      </w:r>
    </w:p>
    <w:p>
      <w:pPr>
        <w:pStyle w:val="Heading2"/>
        <w:pageBreakBefore w:val="0"/>
      </w:pPr>
      <w:r>
        <w:rPr>
          <w:b/>
        </w:rPr>
        <w:t>7.1 Target</w:t>
      </w:r>
    </w:p>
    <w:p>
      <w:pPr>
        <w:pStyle w:val="EquationDisplay"/>
      </w:pPr>
      <w:r>
        <w:drawing>
          <wp:inline xmlns:a="http://schemas.openxmlformats.org/drawingml/2006/main" xmlns:pic="http://schemas.openxmlformats.org/drawingml/2006/picture">
            <wp:extent cx="1727581" cy="152434"/>
            <wp:docPr id="14" name="Picture 14" descr="y=\Delta h^{pump}=h^{stop}-h^{start}."/>
            <wp:cNvGraphicFramePr>
              <a:graphicFrameLocks noChangeAspect="1"/>
            </wp:cNvGraphicFramePr>
            <a:graphic>
              <a:graphicData uri="http://schemas.openxmlformats.org/drawingml/2006/picture">
                <pic:pic>
                  <pic:nvPicPr>
                    <pic:cNvPr id="0" name="210e94080b10c171.png"/>
                    <pic:cNvPicPr/>
                  </pic:nvPicPr>
                  <pic:blipFill>
                    <a:blip r:embed="rId29"/>
                    <a:stretch>
                      <a:fillRect/>
                    </a:stretch>
                  </pic:blipFill>
                  <pic:spPr>
                    <a:xfrm>
                      <a:off x="0" y="0"/>
                      <a:ext cx="1727581" cy="152434"/>
                    </a:xfrm>
                    <a:prstGeom prst="rect"/>
                  </pic:spPr>
                </pic:pic>
              </a:graphicData>
            </a:graphic>
          </wp:inline>
        </w:drawing>
      </w:r>
    </w:p>
    <w:p>
      <w:r>
        <w:rPr>
          <w:b w:val="0"/>
        </w:rPr>
        <w:t>The predicted stop depth is</w:t>
      </w:r>
    </w:p>
    <w:p>
      <w:pPr>
        <w:pStyle w:val="EquationDisplay"/>
      </w:pPr>
      <w:r>
        <w:drawing>
          <wp:inline xmlns:a="http://schemas.openxmlformats.org/drawingml/2006/main" xmlns:pic="http://schemas.openxmlformats.org/drawingml/2006/picture">
            <wp:extent cx="1072134" cy="181653"/>
            <wp:docPr id="15" name="Picture 15" descr="\hat h^{stop}=h^{start}+\hat y."/>
            <wp:cNvGraphicFramePr>
              <a:graphicFrameLocks noChangeAspect="1"/>
            </wp:cNvGraphicFramePr>
            <a:graphic>
              <a:graphicData uri="http://schemas.openxmlformats.org/drawingml/2006/picture">
                <pic:pic>
                  <pic:nvPicPr>
                    <pic:cNvPr id="0" name="0c085dbe470855b6.png"/>
                    <pic:cNvPicPr/>
                  </pic:nvPicPr>
                  <pic:blipFill>
                    <a:blip r:embed="rId30"/>
                    <a:stretch>
                      <a:fillRect/>
                    </a:stretch>
                  </pic:blipFill>
                  <pic:spPr>
                    <a:xfrm>
                      <a:off x="0" y="0"/>
                      <a:ext cx="1072134" cy="181653"/>
                    </a:xfrm>
                    <a:prstGeom prst="rect"/>
                  </pic:spPr>
                </pic:pic>
              </a:graphicData>
            </a:graphic>
          </wp:inline>
        </w:drawing>
      </w:r>
    </w:p>
    <w:p>
      <w:pPr>
        <w:pStyle w:val="Heading2"/>
        <w:pageBreakBefore w:val="0"/>
      </w:pPr>
      <w:r>
        <w:rPr>
          <w:b/>
        </w:rPr>
        <w:t>7.2 Predictors</w:t>
      </w:r>
    </w:p>
    <w:p>
      <w:r>
        <w:rPr>
          <w:b w:val="0"/>
        </w:rPr>
        <w:t>The exact feature order is:</w:t>
      </w:r>
    </w:p>
    <w:p>
      <w:pPr>
        <w:spacing w:after="50"/>
        <w:ind w:left="408" w:hanging="238"/>
      </w:pPr>
      <w:r>
        <w:rPr>
          <w:b/>
          <w:color w:val="1F6F8B"/>
        </w:rPr>
        <w:t xml:space="preserve">1.  </w:t>
      </w:r>
      <w:r>
        <w:rPr>
          <w:b w:val="0"/>
        </w:rPr>
        <w:t>start water-level depth;</w:t>
      </w:r>
    </w:p>
    <w:p>
      <w:pPr>
        <w:spacing w:after="50"/>
        <w:ind w:left="408" w:hanging="238"/>
      </w:pPr>
      <w:r>
        <w:rPr>
          <w:b/>
          <w:color w:val="1F6F8B"/>
        </w:rPr>
        <w:t xml:space="preserve">2.  </w:t>
      </w:r>
      <w:r>
        <w:rPr>
          <w:b w:val="0"/>
        </w:rPr>
        <w:t>log(1+duration);</w:t>
      </w:r>
    </w:p>
    <w:p>
      <w:pPr>
        <w:spacing w:after="50"/>
        <w:ind w:left="408" w:hanging="238"/>
      </w:pPr>
      <w:r>
        <w:rPr>
          <w:b/>
          <w:color w:val="1F6F8B"/>
        </w:rPr>
        <w:t xml:space="preserve">3.  </w:t>
      </w:r>
      <w:r>
        <w:rPr>
          <w:b w:val="0"/>
        </w:rPr>
        <w:t>log(1+pumped volume);</w:t>
      </w:r>
    </w:p>
    <w:p>
      <w:pPr>
        <w:spacing w:after="50"/>
        <w:ind w:left="408" w:hanging="238"/>
      </w:pPr>
      <w:r>
        <w:rPr>
          <w:b/>
          <w:color w:val="1F6F8B"/>
        </w:rPr>
        <w:t xml:space="preserve">4.  </w:t>
      </w:r>
      <w:r>
        <w:rPr>
          <w:b w:val="0"/>
        </w:rPr>
        <w:t>log(1+energy);</w:t>
      </w:r>
    </w:p>
    <w:p>
      <w:pPr>
        <w:spacing w:after="50"/>
        <w:ind w:left="408" w:hanging="238"/>
      </w:pPr>
      <w:r>
        <w:rPr>
          <w:b/>
          <w:color w:val="1F6F8B"/>
        </w:rPr>
        <w:t xml:space="preserve">5.  </w:t>
      </w:r>
      <w:r>
        <w:rPr>
          <w:b w:val="0"/>
        </w:rPr>
        <w:t>mean discharge;</w:t>
      </w:r>
    </w:p>
    <w:p>
      <w:pPr>
        <w:spacing w:after="50"/>
        <w:ind w:left="408" w:hanging="238"/>
      </w:pPr>
      <w:r>
        <w:rPr>
          <w:b/>
          <w:color w:val="1F6F8B"/>
        </w:rPr>
        <w:t xml:space="preserve">6.  </w:t>
      </w:r>
      <w:r>
        <w:rPr>
          <w:b w:val="0"/>
        </w:rPr>
        <w:t>mean power;</w:t>
      </w:r>
    </w:p>
    <w:p>
      <w:pPr>
        <w:spacing w:after="50"/>
        <w:ind w:left="408" w:hanging="238"/>
      </w:pPr>
      <w:r>
        <w:rPr>
          <w:b/>
          <w:color w:val="1F6F8B"/>
        </w:rPr>
        <w:t xml:space="preserve">7.  </w:t>
      </w:r>
      <w:r>
        <w:rPr>
          <w:b w:val="0"/>
        </w:rPr>
        <w:t>start-hour sine;</w:t>
      </w:r>
    </w:p>
    <w:p>
      <w:pPr>
        <w:spacing w:after="50"/>
        <w:ind w:left="408" w:hanging="238"/>
      </w:pPr>
      <w:r>
        <w:rPr>
          <w:b/>
          <w:color w:val="1F6F8B"/>
        </w:rPr>
        <w:t xml:space="preserve">8.  </w:t>
      </w:r>
      <w:r>
        <w:rPr>
          <w:b w:val="0"/>
        </w:rPr>
        <w:t>start-hour cosine;</w:t>
      </w:r>
    </w:p>
    <w:p>
      <w:pPr>
        <w:spacing w:after="50"/>
        <w:ind w:left="408" w:hanging="238"/>
      </w:pPr>
      <w:r>
        <w:rPr>
          <w:b/>
          <w:color w:val="1F6F8B"/>
        </w:rPr>
        <w:t xml:space="preserve">9.  </w:t>
      </w:r>
      <w:r>
        <w:rPr>
          <w:b w:val="0"/>
        </w:rPr>
        <w:t>global day index.</w:t>
      </w:r>
    </w:p>
    <w:p>
      <w:r>
        <w:rPr>
          <w:b w:val="0"/>
        </w:rPr>
        <w:t>No rainfall, coordinates, geology, static water level, construction depth, pump intake depth, or neighboring-well feature is present in this baseline.</w:t>
      </w:r>
    </w:p>
    <w:p>
      <w:pPr>
        <w:pStyle w:val="Heading1"/>
        <w:pageBreakBefore w:val="0"/>
      </w:pPr>
      <w:r>
        <w:rPr>
          <w:b/>
        </w:rPr>
        <w:t>8. Validated recovery-transition model</w:t>
      </w:r>
    </w:p>
    <w:p>
      <w:pPr>
        <w:pStyle w:val="Heading2"/>
        <w:pageBreakBefore w:val="0"/>
      </w:pPr>
      <w:r>
        <w:rPr>
          <w:b/>
        </w:rPr>
        <w:t>8.1 Target</w:t>
      </w:r>
    </w:p>
    <w:p>
      <w:pPr>
        <w:pStyle w:val="EquationDisplay"/>
      </w:pPr>
      <w:r>
        <w:drawing>
          <wp:inline xmlns:a="http://schemas.openxmlformats.org/drawingml/2006/main" xmlns:pic="http://schemas.openxmlformats.org/drawingml/2006/picture">
            <wp:extent cx="1814131" cy="195642"/>
            <wp:docPr id="16" name="Picture 16" descr="y=\Delta h^{rec}=h_{next}^{start}-h_{previous}^{stop}."/>
            <wp:cNvGraphicFramePr>
              <a:graphicFrameLocks noChangeAspect="1"/>
            </wp:cNvGraphicFramePr>
            <a:graphic>
              <a:graphicData uri="http://schemas.openxmlformats.org/drawingml/2006/picture">
                <pic:pic>
                  <pic:nvPicPr>
                    <pic:cNvPr id="0" name="ca1180e659aaeb53.png"/>
                    <pic:cNvPicPr/>
                  </pic:nvPicPr>
                  <pic:blipFill>
                    <a:blip r:embed="rId31"/>
                    <a:stretch>
                      <a:fillRect/>
                    </a:stretch>
                  </pic:blipFill>
                  <pic:spPr>
                    <a:xfrm>
                      <a:off x="0" y="0"/>
                      <a:ext cx="1814131" cy="195642"/>
                    </a:xfrm>
                    <a:prstGeom prst="rect"/>
                  </pic:spPr>
                </pic:pic>
              </a:graphicData>
            </a:graphic>
          </wp:inline>
        </w:drawing>
      </w:r>
    </w:p>
    <w:p>
      <w:r>
        <w:rPr>
          <w:b w:val="0"/>
        </w:rPr>
        <w:t>The predicted next-start depth is</w:t>
      </w:r>
    </w:p>
    <w:p>
      <w:pPr>
        <w:pStyle w:val="EquationDisplay"/>
      </w:pPr>
      <w:r>
        <w:drawing>
          <wp:inline xmlns:a="http://schemas.openxmlformats.org/drawingml/2006/main" xmlns:pic="http://schemas.openxmlformats.org/drawingml/2006/picture">
            <wp:extent cx="1271015" cy="214587"/>
            <wp:docPr id="17" name="Picture 17" descr="\hat h_{next}^{start}=h_{previous}^{stop}+\hat y."/>
            <wp:cNvGraphicFramePr>
              <a:graphicFrameLocks noChangeAspect="1"/>
            </wp:cNvGraphicFramePr>
            <a:graphic>
              <a:graphicData uri="http://schemas.openxmlformats.org/drawingml/2006/picture">
                <pic:pic>
                  <pic:nvPicPr>
                    <pic:cNvPr id="0" name="64044ca7d406067c.png"/>
                    <pic:cNvPicPr/>
                  </pic:nvPicPr>
                  <pic:blipFill>
                    <a:blip r:embed="rId32"/>
                    <a:stretch>
                      <a:fillRect/>
                    </a:stretch>
                  </pic:blipFill>
                  <pic:spPr>
                    <a:xfrm>
                      <a:off x="0" y="0"/>
                      <a:ext cx="1271015" cy="214587"/>
                    </a:xfrm>
                    <a:prstGeom prst="rect"/>
                  </pic:spPr>
                </pic:pic>
              </a:graphicData>
            </a:graphic>
          </wp:inline>
        </w:drawing>
      </w:r>
    </w:p>
    <w:p>
      <w:pPr>
        <w:pStyle w:val="Heading2"/>
        <w:pageBreakBefore w:val="0"/>
      </w:pPr>
      <w:r>
        <w:rPr>
          <w:b/>
        </w:rPr>
        <w:t>8.2 Predictors</w:t>
      </w:r>
    </w:p>
    <w:p>
      <w:r>
        <w:rPr>
          <w:b w:val="0"/>
        </w:rPr>
        <w:t>The exact feature order is:</w:t>
      </w:r>
    </w:p>
    <w:p>
      <w:pPr>
        <w:spacing w:after="50"/>
        <w:ind w:left="408" w:hanging="238"/>
      </w:pPr>
      <w:r>
        <w:rPr>
          <w:b/>
          <w:color w:val="1F6F8B"/>
        </w:rPr>
        <w:t xml:space="preserve">1.  </w:t>
      </w:r>
      <w:r>
        <w:rPr>
          <w:b w:val="0"/>
        </w:rPr>
        <w:t>previous stop level;</w:t>
      </w:r>
    </w:p>
    <w:p>
      <w:pPr>
        <w:spacing w:after="50"/>
        <w:ind w:left="408" w:hanging="238"/>
      </w:pPr>
      <w:r>
        <w:rPr>
          <w:b/>
          <w:color w:val="1F6F8B"/>
        </w:rPr>
        <w:t xml:space="preserve">2.  </w:t>
      </w:r>
      <w:r>
        <w:rPr>
          <w:b w:val="0"/>
        </w:rPr>
        <w:t>previous start level;</w:t>
      </w:r>
    </w:p>
    <w:p>
      <w:pPr>
        <w:spacing w:after="50"/>
        <w:ind w:left="408" w:hanging="238"/>
      </w:pPr>
      <w:r>
        <w:rPr>
          <w:b/>
          <w:color w:val="1F6F8B"/>
        </w:rPr>
        <w:t xml:space="preserve">3.  </w:t>
      </w:r>
      <w:r>
        <w:rPr>
          <w:b w:val="0"/>
        </w:rPr>
        <w:t>previous drawdown;</w:t>
      </w:r>
    </w:p>
    <w:p>
      <w:pPr>
        <w:spacing w:after="50"/>
        <w:ind w:left="408" w:hanging="238"/>
      </w:pPr>
      <w:r>
        <w:rPr>
          <w:b/>
          <w:color w:val="1F6F8B"/>
        </w:rPr>
        <w:t xml:space="preserve">4.  </w:t>
      </w:r>
      <w:r>
        <w:rPr>
          <w:b w:val="0"/>
        </w:rPr>
        <w:t>previous log duration;</w:t>
      </w:r>
    </w:p>
    <w:p>
      <w:pPr>
        <w:spacing w:after="50"/>
        <w:ind w:left="408" w:hanging="238"/>
      </w:pPr>
      <w:r>
        <w:rPr>
          <w:b/>
          <w:color w:val="1F6F8B"/>
        </w:rPr>
        <w:t xml:space="preserve">5.  </w:t>
      </w:r>
      <w:r>
        <w:rPr>
          <w:b w:val="0"/>
        </w:rPr>
        <w:t>previous log pumped volume;</w:t>
      </w:r>
    </w:p>
    <w:p>
      <w:pPr>
        <w:spacing w:after="50"/>
        <w:ind w:left="408" w:hanging="238"/>
      </w:pPr>
      <w:r>
        <w:rPr>
          <w:b/>
          <w:color w:val="1F6F8B"/>
        </w:rPr>
        <w:t xml:space="preserve">6.  </w:t>
      </w:r>
      <w:r>
        <w:rPr>
          <w:b w:val="0"/>
        </w:rPr>
        <w:t>previous mean discharge;</w:t>
      </w:r>
    </w:p>
    <w:p>
      <w:pPr>
        <w:spacing w:after="50"/>
        <w:ind w:left="408" w:hanging="238"/>
      </w:pPr>
      <w:r>
        <w:rPr>
          <w:b/>
          <w:color w:val="1F6F8B"/>
        </w:rPr>
        <w:t xml:space="preserve">7.  </w:t>
      </w:r>
      <w:r>
        <w:rPr>
          <w:b w:val="0"/>
        </w:rPr>
        <w:t>previous mean power;</w:t>
      </w:r>
    </w:p>
    <w:p>
      <w:pPr>
        <w:spacing w:after="50"/>
        <w:ind w:left="408" w:hanging="238"/>
      </w:pPr>
      <w:r>
        <w:rPr>
          <w:b/>
          <w:color w:val="1F6F8B"/>
        </w:rPr>
        <w:t xml:space="preserve">8.  </w:t>
      </w:r>
      <w:r>
        <w:rPr>
          <w:b w:val="0"/>
        </w:rPr>
        <w:t>log off-gap duration;</w:t>
      </w:r>
    </w:p>
    <w:p>
      <w:pPr>
        <w:spacing w:after="50"/>
        <w:ind w:left="408" w:hanging="238"/>
      </w:pPr>
      <w:r>
        <w:rPr>
          <w:b/>
          <w:color w:val="1F6F8B"/>
        </w:rPr>
        <w:t xml:space="preserve">9.  </w:t>
      </w:r>
      <w:r>
        <w:rPr>
          <w:b w:val="0"/>
        </w:rPr>
        <w:t>next-start-hour sine;</w:t>
      </w:r>
    </w:p>
    <w:p>
      <w:pPr>
        <w:spacing w:after="50"/>
        <w:ind w:left="408" w:hanging="238"/>
      </w:pPr>
      <w:r>
        <w:rPr>
          <w:b/>
          <w:color w:val="1F6F8B"/>
        </w:rPr>
        <w:t xml:space="preserve">10.  </w:t>
      </w:r>
      <w:r>
        <w:rPr>
          <w:b w:val="0"/>
        </w:rPr>
        <w:t>next-start-hour cosine.</w:t>
      </w:r>
    </w:p>
    <w:p>
      <w:pPr>
        <w:pStyle w:val="Heading1"/>
        <w:pageBreakBefore w:val="0"/>
      </w:pPr>
      <w:r>
        <w:rPr>
          <w:b/>
        </w:rPr>
        <w:t>9. Robust hierarchical ensemble mathematics</w:t>
      </w:r>
    </w:p>
    <w:p>
      <w:r>
        <w:rPr>
          <w:b w:val="0"/>
        </w:rPr>
        <w:t>The same fitting procedure is used for the pump and recovery targets.</w:t>
      </w:r>
    </w:p>
    <w:p>
      <w:pPr>
        <w:pStyle w:val="Heading2"/>
        <w:pageBreakBefore w:val="0"/>
      </w:pPr>
      <w:r>
        <w:rPr>
          <w:b/>
        </w:rPr>
        <w:t>9.1 Standardization</w:t>
      </w:r>
    </w:p>
    <w:p>
      <w:r>
        <w:rPr>
          <w:b w:val="0"/>
        </w:rPr>
        <w:t>Each feature x_j is standardized using the training mean μ_j and population standard deviation s_j:</w:t>
      </w:r>
    </w:p>
    <w:p>
      <w:pPr>
        <w:pStyle w:val="EquationDisplay"/>
      </w:pPr>
      <w:r>
        <w:drawing>
          <wp:inline xmlns:a="http://schemas.openxmlformats.org/drawingml/2006/main" xmlns:pic="http://schemas.openxmlformats.org/drawingml/2006/picture">
            <wp:extent cx="867283" cy="332691"/>
            <wp:docPr id="18" name="Picture 18" descr="z_j=\frac{x_j-\mu_j}{s_j}."/>
            <wp:cNvGraphicFramePr>
              <a:graphicFrameLocks noChangeAspect="1"/>
            </wp:cNvGraphicFramePr>
            <a:graphic>
              <a:graphicData uri="http://schemas.openxmlformats.org/drawingml/2006/picture">
                <pic:pic>
                  <pic:nvPicPr>
                    <pic:cNvPr id="0" name="380371a88787aac3.png"/>
                    <pic:cNvPicPr/>
                  </pic:nvPicPr>
                  <pic:blipFill>
                    <a:blip r:embed="rId33"/>
                    <a:stretch>
                      <a:fillRect/>
                    </a:stretch>
                  </pic:blipFill>
                  <pic:spPr>
                    <a:xfrm>
                      <a:off x="0" y="0"/>
                      <a:ext cx="867283" cy="332691"/>
                    </a:xfrm>
                    <a:prstGeom prst="rect"/>
                  </pic:spPr>
                </pic:pic>
              </a:graphicData>
            </a:graphic>
          </wp:inline>
        </w:drawing>
      </w:r>
    </w:p>
    <w:p>
      <w:r>
        <w:rPr>
          <w:b w:val="0"/>
        </w:rPr>
        <w:t>If a feature has zero scale, the scale is set to 1. An intercept column is added.</w:t>
      </w:r>
    </w:p>
    <w:p>
      <w:pPr>
        <w:pStyle w:val="Heading2"/>
        <w:pageBreakBefore w:val="0"/>
      </w:pPr>
      <w:r>
        <w:rPr>
          <w:b/>
        </w:rPr>
        <w:t>9.2 Huber iteratively reweighted ridge regression</w:t>
      </w:r>
    </w:p>
    <w:p>
      <w:r>
        <w:rPr>
          <w:b w:val="0"/>
        </w:rPr>
        <w:t>Let Z be the standardized design matrix including the intercept. Starting with all weights equal to one, the model performs 35 iterations.</w:t>
      </w:r>
    </w:p>
    <w:p>
      <w:r>
        <w:rPr>
          <w:b w:val="0"/>
        </w:rPr>
        <w:t>At each iteration:</w:t>
      </w:r>
    </w:p>
    <w:p>
      <w:pPr>
        <w:pStyle w:val="EquationDisplay"/>
      </w:pPr>
      <w:r>
        <w:drawing>
          <wp:inline xmlns:a="http://schemas.openxmlformats.org/drawingml/2006/main" xmlns:pic="http://schemas.openxmlformats.org/drawingml/2006/picture">
            <wp:extent cx="1798574" cy="163853"/>
            <wp:docPr id="19" name="Picture 19" descr="\beta=(Z^T W Z+\lambda P)^{-1}Z^T W y,"/>
            <wp:cNvGraphicFramePr>
              <a:graphicFrameLocks noChangeAspect="1"/>
            </wp:cNvGraphicFramePr>
            <a:graphic>
              <a:graphicData uri="http://schemas.openxmlformats.org/drawingml/2006/picture">
                <pic:pic>
                  <pic:nvPicPr>
                    <pic:cNvPr id="0" name="fd1491c6267c9657.png"/>
                    <pic:cNvPicPr/>
                  </pic:nvPicPr>
                  <pic:blipFill>
                    <a:blip r:embed="rId34"/>
                    <a:stretch>
                      <a:fillRect/>
                    </a:stretch>
                  </pic:blipFill>
                  <pic:spPr>
                    <a:xfrm>
                      <a:off x="0" y="0"/>
                      <a:ext cx="1798574" cy="163853"/>
                    </a:xfrm>
                    <a:prstGeom prst="rect"/>
                  </pic:spPr>
                </pic:pic>
              </a:graphicData>
            </a:graphic>
          </wp:inline>
        </w:drawing>
      </w:r>
    </w:p>
    <w:p>
      <w:r>
        <w:rPr>
          <w:b w:val="0"/>
        </w:rPr>
        <w:t>where:</w:t>
      </w:r>
    </w:p>
    <w:p>
      <w:pPr>
        <w:pStyle w:val="ListBullet"/>
      </w:pPr>
      <w:r>
        <w:rPr>
          <w:b w:val="0"/>
        </w:rPr>
        <w:t>W is diagonal with current robust weights;</w:t>
      </w:r>
    </w:p>
    <w:p>
      <w:pPr>
        <w:pStyle w:val="ListBullet"/>
      </w:pPr>
      <w:r>
        <w:rPr>
          <w:b w:val="0"/>
        </w:rPr>
        <w:t>λ=3;</w:t>
      </w:r>
    </w:p>
    <w:p>
      <w:pPr>
        <w:pStyle w:val="ListBullet"/>
      </w:pPr>
      <w:r>
        <w:rPr>
          <w:b w:val="0"/>
        </w:rPr>
        <w:t>P is the identity except P_(00)=0, so the intercept is not penalized.</w:t>
      </w:r>
    </w:p>
    <w:p>
      <w:r>
        <w:rPr>
          <w:b w:val="0"/>
        </w:rPr>
        <w:t>Residuals are</w:t>
      </w:r>
    </w:p>
    <w:p>
      <w:pPr>
        <w:pStyle w:val="EquationDisplay"/>
      </w:pPr>
      <w:r>
        <w:drawing>
          <wp:inline xmlns:a="http://schemas.openxmlformats.org/drawingml/2006/main" xmlns:pic="http://schemas.openxmlformats.org/drawingml/2006/picture">
            <wp:extent cx="729678" cy="130708"/>
            <wp:docPr id="20" name="Picture 20" descr="e=y-Z\beta."/>
            <wp:cNvGraphicFramePr>
              <a:graphicFrameLocks noChangeAspect="1"/>
            </wp:cNvGraphicFramePr>
            <a:graphic>
              <a:graphicData uri="http://schemas.openxmlformats.org/drawingml/2006/picture">
                <pic:pic>
                  <pic:nvPicPr>
                    <pic:cNvPr id="0" name="cb455c5deb53015b.png"/>
                    <pic:cNvPicPr/>
                  </pic:nvPicPr>
                  <pic:blipFill>
                    <a:blip r:embed="rId35"/>
                    <a:stretch>
                      <a:fillRect/>
                    </a:stretch>
                  </pic:blipFill>
                  <pic:spPr>
                    <a:xfrm>
                      <a:off x="0" y="0"/>
                      <a:ext cx="729678" cy="130708"/>
                    </a:xfrm>
                    <a:prstGeom prst="rect"/>
                  </pic:spPr>
                </pic:pic>
              </a:graphicData>
            </a:graphic>
          </wp:inline>
        </w:drawing>
      </w:r>
    </w:p>
    <w:p>
      <w:r>
        <w:rPr>
          <w:b w:val="0"/>
        </w:rPr>
        <w:t>The robust residual scale is</w:t>
      </w:r>
    </w:p>
    <w:p>
      <w:pPr>
        <w:pStyle w:val="EquationDisplay"/>
      </w:pPr>
      <w:r>
        <w:drawing>
          <wp:inline xmlns:a="http://schemas.openxmlformats.org/drawingml/2006/main" xmlns:pic="http://schemas.openxmlformats.org/drawingml/2006/picture">
            <wp:extent cx="2830322" cy="162531"/>
            <wp:docPr id="21" name="Picture 21" descr="s_e=1.4826\;median(|e-median(e)|)+10^{-8}."/>
            <wp:cNvGraphicFramePr>
              <a:graphicFrameLocks noChangeAspect="1"/>
            </wp:cNvGraphicFramePr>
            <a:graphic>
              <a:graphicData uri="http://schemas.openxmlformats.org/drawingml/2006/picture">
                <pic:pic>
                  <pic:nvPicPr>
                    <pic:cNvPr id="0" name="c9a8ce6ad4e746ce.png"/>
                    <pic:cNvPicPr/>
                  </pic:nvPicPr>
                  <pic:blipFill>
                    <a:blip r:embed="rId36"/>
                    <a:stretch>
                      <a:fillRect/>
                    </a:stretch>
                  </pic:blipFill>
                  <pic:spPr>
                    <a:xfrm>
                      <a:off x="0" y="0"/>
                      <a:ext cx="2830322" cy="162531"/>
                    </a:xfrm>
                    <a:prstGeom prst="rect"/>
                  </pic:spPr>
                </pic:pic>
              </a:graphicData>
            </a:graphic>
          </wp:inline>
        </w:drawing>
      </w:r>
    </w:p>
    <w:p>
      <w:r>
        <w:rPr>
          <w:b w:val="0"/>
        </w:rPr>
        <w:t>The Huber threshold is</w:t>
      </w:r>
    </w:p>
    <w:p>
      <w:pPr>
        <w:pStyle w:val="EquationDisplay"/>
      </w:pPr>
      <w:r>
        <w:drawing>
          <wp:inline xmlns:a="http://schemas.openxmlformats.org/drawingml/2006/main" xmlns:pic="http://schemas.openxmlformats.org/drawingml/2006/picture">
            <wp:extent cx="747648" cy="119319"/>
            <wp:docPr id="22" name="Picture 22" descr="c=1.345s_e."/>
            <wp:cNvGraphicFramePr>
              <a:graphicFrameLocks noChangeAspect="1"/>
            </wp:cNvGraphicFramePr>
            <a:graphic>
              <a:graphicData uri="http://schemas.openxmlformats.org/drawingml/2006/picture">
                <pic:pic>
                  <pic:nvPicPr>
                    <pic:cNvPr id="0" name="cb04d2fda886b908.png"/>
                    <pic:cNvPicPr/>
                  </pic:nvPicPr>
                  <pic:blipFill>
                    <a:blip r:embed="rId37"/>
                    <a:stretch>
                      <a:fillRect/>
                    </a:stretch>
                  </pic:blipFill>
                  <pic:spPr>
                    <a:xfrm>
                      <a:off x="0" y="0"/>
                      <a:ext cx="747648" cy="119319"/>
                    </a:xfrm>
                    <a:prstGeom prst="rect"/>
                  </pic:spPr>
                </pic:pic>
              </a:graphicData>
            </a:graphic>
          </wp:inline>
        </w:drawing>
      </w:r>
    </w:p>
    <w:p>
      <w:r>
        <w:rPr>
          <w:b w:val="0"/>
        </w:rPr>
        <w:t>The next weight for record r is</w:t>
      </w:r>
    </w:p>
    <w:p>
      <w:pPr>
        <w:pStyle w:val="EquationDisplay"/>
      </w:pPr>
      <w:r>
        <w:drawing>
          <wp:inline xmlns:a="http://schemas.openxmlformats.org/drawingml/2006/main" xmlns:pic="http://schemas.openxmlformats.org/drawingml/2006/picture">
            <wp:extent cx="1998980" cy="361950"/>
            <wp:docPr id="23" name="Picture 23" descr="w_r=\min\left(1,\frac{c}{\max(|e_r|,10^{-9})}\right)."/>
            <wp:cNvGraphicFramePr>
              <a:graphicFrameLocks noChangeAspect="1"/>
            </wp:cNvGraphicFramePr>
            <a:graphic>
              <a:graphicData uri="http://schemas.openxmlformats.org/drawingml/2006/picture">
                <pic:pic>
                  <pic:nvPicPr>
                    <pic:cNvPr id="0" name="5fbecdd39aad91e6.png"/>
                    <pic:cNvPicPr/>
                  </pic:nvPicPr>
                  <pic:blipFill>
                    <a:blip r:embed="rId38"/>
                    <a:stretch>
                      <a:fillRect/>
                    </a:stretch>
                  </pic:blipFill>
                  <pic:spPr>
                    <a:xfrm>
                      <a:off x="0" y="0"/>
                      <a:ext cx="1998980" cy="361950"/>
                    </a:xfrm>
                    <a:prstGeom prst="rect"/>
                  </pic:spPr>
                </pic:pic>
              </a:graphicData>
            </a:graphic>
          </wp:inline>
        </w:drawing>
      </w:r>
    </w:p>
    <w:p>
      <w:r>
        <w:rPr>
          <w:b w:val="0"/>
        </w:rPr>
        <w:t>Small residuals keep weight 1. Large residuals receive less influence. Ridge regularization stabilizes correlated predictors such as duration, volume, and energy.</w:t>
      </w:r>
    </w:p>
    <w:p>
      <w:pPr>
        <w:pStyle w:val="Heading2"/>
        <w:pageBreakBefore w:val="0"/>
      </w:pPr>
      <w:r>
        <w:rPr>
          <w:b/>
        </w:rPr>
        <w:t>9.3 Well-specific residual effect with shrinkage</w:t>
      </w:r>
    </w:p>
    <w:p>
      <w:r>
        <w:rPr>
          <w:b w:val="0"/>
        </w:rPr>
        <w:t>The robust global prediction is</w:t>
      </w:r>
    </w:p>
    <w:p>
      <w:pPr>
        <w:pStyle w:val="EquationDisplay"/>
      </w:pPr>
      <w:r>
        <w:drawing>
          <wp:inline xmlns:a="http://schemas.openxmlformats.org/drawingml/2006/main" xmlns:pic="http://schemas.openxmlformats.org/drawingml/2006/picture">
            <wp:extent cx="800989" cy="166291"/>
            <wp:docPr id="24" name="Picture 24" descr="\hat y_r^{global}=z_r^T\beta."/>
            <wp:cNvGraphicFramePr>
              <a:graphicFrameLocks noChangeAspect="1"/>
            </wp:cNvGraphicFramePr>
            <a:graphic>
              <a:graphicData uri="http://schemas.openxmlformats.org/drawingml/2006/picture">
                <pic:pic>
                  <pic:nvPicPr>
                    <pic:cNvPr id="0" name="2b17091765107bfa.png"/>
                    <pic:cNvPicPr/>
                  </pic:nvPicPr>
                  <pic:blipFill>
                    <a:blip r:embed="rId39"/>
                    <a:stretch>
                      <a:fillRect/>
                    </a:stretch>
                  </pic:blipFill>
                  <pic:spPr>
                    <a:xfrm>
                      <a:off x="0" y="0"/>
                      <a:ext cx="800989" cy="166291"/>
                    </a:xfrm>
                    <a:prstGeom prst="rect"/>
                  </pic:spPr>
                </pic:pic>
              </a:graphicData>
            </a:graphic>
          </wp:inline>
        </w:drawing>
      </w:r>
    </w:p>
    <w:p>
      <w:r>
        <w:rPr>
          <w:b w:val="0"/>
        </w:rPr>
        <w:t>For well i, compute the median training residual m_i and record count n_i. The shrunken effect is</w:t>
      </w:r>
    </w:p>
    <w:p>
      <w:pPr>
        <w:pStyle w:val="EquationDisplay"/>
      </w:pPr>
      <w:r>
        <w:drawing>
          <wp:inline xmlns:a="http://schemas.openxmlformats.org/drawingml/2006/main" xmlns:pic="http://schemas.openxmlformats.org/drawingml/2006/picture">
            <wp:extent cx="957072" cy="281790"/>
            <wp:docPr id="25" name="Picture 25" descr="b_i=m_i\frac{n_i}{n_i+5}."/>
            <wp:cNvGraphicFramePr>
              <a:graphicFrameLocks noChangeAspect="1"/>
            </wp:cNvGraphicFramePr>
            <a:graphic>
              <a:graphicData uri="http://schemas.openxmlformats.org/drawingml/2006/picture">
                <pic:pic>
                  <pic:nvPicPr>
                    <pic:cNvPr id="0" name="60e4c3f6406db801.png"/>
                    <pic:cNvPicPr/>
                  </pic:nvPicPr>
                  <pic:blipFill>
                    <a:blip r:embed="rId40"/>
                    <a:stretch>
                      <a:fillRect/>
                    </a:stretch>
                  </pic:blipFill>
                  <pic:spPr>
                    <a:xfrm>
                      <a:off x="0" y="0"/>
                      <a:ext cx="957072" cy="281790"/>
                    </a:xfrm>
                    <a:prstGeom prst="rect"/>
                  </pic:spPr>
                </pic:pic>
              </a:graphicData>
            </a:graphic>
          </wp:inline>
        </w:drawing>
      </w:r>
    </w:p>
    <w:p>
      <w:r>
        <w:rPr>
          <w:b w:val="0"/>
        </w:rPr>
        <w:t>The hierarchical prediction is</w:t>
      </w:r>
    </w:p>
    <w:p>
      <w:pPr>
        <w:pStyle w:val="EquationDisplay"/>
      </w:pPr>
      <w:r>
        <w:drawing>
          <wp:inline xmlns:a="http://schemas.openxmlformats.org/drawingml/2006/main" xmlns:pic="http://schemas.openxmlformats.org/drawingml/2006/picture">
            <wp:extent cx="1122680" cy="185420"/>
            <wp:docPr id="26" name="Picture 26" descr="\hat y_{i,r}^{hier}=\hat y_r^{global}+b_i."/>
            <wp:cNvGraphicFramePr>
              <a:graphicFrameLocks noChangeAspect="1"/>
            </wp:cNvGraphicFramePr>
            <a:graphic>
              <a:graphicData uri="http://schemas.openxmlformats.org/drawingml/2006/picture">
                <pic:pic>
                  <pic:nvPicPr>
                    <pic:cNvPr id="0" name="21e02ad5f27755c1.png"/>
                    <pic:cNvPicPr/>
                  </pic:nvPicPr>
                  <pic:blipFill>
                    <a:blip r:embed="rId41"/>
                    <a:stretch>
                      <a:fillRect/>
                    </a:stretch>
                  </pic:blipFill>
                  <pic:spPr>
                    <a:xfrm>
                      <a:off x="0" y="0"/>
                      <a:ext cx="1122680" cy="185420"/>
                    </a:xfrm>
                    <a:prstGeom prst="rect"/>
                  </pic:spPr>
                </pic:pic>
              </a:graphicData>
            </a:graphic>
          </wp:inline>
        </w:drawing>
      </w:r>
    </w:p>
    <w:p>
      <w:r>
        <w:rPr>
          <w:b w:val="0"/>
        </w:rPr>
        <w:t>This lets wells with sufficient history retain a persistent offset while pulling small samples toward zero.</w:t>
      </w:r>
    </w:p>
    <w:p>
      <w:pPr>
        <w:pStyle w:val="Heading2"/>
        <w:pageBreakBefore w:val="0"/>
      </w:pPr>
      <w:r>
        <w:rPr>
          <w:b/>
        </w:rPr>
        <w:t>9.4 Empirical well-history component</w:t>
      </w:r>
    </w:p>
    <w:p>
      <w:r>
        <w:rPr>
          <w:b w:val="0"/>
        </w:rPr>
        <w:t>Let g be the global median target and u_i the raw median target for well i. The shrunken well median is</w:t>
      </w:r>
    </w:p>
    <w:p>
      <w:pPr>
        <w:pStyle w:val="EquationDisplay"/>
      </w:pPr>
      <w:r>
        <w:drawing>
          <wp:inline xmlns:a="http://schemas.openxmlformats.org/drawingml/2006/main" xmlns:pic="http://schemas.openxmlformats.org/drawingml/2006/picture">
            <wp:extent cx="1518475" cy="281857"/>
            <wp:docPr id="27" name="Picture 27" descr="e_i=g+(u_i-g)\frac{n_i}{n_i+5}."/>
            <wp:cNvGraphicFramePr>
              <a:graphicFrameLocks noChangeAspect="1"/>
            </wp:cNvGraphicFramePr>
            <a:graphic>
              <a:graphicData uri="http://schemas.openxmlformats.org/drawingml/2006/picture">
                <pic:pic>
                  <pic:nvPicPr>
                    <pic:cNvPr id="0" name="27aa48a5d34a607d.png"/>
                    <pic:cNvPicPr/>
                  </pic:nvPicPr>
                  <pic:blipFill>
                    <a:blip r:embed="rId42"/>
                    <a:stretch>
                      <a:fillRect/>
                    </a:stretch>
                  </pic:blipFill>
                  <pic:spPr>
                    <a:xfrm>
                      <a:off x="0" y="0"/>
                      <a:ext cx="1518475" cy="281857"/>
                    </a:xfrm>
                    <a:prstGeom prst="rect"/>
                  </pic:spPr>
                </pic:pic>
              </a:graphicData>
            </a:graphic>
          </wp:inline>
        </w:drawing>
      </w:r>
    </w:p>
    <w:p>
      <w:r>
        <w:rPr>
          <w:b w:val="0"/>
        </w:rPr>
        <w:t>For a previously unseen well, the empirical component defaults to g.</w:t>
      </w:r>
    </w:p>
    <w:p>
      <w:pPr>
        <w:pStyle w:val="Heading2"/>
        <w:pageBreakBefore w:val="0"/>
      </w:pPr>
      <w:r>
        <w:rPr>
          <w:b/>
        </w:rPr>
        <w:t>9.5 Final ensemble</w:t>
      </w:r>
    </w:p>
    <w:p>
      <w:r>
        <w:rPr>
          <w:b w:val="0"/>
        </w:rPr>
        <w:t>The final change prediction is</w:t>
      </w:r>
    </w:p>
    <w:p>
      <w:pPr>
        <w:pStyle w:val="EquationDisplay"/>
      </w:pPr>
      <w:r>
        <w:drawing>
          <wp:inline xmlns:a="http://schemas.openxmlformats.org/drawingml/2006/main" xmlns:pic="http://schemas.openxmlformats.org/drawingml/2006/picture">
            <wp:extent cx="1425448" cy="185486"/>
            <wp:docPr id="28" name="Picture 28" descr="\hat y=w e_i+(1-w)\hat y_{i,r}^{hier}."/>
            <wp:cNvGraphicFramePr>
              <a:graphicFrameLocks noChangeAspect="1"/>
            </wp:cNvGraphicFramePr>
            <a:graphic>
              <a:graphicData uri="http://schemas.openxmlformats.org/drawingml/2006/picture">
                <pic:pic>
                  <pic:nvPicPr>
                    <pic:cNvPr id="0" name="2f8fd67d2e964f16.png"/>
                    <pic:cNvPicPr/>
                  </pic:nvPicPr>
                  <pic:blipFill>
                    <a:blip r:embed="rId43"/>
                    <a:stretch>
                      <a:fillRect/>
                    </a:stretch>
                  </pic:blipFill>
                  <pic:spPr>
                    <a:xfrm>
                      <a:off x="0" y="0"/>
                      <a:ext cx="1425448" cy="185486"/>
                    </a:xfrm>
                    <a:prstGeom prst="rect"/>
                  </pic:spPr>
                </pic:pic>
              </a:graphicData>
            </a:graphic>
          </wp:inline>
        </w:drawing>
      </w:r>
    </w:p>
    <w:p>
      <w:r>
        <w:rPr>
          <w:b w:val="0"/>
        </w:rPr>
        <w:t>The mixing weight w is selected from</w:t>
      </w:r>
    </w:p>
    <w:p>
      <w:pPr>
        <w:pStyle w:val="EquationDisplay"/>
      </w:pPr>
      <w:r>
        <w:drawing>
          <wp:inline xmlns:a="http://schemas.openxmlformats.org/drawingml/2006/main" xmlns:pic="http://schemas.openxmlformats.org/drawingml/2006/picture">
            <wp:extent cx="1214183" cy="143517"/>
            <wp:docPr id="29" name="Picture 29" descr="\{0,0.1,0.2,\ldots,1.0\}"/>
            <wp:cNvGraphicFramePr>
              <a:graphicFrameLocks noChangeAspect="1"/>
            </wp:cNvGraphicFramePr>
            <a:graphic>
              <a:graphicData uri="http://schemas.openxmlformats.org/drawingml/2006/picture">
                <pic:pic>
                  <pic:nvPicPr>
                    <pic:cNvPr id="0" name="240048de4cd01624.png"/>
                    <pic:cNvPicPr/>
                  </pic:nvPicPr>
                  <pic:blipFill>
                    <a:blip r:embed="rId44"/>
                    <a:stretch>
                      <a:fillRect/>
                    </a:stretch>
                  </pic:blipFill>
                  <pic:spPr>
                    <a:xfrm>
                      <a:off x="0" y="0"/>
                      <a:ext cx="1214183" cy="143517"/>
                    </a:xfrm>
                    <a:prstGeom prst="rect"/>
                  </pic:spPr>
                </pic:pic>
              </a:graphicData>
            </a:graphic>
          </wp:inline>
        </w:drawing>
      </w:r>
    </w:p>
    <w:p>
      <w:r>
        <w:rPr>
          <w:b w:val="0"/>
        </w:rPr>
        <w:t>using inner chronological validation. Both baseline models selected w=0.4. The final prediction is therefore 40% shrunken well-history median and 60% robust hierarchical regression.</w:t>
      </w:r>
    </w:p>
    <w:p>
      <w:pPr>
        <w:pStyle w:val="Heading1"/>
        <w:pageBreakBefore w:val="0"/>
      </w:pPr>
      <w:r>
        <w:rPr>
          <w:b/>
        </w:rPr>
        <w:t>10. Chronological validation design</w:t>
      </w:r>
    </w:p>
    <w:p>
      <w:pPr>
        <w:pStyle w:val="Heading2"/>
        <w:pageBreakBefore w:val="0"/>
      </w:pPr>
      <w:r>
        <w:rPr>
          <w:b/>
        </w:rPr>
        <w:t>10.1 Time splits</w:t>
      </w:r>
    </w:p>
    <w:p>
      <w:r>
        <w:rPr>
          <w:b w:val="0"/>
        </w:rPr>
        <w:t>The split is chronological to avoid learning from the future:</w:t>
      </w:r>
    </w:p>
    <w:p>
      <w:pPr>
        <w:pStyle w:val="ListBullet"/>
      </w:pPr>
      <w:r>
        <w:rPr>
          <w:b w:val="0"/>
        </w:rPr>
        <w:t>inner model-building data: before 24 July 2026;</w:t>
      </w:r>
    </w:p>
    <w:p>
      <w:pPr>
        <w:pStyle w:val="ListBullet"/>
      </w:pPr>
      <w:r>
        <w:rPr>
          <w:b w:val="0"/>
        </w:rPr>
        <w:t>inner validation for ensemble weight: 24–25 July 2026;</w:t>
      </w:r>
    </w:p>
    <w:p>
      <w:pPr>
        <w:pStyle w:val="ListBullet"/>
      </w:pPr>
      <w:r>
        <w:rPr>
          <w:b w:val="0"/>
        </w:rPr>
        <w:t>final training: all quality-screened records before 26 July 2026;</w:t>
      </w:r>
    </w:p>
    <w:p>
      <w:pPr>
        <w:pStyle w:val="ListBullet"/>
      </w:pPr>
      <w:r>
        <w:rPr>
          <w:b w:val="0"/>
        </w:rPr>
        <w:t>untouched holdout: 26–29 July 2026.</w:t>
      </w:r>
    </w:p>
    <w:p>
      <w:r>
        <w:rPr>
          <w:b w:val="0"/>
        </w:rPr>
        <w:t>After selecting w, the model is refit on all pre-26-July training data and evaluated once on the holdout.</w:t>
      </w:r>
    </w:p>
    <w:p>
      <w:pPr>
        <w:pStyle w:val="Heading2"/>
        <w:pageBreakBefore w:val="0"/>
      </w:pPr>
      <w:r>
        <w:rPr>
          <w:b/>
        </w:rPr>
        <w:t>10.2 Error metrics</w:t>
      </w:r>
    </w:p>
    <w:p>
      <w:r>
        <w:rPr>
          <w:b w:val="0"/>
        </w:rPr>
        <w:t>For errors e_r=y_r-hat(y)_r:</w:t>
      </w:r>
    </w:p>
    <w:p>
      <w:pPr>
        <w:pStyle w:val="EquationDisplay"/>
      </w:pPr>
      <w:r>
        <w:drawing>
          <wp:inline xmlns:a="http://schemas.openxmlformats.org/drawingml/2006/main" xmlns:pic="http://schemas.openxmlformats.org/drawingml/2006/picture">
            <wp:extent cx="1209357" cy="403966"/>
            <wp:docPr id="30" name="Picture 30" descr="MAE=\frac{1}{n}\sum_{r=1}^{n}|e_r|,"/>
            <wp:cNvGraphicFramePr>
              <a:graphicFrameLocks noChangeAspect="1"/>
            </wp:cNvGraphicFramePr>
            <a:graphic>
              <a:graphicData uri="http://schemas.openxmlformats.org/drawingml/2006/picture">
                <pic:pic>
                  <pic:nvPicPr>
                    <pic:cNvPr id="0" name="7e815f1b927adeab.png"/>
                    <pic:cNvPicPr/>
                  </pic:nvPicPr>
                  <pic:blipFill>
                    <a:blip r:embed="rId45"/>
                    <a:stretch>
                      <a:fillRect/>
                    </a:stretch>
                  </pic:blipFill>
                  <pic:spPr>
                    <a:xfrm>
                      <a:off x="0" y="0"/>
                      <a:ext cx="1209357" cy="403966"/>
                    </a:xfrm>
                    <a:prstGeom prst="rect"/>
                  </pic:spPr>
                </pic:pic>
              </a:graphicData>
            </a:graphic>
          </wp:inline>
        </w:drawing>
      </w:r>
    </w:p>
    <w:p>
      <w:pPr>
        <w:pStyle w:val="EquationDisplay"/>
      </w:pPr>
      <w:r>
        <w:drawing>
          <wp:inline xmlns:a="http://schemas.openxmlformats.org/drawingml/2006/main" xmlns:pic="http://schemas.openxmlformats.org/drawingml/2006/picture">
            <wp:extent cx="1749361" cy="143557"/>
            <wp:docPr id="31" name="Picture 31" descr="MedianAE=median(|e_r|),"/>
            <wp:cNvGraphicFramePr>
              <a:graphicFrameLocks noChangeAspect="1"/>
            </wp:cNvGraphicFramePr>
            <a:graphic>
              <a:graphicData uri="http://schemas.openxmlformats.org/drawingml/2006/picture">
                <pic:pic>
                  <pic:nvPicPr>
                    <pic:cNvPr id="0" name="7d99231fb81a913a.png"/>
                    <pic:cNvPicPr/>
                  </pic:nvPicPr>
                  <pic:blipFill>
                    <a:blip r:embed="rId46"/>
                    <a:stretch>
                      <a:fillRect/>
                    </a:stretch>
                  </pic:blipFill>
                  <pic:spPr>
                    <a:xfrm>
                      <a:off x="0" y="0"/>
                      <a:ext cx="1749361" cy="143557"/>
                    </a:xfrm>
                    <a:prstGeom prst="rect"/>
                  </pic:spPr>
                </pic:pic>
              </a:graphicData>
            </a:graphic>
          </wp:inline>
        </w:drawing>
      </w:r>
    </w:p>
    <w:p>
      <w:pPr>
        <w:pStyle w:val="EquationDisplay"/>
      </w:pPr>
      <w:r>
        <w:drawing>
          <wp:inline xmlns:a="http://schemas.openxmlformats.org/drawingml/2006/main" xmlns:pic="http://schemas.openxmlformats.org/drawingml/2006/picture">
            <wp:extent cx="1380109" cy="525635"/>
            <wp:docPr id="32" name="Picture 32" descr="RMSE=\sqrt{\frac{1}{n}\sum_{r=1}^{n}e_r^2},"/>
            <wp:cNvGraphicFramePr>
              <a:graphicFrameLocks noChangeAspect="1"/>
            </wp:cNvGraphicFramePr>
            <a:graphic>
              <a:graphicData uri="http://schemas.openxmlformats.org/drawingml/2006/picture">
                <pic:pic>
                  <pic:nvPicPr>
                    <pic:cNvPr id="0" name="705e7b7e1ce8f6b4.png"/>
                    <pic:cNvPicPr/>
                  </pic:nvPicPr>
                  <pic:blipFill>
                    <a:blip r:embed="rId47"/>
                    <a:stretch>
                      <a:fillRect/>
                    </a:stretch>
                  </pic:blipFill>
                  <pic:spPr>
                    <a:xfrm>
                      <a:off x="0" y="0"/>
                      <a:ext cx="1380109" cy="525635"/>
                    </a:xfrm>
                    <a:prstGeom prst="rect"/>
                  </pic:spPr>
                </pic:pic>
              </a:graphicData>
            </a:graphic>
          </wp:inline>
        </w:drawing>
      </w:r>
    </w:p>
    <w:p>
      <w:r>
        <w:rPr>
          <w:b w:val="0"/>
        </w:rPr>
        <w:t>and</w:t>
      </w:r>
    </w:p>
    <w:p>
      <w:pPr>
        <w:pStyle w:val="EquationDisplay"/>
      </w:pPr>
      <w:r>
        <w:drawing>
          <wp:inline xmlns:a="http://schemas.openxmlformats.org/drawingml/2006/main" xmlns:pic="http://schemas.openxmlformats.org/drawingml/2006/picture">
            <wp:extent cx="1529778" cy="373240"/>
            <wp:docPr id="33" name="Picture 33" descr="R^2=1-\frac{\sum_r(y_r-\hat y_r)^2}{\sum_r(y_r-\bar y)^2}."/>
            <wp:cNvGraphicFramePr>
              <a:graphicFrameLocks noChangeAspect="1"/>
            </wp:cNvGraphicFramePr>
            <a:graphic>
              <a:graphicData uri="http://schemas.openxmlformats.org/drawingml/2006/picture">
                <pic:pic>
                  <pic:nvPicPr>
                    <pic:cNvPr id="0" name="839098baeebafb7f.png"/>
                    <pic:cNvPicPr/>
                  </pic:nvPicPr>
                  <pic:blipFill>
                    <a:blip r:embed="rId48"/>
                    <a:stretch>
                      <a:fillRect/>
                    </a:stretch>
                  </pic:blipFill>
                  <pic:spPr>
                    <a:xfrm>
                      <a:off x="0" y="0"/>
                      <a:ext cx="1529778" cy="373240"/>
                    </a:xfrm>
                    <a:prstGeom prst="rect"/>
                  </pic:spPr>
                </pic:pic>
              </a:graphicData>
            </a:graphic>
          </wp:inline>
        </w:drawing>
      </w:r>
    </w:p>
    <w:p>
      <w:r>
        <w:rPr>
          <w:b w:val="0"/>
        </w:rPr>
        <w:t>The screened R^2 values refer to predicted changes, not to the absolute endpoint levels.</w:t>
      </w:r>
    </w:p>
    <w:p>
      <w:r>
        <w:rPr>
          <w:b w:val="0"/>
        </w:rPr>
        <w:t>For all-record endpoint evaluation, final water-level predictions are clipped to the proof-of-concept range 0–500 m bgs. The target changes themselves are not made physically valid by that clipping.</w:t>
      </w:r>
    </w:p>
    <w:p>
      <w:pPr>
        <w:pStyle w:val="Heading2"/>
        <w:pageBreakBefore w:val="0"/>
      </w:pPr>
      <w:r>
        <w:rPr>
          <w:b/>
        </w:rPr>
        <w:t>10.3 Screened holdout results</w:t>
      </w:r>
    </w:p>
    <w:tbl>
      <w:tblPr>
        <w:tblStyle w:val="TableGrid"/>
        <w:tblW w:type="auto" w:w="0"/>
        <w:jc w:val="center"/>
        <w:tblLayout w:type="fixed"/>
        <w:tblLook w:firstColumn="1" w:firstRow="1" w:lastColumn="0" w:lastRow="0" w:noHBand="0" w:noVBand="1" w:val="04A0"/>
        <w:tblBorders>
          <w:top w:val="single" w:sz="4" w:color="D8E0E5"/>
          <w:left w:val="single" w:sz="4" w:color="D8E0E5"/>
          <w:bottom w:val="single" w:sz="4" w:color="D8E0E5"/>
          <w:right w:val="single" w:sz="4" w:color="D8E0E5"/>
          <w:insideH w:val="single" w:sz="4" w:color="D8E0E5"/>
          <w:insideV w:val="single" w:sz="4" w:color="D8E0E5"/>
        </w:tblBorders>
      </w:tblPr>
      <w:tblGrid>
        <w:gridCol w:w="1682"/>
        <w:gridCol w:w="1682"/>
        <w:gridCol w:w="1682"/>
        <w:gridCol w:w="1682"/>
        <w:gridCol w:w="1682"/>
        <w:gridCol w:w="1682"/>
      </w:tblGrid>
      <w:tr>
        <w:trPr>
          <w:cantSplit/>
          <w:tblHeader w:val="true"/>
        </w:trPr>
        <w:tc>
          <w:tcPr>
            <w:tcW w:type="dxa" w:w="2600"/>
            <w:vAlign w:val="center"/>
            <w:tcMar>
              <w:top w:w="65" w:type="dxa"/>
              <w:start w:w="100" w:type="dxa"/>
              <w:bottom w:w="65" w:type="dxa"/>
              <w:end w:w="100" w:type="dxa"/>
            </w:tcMar>
            <w:shd w:fill="17324D"/>
          </w:tcPr>
          <w:p>
            <w:pPr>
              <w:spacing w:after="0" w:line="240" w:lineRule="auto"/>
            </w:pPr>
            <w:r>
              <w:rPr>
                <w:b/>
                <w:color w:val="FFFFFF"/>
                <w:sz w:val="15"/>
              </w:rPr>
              <w:t>Model</w:t>
            </w:r>
          </w:p>
        </w:tc>
        <w:tc>
          <w:tcPr>
            <w:tcW w:type="dxa" w:w="1480"/>
            <w:vAlign w:val="center"/>
            <w:tcMar>
              <w:top w:w="65" w:type="dxa"/>
              <w:start w:w="100" w:type="dxa"/>
              <w:bottom w:w="65" w:type="dxa"/>
              <w:end w:w="100" w:type="dxa"/>
            </w:tcMar>
            <w:shd w:fill="17324D"/>
          </w:tcPr>
          <w:p>
            <w:pPr>
              <w:spacing w:after="0" w:line="240" w:lineRule="auto"/>
            </w:pPr>
            <w:r>
              <w:rPr>
                <w:b/>
                <w:color w:val="FFFFFF"/>
                <w:sz w:val="15"/>
              </w:rPr>
              <w:t>n</w:t>
            </w:r>
          </w:p>
        </w:tc>
        <w:tc>
          <w:tcPr>
            <w:tcW w:type="dxa" w:w="1480"/>
            <w:vAlign w:val="center"/>
            <w:tcMar>
              <w:top w:w="65" w:type="dxa"/>
              <w:start w:w="100" w:type="dxa"/>
              <w:bottom w:w="65" w:type="dxa"/>
              <w:end w:w="100" w:type="dxa"/>
            </w:tcMar>
            <w:shd w:fill="17324D"/>
          </w:tcPr>
          <w:p>
            <w:pPr>
              <w:spacing w:after="0" w:line="240" w:lineRule="auto"/>
            </w:pPr>
            <w:r>
              <w:rPr>
                <w:b/>
                <w:color w:val="FFFFFF"/>
                <w:sz w:val="15"/>
              </w:rPr>
              <w:t>MAE, m</w:t>
            </w:r>
          </w:p>
        </w:tc>
        <w:tc>
          <w:tcPr>
            <w:tcW w:type="dxa" w:w="1480"/>
            <w:vAlign w:val="center"/>
            <w:tcMar>
              <w:top w:w="65" w:type="dxa"/>
              <w:start w:w="100" w:type="dxa"/>
              <w:bottom w:w="65" w:type="dxa"/>
              <w:end w:w="100" w:type="dxa"/>
            </w:tcMar>
            <w:shd w:fill="17324D"/>
          </w:tcPr>
          <w:p>
            <w:pPr>
              <w:spacing w:after="0" w:line="240" w:lineRule="auto"/>
            </w:pPr>
            <w:r>
              <w:rPr>
                <w:b/>
                <w:color w:val="FFFFFF"/>
                <w:sz w:val="15"/>
              </w:rPr>
              <w:t>Median AE, m</w:t>
            </w:r>
          </w:p>
        </w:tc>
        <w:tc>
          <w:tcPr>
            <w:tcW w:type="dxa" w:w="1480"/>
            <w:vAlign w:val="center"/>
            <w:tcMar>
              <w:top w:w="65" w:type="dxa"/>
              <w:start w:w="100" w:type="dxa"/>
              <w:bottom w:w="65" w:type="dxa"/>
              <w:end w:w="100" w:type="dxa"/>
            </w:tcMar>
            <w:shd w:fill="17324D"/>
          </w:tcPr>
          <w:p>
            <w:pPr>
              <w:spacing w:after="0" w:line="240" w:lineRule="auto"/>
            </w:pPr>
            <w:r>
              <w:rPr>
                <w:b/>
                <w:color w:val="FFFFFF"/>
                <w:sz w:val="15"/>
              </w:rPr>
              <w:t>RMSE, m</w:t>
            </w:r>
          </w:p>
        </w:tc>
        <w:tc>
          <w:tcPr>
            <w:tcW w:type="dxa" w:w="1480"/>
            <w:vAlign w:val="center"/>
            <w:tcMar>
              <w:top w:w="65" w:type="dxa"/>
              <w:start w:w="100" w:type="dxa"/>
              <w:bottom w:w="65" w:type="dxa"/>
              <w:end w:w="100" w:type="dxa"/>
            </w:tcMar>
            <w:shd w:fill="17324D"/>
          </w:tcPr>
          <w:p>
            <w:pPr>
              <w:spacing w:after="0" w:line="240" w:lineRule="auto"/>
            </w:pPr>
            <w:r>
              <w:rPr>
                <w:b/>
                <w:color w:val="FFFFFF"/>
                <w:sz w:val="15"/>
              </w:rPr>
              <w:t>R^2</w:t>
            </w:r>
          </w:p>
        </w:tc>
      </w:tr>
      <w:tr>
        <w:trPr>
          <w:cantSplit/>
        </w:trPr>
        <w:tc>
          <w:tcPr>
            <w:tcW w:type="dxa" w:w="2600"/>
            <w:vAlign w:val="center"/>
            <w:tcMar>
              <w:top w:w="65" w:type="dxa"/>
              <w:start w:w="100" w:type="dxa"/>
              <w:bottom w:w="65" w:type="dxa"/>
              <w:end w:w="100" w:type="dxa"/>
            </w:tcMar>
          </w:tcPr>
          <w:p>
            <w:pPr>
              <w:spacing w:after="0" w:line="240" w:lineRule="auto"/>
            </w:pPr>
            <w:r>
              <w:rPr>
                <w:b w:val="0"/>
                <w:color w:val="222B32"/>
                <w:sz w:val="15"/>
              </w:rPr>
              <w:t>Pump transition, final ensemble</w:t>
            </w:r>
          </w:p>
        </w:tc>
        <w:tc>
          <w:tcPr>
            <w:tcW w:type="dxa" w:w="1480"/>
            <w:vAlign w:val="center"/>
            <w:tcMar>
              <w:top w:w="65" w:type="dxa"/>
              <w:start w:w="100" w:type="dxa"/>
              <w:bottom w:w="65" w:type="dxa"/>
              <w:end w:w="100" w:type="dxa"/>
            </w:tcMar>
          </w:tcPr>
          <w:p>
            <w:pPr>
              <w:spacing w:after="0" w:line="240" w:lineRule="auto"/>
            </w:pPr>
            <w:r>
              <w:rPr>
                <w:b w:val="0"/>
                <w:color w:val="222B32"/>
                <w:sz w:val="15"/>
              </w:rPr>
              <w:t>1,995</w:t>
            </w:r>
          </w:p>
        </w:tc>
        <w:tc>
          <w:tcPr>
            <w:tcW w:type="dxa" w:w="1480"/>
            <w:vAlign w:val="center"/>
            <w:tcMar>
              <w:top w:w="65" w:type="dxa"/>
              <w:start w:w="100" w:type="dxa"/>
              <w:bottom w:w="65" w:type="dxa"/>
              <w:end w:w="100" w:type="dxa"/>
            </w:tcMar>
          </w:tcPr>
          <w:p>
            <w:pPr>
              <w:spacing w:after="0" w:line="240" w:lineRule="auto"/>
            </w:pPr>
            <w:r>
              <w:rPr>
                <w:b w:val="0"/>
                <w:color w:val="222B32"/>
                <w:sz w:val="15"/>
              </w:rPr>
              <w:t>8.9530</w:t>
            </w:r>
          </w:p>
        </w:tc>
        <w:tc>
          <w:tcPr>
            <w:tcW w:type="dxa" w:w="1480"/>
            <w:vAlign w:val="center"/>
            <w:tcMar>
              <w:top w:w="65" w:type="dxa"/>
              <w:start w:w="100" w:type="dxa"/>
              <w:bottom w:w="65" w:type="dxa"/>
              <w:end w:w="100" w:type="dxa"/>
            </w:tcMar>
          </w:tcPr>
          <w:p>
            <w:pPr>
              <w:spacing w:after="0" w:line="240" w:lineRule="auto"/>
            </w:pPr>
            <w:r>
              <w:rPr>
                <w:b w:val="0"/>
                <w:color w:val="222B32"/>
                <w:sz w:val="15"/>
              </w:rPr>
              <w:t>4.8750</w:t>
            </w:r>
          </w:p>
        </w:tc>
        <w:tc>
          <w:tcPr>
            <w:tcW w:type="dxa" w:w="1480"/>
            <w:vAlign w:val="center"/>
            <w:tcMar>
              <w:top w:w="65" w:type="dxa"/>
              <w:start w:w="100" w:type="dxa"/>
              <w:bottom w:w="65" w:type="dxa"/>
              <w:end w:w="100" w:type="dxa"/>
            </w:tcMar>
          </w:tcPr>
          <w:p>
            <w:pPr>
              <w:spacing w:after="0" w:line="240" w:lineRule="auto"/>
            </w:pPr>
            <w:r>
              <w:rPr>
                <w:b w:val="0"/>
                <w:color w:val="222B32"/>
                <w:sz w:val="15"/>
              </w:rPr>
              <w:t>13.7250</w:t>
            </w:r>
          </w:p>
        </w:tc>
        <w:tc>
          <w:tcPr>
            <w:tcW w:type="dxa" w:w="1480"/>
            <w:vAlign w:val="center"/>
            <w:tcMar>
              <w:top w:w="65" w:type="dxa"/>
              <w:start w:w="100" w:type="dxa"/>
              <w:bottom w:w="65" w:type="dxa"/>
              <w:end w:w="100" w:type="dxa"/>
            </w:tcMar>
          </w:tcPr>
          <w:p>
            <w:pPr>
              <w:spacing w:after="0" w:line="240" w:lineRule="auto"/>
            </w:pPr>
            <w:r>
              <w:rPr>
                <w:b w:val="0"/>
                <w:color w:val="222B32"/>
                <w:sz w:val="15"/>
              </w:rPr>
              <w:t>0.2144</w:t>
            </w:r>
          </w:p>
        </w:tc>
      </w:tr>
      <w:tr>
        <w:trPr>
          <w:cantSplit/>
        </w:trPr>
        <w:tc>
          <w:tcPr>
            <w:tcW w:type="dxa" w:w="2600"/>
            <w:vAlign w:val="center"/>
            <w:tcMar>
              <w:top w:w="65" w:type="dxa"/>
              <w:start w:w="100" w:type="dxa"/>
              <w:bottom w:w="65" w:type="dxa"/>
              <w:end w:w="100" w:type="dxa"/>
            </w:tcMar>
            <w:shd w:fill="F4F8FA"/>
          </w:tcPr>
          <w:p>
            <w:pPr>
              <w:spacing w:after="0" w:line="240" w:lineRule="auto"/>
            </w:pPr>
            <w:r>
              <w:rPr>
                <w:b w:val="0"/>
                <w:color w:val="222B32"/>
                <w:sz w:val="15"/>
              </w:rPr>
              <w:t>Recovery transition, final ensemble</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1,561</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7.0878</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3.7710</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11.0656</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0.3448</w:t>
            </w:r>
          </w:p>
        </w:tc>
      </w:tr>
      <w:tr>
        <w:trPr>
          <w:cantSplit/>
        </w:trPr>
        <w:tc>
          <w:tcPr>
            <w:tcW w:type="dxa" w:w="2600"/>
            <w:vAlign w:val="center"/>
            <w:tcMar>
              <w:top w:w="65" w:type="dxa"/>
              <w:start w:w="100" w:type="dxa"/>
              <w:bottom w:w="65" w:type="dxa"/>
              <w:end w:w="100" w:type="dxa"/>
            </w:tcMar>
          </w:tcPr>
          <w:p>
            <w:pPr>
              <w:spacing w:after="0" w:line="240" w:lineRule="auto"/>
            </w:pPr>
            <w:r>
              <w:rPr>
                <w:b w:val="0"/>
                <w:color w:val="222B32"/>
                <w:sz w:val="15"/>
              </w:rPr>
              <w:t>Pump well-history baseline</w:t>
            </w:r>
          </w:p>
        </w:tc>
        <w:tc>
          <w:tcPr>
            <w:tcW w:type="dxa" w:w="1480"/>
            <w:vAlign w:val="center"/>
            <w:tcMar>
              <w:top w:w="65" w:type="dxa"/>
              <w:start w:w="100" w:type="dxa"/>
              <w:bottom w:w="65" w:type="dxa"/>
              <w:end w:w="100" w:type="dxa"/>
            </w:tcMar>
          </w:tcPr>
          <w:p>
            <w:pPr>
              <w:spacing w:after="0" w:line="240" w:lineRule="auto"/>
            </w:pPr>
            <w:r>
              <w:rPr>
                <w:b w:val="0"/>
                <w:color w:val="222B32"/>
                <w:sz w:val="15"/>
              </w:rPr>
              <w:t>1,995</w:t>
            </w:r>
          </w:p>
        </w:tc>
        <w:tc>
          <w:tcPr>
            <w:tcW w:type="dxa" w:w="1480"/>
            <w:vAlign w:val="center"/>
            <w:tcMar>
              <w:top w:w="65" w:type="dxa"/>
              <w:start w:w="100" w:type="dxa"/>
              <w:bottom w:w="65" w:type="dxa"/>
              <w:end w:w="100" w:type="dxa"/>
            </w:tcMar>
          </w:tcPr>
          <w:p>
            <w:pPr>
              <w:spacing w:after="0" w:line="240" w:lineRule="auto"/>
            </w:pPr>
            <w:r>
              <w:rPr>
                <w:b w:val="0"/>
                <w:color w:val="222B32"/>
                <w:sz w:val="15"/>
              </w:rPr>
              <w:t>9.0630</w:t>
            </w:r>
          </w:p>
        </w:tc>
        <w:tc>
          <w:tcPr>
            <w:tcW w:type="dxa" w:w="1480"/>
            <w:vAlign w:val="center"/>
            <w:tcMar>
              <w:top w:w="65" w:type="dxa"/>
              <w:start w:w="100" w:type="dxa"/>
              <w:bottom w:w="65" w:type="dxa"/>
              <w:end w:w="100" w:type="dxa"/>
            </w:tcMar>
          </w:tcPr>
          <w:p>
            <w:pPr>
              <w:spacing w:after="0" w:line="240" w:lineRule="auto"/>
            </w:pPr>
            <w:r>
              <w:rPr>
                <w:b w:val="0"/>
                <w:color w:val="222B32"/>
                <w:sz w:val="15"/>
              </w:rPr>
              <w:t>4.8863</w:t>
            </w:r>
          </w:p>
        </w:tc>
        <w:tc>
          <w:tcPr>
            <w:tcW w:type="dxa" w:w="1480"/>
            <w:vAlign w:val="center"/>
            <w:tcMar>
              <w:top w:w="65" w:type="dxa"/>
              <w:start w:w="100" w:type="dxa"/>
              <w:bottom w:w="65" w:type="dxa"/>
              <w:end w:w="100" w:type="dxa"/>
            </w:tcMar>
          </w:tcPr>
          <w:p>
            <w:pPr>
              <w:spacing w:after="0" w:line="240" w:lineRule="auto"/>
            </w:pPr>
            <w:r>
              <w:rPr>
                <w:b w:val="0"/>
                <w:color w:val="222B32"/>
                <w:sz w:val="15"/>
              </w:rPr>
              <w:t>13.9146</w:t>
            </w:r>
          </w:p>
        </w:tc>
        <w:tc>
          <w:tcPr>
            <w:tcW w:type="dxa" w:w="1480"/>
            <w:vAlign w:val="center"/>
            <w:tcMar>
              <w:top w:w="65" w:type="dxa"/>
              <w:start w:w="100" w:type="dxa"/>
              <w:bottom w:w="65" w:type="dxa"/>
              <w:end w:w="100" w:type="dxa"/>
            </w:tcMar>
          </w:tcPr>
          <w:p>
            <w:pPr>
              <w:spacing w:after="0" w:line="240" w:lineRule="auto"/>
            </w:pPr>
            <w:r>
              <w:rPr>
                <w:b w:val="0"/>
                <w:color w:val="222B32"/>
                <w:sz w:val="15"/>
              </w:rPr>
              <w:t>0.1925</w:t>
            </w:r>
          </w:p>
        </w:tc>
      </w:tr>
      <w:tr>
        <w:trPr>
          <w:cantSplit/>
        </w:trPr>
        <w:tc>
          <w:tcPr>
            <w:tcW w:type="dxa" w:w="2600"/>
            <w:vAlign w:val="center"/>
            <w:tcMar>
              <w:top w:w="65" w:type="dxa"/>
              <w:start w:w="100" w:type="dxa"/>
              <w:bottom w:w="65" w:type="dxa"/>
              <w:end w:w="100" w:type="dxa"/>
            </w:tcMar>
            <w:shd w:fill="F4F8FA"/>
          </w:tcPr>
          <w:p>
            <w:pPr>
              <w:spacing w:after="0" w:line="240" w:lineRule="auto"/>
            </w:pPr>
            <w:r>
              <w:rPr>
                <w:b w:val="0"/>
                <w:color w:val="222B32"/>
                <w:sz w:val="15"/>
              </w:rPr>
              <w:t>Recovery well-history baseline</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1,561</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7.5468</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3.9108</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11.9006</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0.2421</w:t>
            </w:r>
          </w:p>
        </w:tc>
      </w:tr>
    </w:tbl>
    <w:p>
      <w:pPr>
        <w:spacing w:after="0"/>
      </w:pPr>
    </w:p>
    <w:p>
      <w:r>
        <w:rPr>
          <w:b w:val="0"/>
        </w:rPr>
        <w:t>The robust ensemble improved on the well-history baseline, but the gain is modest. The errors remain large relative to many practical water-management decisions.</w:t>
      </w:r>
    </w:p>
    <w:p>
      <w:pPr>
        <w:pStyle w:val="Heading2"/>
        <w:pageBreakBefore w:val="0"/>
      </w:pPr>
      <w:r>
        <w:rPr>
          <w:b/>
        </w:rPr>
        <w:t>10.4 All-record holdout results</w:t>
      </w:r>
    </w:p>
    <w:p>
      <w:r>
        <w:rPr>
          <w:b w:val="0"/>
        </w:rPr>
        <w:t>When rejected and anomalous holdout rows are included:</w:t>
      </w:r>
    </w:p>
    <w:tbl>
      <w:tblPr>
        <w:tblStyle w:val="TableGrid"/>
        <w:tblW w:type="auto" w:w="0"/>
        <w:jc w:val="center"/>
        <w:tblLayout w:type="fixed"/>
        <w:tblLook w:firstColumn="1" w:firstRow="1" w:lastColumn="0" w:lastRow="0" w:noHBand="0" w:noVBand="1" w:val="04A0"/>
        <w:tblBorders>
          <w:top w:val="single" w:sz="4" w:color="D8E0E5"/>
          <w:left w:val="single" w:sz="4" w:color="D8E0E5"/>
          <w:bottom w:val="single" w:sz="4" w:color="D8E0E5"/>
          <w:right w:val="single" w:sz="4" w:color="D8E0E5"/>
          <w:insideH w:val="single" w:sz="4" w:color="D8E0E5"/>
          <w:insideV w:val="single" w:sz="4" w:color="D8E0E5"/>
        </w:tblBorders>
      </w:tblPr>
      <w:tblGrid>
        <w:gridCol w:w="1682"/>
        <w:gridCol w:w="1682"/>
        <w:gridCol w:w="1682"/>
        <w:gridCol w:w="1682"/>
        <w:gridCol w:w="1682"/>
        <w:gridCol w:w="1682"/>
      </w:tblGrid>
      <w:tr>
        <w:trPr>
          <w:cantSplit/>
          <w:tblHeader w:val="true"/>
        </w:trPr>
        <w:tc>
          <w:tcPr>
            <w:tcW w:type="dxa" w:w="2600"/>
            <w:vAlign w:val="center"/>
            <w:tcMar>
              <w:top w:w="65" w:type="dxa"/>
              <w:start w:w="100" w:type="dxa"/>
              <w:bottom w:w="65" w:type="dxa"/>
              <w:end w:w="100" w:type="dxa"/>
            </w:tcMar>
            <w:shd w:fill="17324D"/>
          </w:tcPr>
          <w:p>
            <w:pPr>
              <w:spacing w:after="0" w:line="240" w:lineRule="auto"/>
            </w:pPr>
            <w:r>
              <w:rPr>
                <w:b/>
                <w:color w:val="FFFFFF"/>
                <w:sz w:val="15"/>
              </w:rPr>
              <w:t>Model</w:t>
            </w:r>
          </w:p>
        </w:tc>
        <w:tc>
          <w:tcPr>
            <w:tcW w:type="dxa" w:w="1480"/>
            <w:vAlign w:val="center"/>
            <w:tcMar>
              <w:top w:w="65" w:type="dxa"/>
              <w:start w:w="100" w:type="dxa"/>
              <w:bottom w:w="65" w:type="dxa"/>
              <w:end w:w="100" w:type="dxa"/>
            </w:tcMar>
            <w:shd w:fill="17324D"/>
          </w:tcPr>
          <w:p>
            <w:pPr>
              <w:spacing w:after="0" w:line="240" w:lineRule="auto"/>
            </w:pPr>
            <w:r>
              <w:rPr>
                <w:b/>
                <w:color w:val="FFFFFF"/>
                <w:sz w:val="15"/>
              </w:rPr>
              <w:t>n</w:t>
            </w:r>
          </w:p>
        </w:tc>
        <w:tc>
          <w:tcPr>
            <w:tcW w:type="dxa" w:w="1480"/>
            <w:vAlign w:val="center"/>
            <w:tcMar>
              <w:top w:w="65" w:type="dxa"/>
              <w:start w:w="100" w:type="dxa"/>
              <w:bottom w:w="65" w:type="dxa"/>
              <w:end w:w="100" w:type="dxa"/>
            </w:tcMar>
            <w:shd w:fill="17324D"/>
          </w:tcPr>
          <w:p>
            <w:pPr>
              <w:spacing w:after="0" w:line="240" w:lineRule="auto"/>
            </w:pPr>
            <w:r>
              <w:rPr>
                <w:b/>
                <w:color w:val="FFFFFF"/>
                <w:sz w:val="15"/>
              </w:rPr>
              <w:t>MAE, m</w:t>
            </w:r>
          </w:p>
        </w:tc>
        <w:tc>
          <w:tcPr>
            <w:tcW w:type="dxa" w:w="1480"/>
            <w:vAlign w:val="center"/>
            <w:tcMar>
              <w:top w:w="65" w:type="dxa"/>
              <w:start w:w="100" w:type="dxa"/>
              <w:bottom w:w="65" w:type="dxa"/>
              <w:end w:w="100" w:type="dxa"/>
            </w:tcMar>
            <w:shd w:fill="17324D"/>
          </w:tcPr>
          <w:p>
            <w:pPr>
              <w:spacing w:after="0" w:line="240" w:lineRule="auto"/>
            </w:pPr>
            <w:r>
              <w:rPr>
                <w:b/>
                <w:color w:val="FFFFFF"/>
                <w:sz w:val="15"/>
              </w:rPr>
              <w:t>Median AE, m</w:t>
            </w:r>
          </w:p>
        </w:tc>
        <w:tc>
          <w:tcPr>
            <w:tcW w:type="dxa" w:w="1480"/>
            <w:vAlign w:val="center"/>
            <w:tcMar>
              <w:top w:w="65" w:type="dxa"/>
              <w:start w:w="100" w:type="dxa"/>
              <w:bottom w:w="65" w:type="dxa"/>
              <w:end w:w="100" w:type="dxa"/>
            </w:tcMar>
            <w:shd w:fill="17324D"/>
          </w:tcPr>
          <w:p>
            <w:pPr>
              <w:spacing w:after="0" w:line="240" w:lineRule="auto"/>
            </w:pPr>
            <w:r>
              <w:rPr>
                <w:b/>
                <w:color w:val="FFFFFF"/>
                <w:sz w:val="15"/>
              </w:rPr>
              <w:t>RMSE, m</w:t>
            </w:r>
          </w:p>
        </w:tc>
        <w:tc>
          <w:tcPr>
            <w:tcW w:type="dxa" w:w="1480"/>
            <w:vAlign w:val="center"/>
            <w:tcMar>
              <w:top w:w="65" w:type="dxa"/>
              <w:start w:w="100" w:type="dxa"/>
              <w:bottom w:w="65" w:type="dxa"/>
              <w:end w:w="100" w:type="dxa"/>
            </w:tcMar>
            <w:shd w:fill="17324D"/>
          </w:tcPr>
          <w:p>
            <w:pPr>
              <w:spacing w:after="0" w:line="240" w:lineRule="auto"/>
            </w:pPr>
            <w:r>
              <w:rPr>
                <w:b/>
                <w:color w:val="FFFFFF"/>
                <w:sz w:val="15"/>
              </w:rPr>
              <w:t>R^2</w:t>
            </w:r>
          </w:p>
        </w:tc>
      </w:tr>
      <w:tr>
        <w:trPr>
          <w:cantSplit/>
        </w:trPr>
        <w:tc>
          <w:tcPr>
            <w:tcW w:type="dxa" w:w="2600"/>
            <w:vAlign w:val="center"/>
            <w:tcMar>
              <w:top w:w="65" w:type="dxa"/>
              <w:start w:w="100" w:type="dxa"/>
              <w:bottom w:w="65" w:type="dxa"/>
              <w:end w:w="100" w:type="dxa"/>
            </w:tcMar>
          </w:tcPr>
          <w:p>
            <w:pPr>
              <w:spacing w:after="0" w:line="240" w:lineRule="auto"/>
            </w:pPr>
            <w:r>
              <w:rPr>
                <w:b w:val="0"/>
                <w:color w:val="222B32"/>
                <w:sz w:val="15"/>
              </w:rPr>
              <w:t>Pump transition</w:t>
            </w:r>
          </w:p>
        </w:tc>
        <w:tc>
          <w:tcPr>
            <w:tcW w:type="dxa" w:w="1480"/>
            <w:vAlign w:val="center"/>
            <w:tcMar>
              <w:top w:w="65" w:type="dxa"/>
              <w:start w:w="100" w:type="dxa"/>
              <w:bottom w:w="65" w:type="dxa"/>
              <w:end w:w="100" w:type="dxa"/>
            </w:tcMar>
          </w:tcPr>
          <w:p>
            <w:pPr>
              <w:spacing w:after="0" w:line="240" w:lineRule="auto"/>
            </w:pPr>
            <w:r>
              <w:rPr>
                <w:b w:val="0"/>
                <w:color w:val="222B32"/>
                <w:sz w:val="15"/>
              </w:rPr>
              <w:t>2,984</w:t>
            </w:r>
          </w:p>
        </w:tc>
        <w:tc>
          <w:tcPr>
            <w:tcW w:type="dxa" w:w="1480"/>
            <w:vAlign w:val="center"/>
            <w:tcMar>
              <w:top w:w="65" w:type="dxa"/>
              <w:start w:w="100" w:type="dxa"/>
              <w:bottom w:w="65" w:type="dxa"/>
              <w:end w:w="100" w:type="dxa"/>
            </w:tcMar>
          </w:tcPr>
          <w:p>
            <w:pPr>
              <w:spacing w:after="0" w:line="240" w:lineRule="auto"/>
            </w:pPr>
            <w:r>
              <w:rPr>
                <w:b w:val="0"/>
                <w:color w:val="222B32"/>
                <w:sz w:val="15"/>
              </w:rPr>
              <w:t>33.9970</w:t>
            </w:r>
          </w:p>
        </w:tc>
        <w:tc>
          <w:tcPr>
            <w:tcW w:type="dxa" w:w="1480"/>
            <w:vAlign w:val="center"/>
            <w:tcMar>
              <w:top w:w="65" w:type="dxa"/>
              <w:start w:w="100" w:type="dxa"/>
              <w:bottom w:w="65" w:type="dxa"/>
              <w:end w:w="100" w:type="dxa"/>
            </w:tcMar>
          </w:tcPr>
          <w:p>
            <w:pPr>
              <w:spacing w:after="0" w:line="240" w:lineRule="auto"/>
            </w:pPr>
            <w:r>
              <w:rPr>
                <w:b w:val="0"/>
                <w:color w:val="222B32"/>
                <w:sz w:val="15"/>
              </w:rPr>
              <w:t>9.9016</w:t>
            </w:r>
          </w:p>
        </w:tc>
        <w:tc>
          <w:tcPr>
            <w:tcW w:type="dxa" w:w="1480"/>
            <w:vAlign w:val="center"/>
            <w:tcMar>
              <w:top w:w="65" w:type="dxa"/>
              <w:start w:w="100" w:type="dxa"/>
              <w:bottom w:w="65" w:type="dxa"/>
              <w:end w:w="100" w:type="dxa"/>
            </w:tcMar>
          </w:tcPr>
          <w:p>
            <w:pPr>
              <w:spacing w:after="0" w:line="240" w:lineRule="auto"/>
            </w:pPr>
            <w:r>
              <w:rPr>
                <w:b w:val="0"/>
                <w:color w:val="222B32"/>
                <w:sz w:val="15"/>
              </w:rPr>
              <w:t>71.2500</w:t>
            </w:r>
          </w:p>
        </w:tc>
        <w:tc>
          <w:tcPr>
            <w:tcW w:type="dxa" w:w="1480"/>
            <w:vAlign w:val="center"/>
            <w:tcMar>
              <w:top w:w="65" w:type="dxa"/>
              <w:start w:w="100" w:type="dxa"/>
              <w:bottom w:w="65" w:type="dxa"/>
              <w:end w:w="100" w:type="dxa"/>
            </w:tcMar>
          </w:tcPr>
          <w:p>
            <w:pPr>
              <w:spacing w:after="0" w:line="240" w:lineRule="auto"/>
            </w:pPr>
            <w:r>
              <w:rPr>
                <w:b w:val="0"/>
                <w:color w:val="222B32"/>
                <w:sz w:val="15"/>
              </w:rPr>
              <w:t>0.2299</w:t>
            </w:r>
          </w:p>
        </w:tc>
      </w:tr>
      <w:tr>
        <w:trPr>
          <w:cantSplit/>
        </w:trPr>
        <w:tc>
          <w:tcPr>
            <w:tcW w:type="dxa" w:w="2600"/>
            <w:vAlign w:val="center"/>
            <w:tcMar>
              <w:top w:w="65" w:type="dxa"/>
              <w:start w:w="100" w:type="dxa"/>
              <w:bottom w:w="65" w:type="dxa"/>
              <w:end w:w="100" w:type="dxa"/>
            </w:tcMar>
            <w:shd w:fill="F4F8FA"/>
          </w:tcPr>
          <w:p>
            <w:pPr>
              <w:spacing w:after="0" w:line="240" w:lineRule="auto"/>
            </w:pPr>
            <w:r>
              <w:rPr>
                <w:b w:val="0"/>
                <w:color w:val="222B32"/>
                <w:sz w:val="15"/>
              </w:rPr>
              <w:t>Recovery transition</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2,969</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29.6914</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8.7296</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62.6549</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0.2849</w:t>
            </w:r>
          </w:p>
        </w:tc>
      </w:tr>
    </w:tbl>
    <w:p>
      <w:pPr>
        <w:spacing w:after="0"/>
      </w:pPr>
    </w:p>
    <w:p>
      <w:r>
        <w:rPr>
          <w:b w:val="0"/>
        </w:rPr>
        <w:t>This gap is central to the interpretation. The proof of concept has learned repeatable signal in screened records, while the raw dataset still contains changes that dominate error and require source-level clarification.</w:t>
      </w:r>
    </w:p>
    <w:p>
      <w:pPr>
        <w:pStyle w:val="Heading2"/>
        <w:pageBreakBefore w:val="0"/>
      </w:pPr>
      <w:r>
        <w:rPr>
          <w:b/>
        </w:rPr>
        <w:t>10.5 Earlier feasibility benchmarks</w:t>
      </w:r>
    </w:p>
    <w:p>
      <w:r>
        <w:rPr>
          <w:b w:val="0"/>
        </w:rPr>
        <w:t>An earlier experiment established simple reference points:</w:t>
      </w:r>
    </w:p>
    <w:tbl>
      <w:tblPr>
        <w:tblStyle w:val="TableGrid"/>
        <w:tblW w:type="auto" w:w="0"/>
        <w:jc w:val="center"/>
        <w:tblLayout w:type="fixed"/>
        <w:tblLook w:firstColumn="1" w:firstRow="1" w:lastColumn="0" w:lastRow="0" w:noHBand="0" w:noVBand="1" w:val="04A0"/>
        <w:tblBorders>
          <w:top w:val="single" w:sz="4" w:color="D8E0E5"/>
          <w:left w:val="single" w:sz="4" w:color="D8E0E5"/>
          <w:bottom w:val="single" w:sz="4" w:color="D8E0E5"/>
          <w:right w:val="single" w:sz="4" w:color="D8E0E5"/>
          <w:insideH w:val="single" w:sz="4" w:color="D8E0E5"/>
          <w:insideV w:val="single" w:sz="4" w:color="D8E0E5"/>
        </w:tblBorders>
      </w:tblPr>
      <w:tblGrid>
        <w:gridCol w:w="2523"/>
        <w:gridCol w:w="2523"/>
        <w:gridCol w:w="2523"/>
        <w:gridCol w:w="2523"/>
      </w:tblGrid>
      <w:tr>
        <w:trPr>
          <w:cantSplit/>
          <w:tblHeader w:val="true"/>
        </w:trPr>
        <w:tc>
          <w:tcPr>
            <w:tcW w:type="dxa" w:w="4000"/>
            <w:vAlign w:val="center"/>
            <w:tcMar>
              <w:top w:w="65" w:type="dxa"/>
              <w:start w:w="100" w:type="dxa"/>
              <w:bottom w:w="65" w:type="dxa"/>
              <w:end w:w="100" w:type="dxa"/>
            </w:tcMar>
            <w:shd w:fill="17324D"/>
          </w:tcPr>
          <w:p>
            <w:pPr>
              <w:spacing w:after="0" w:line="240" w:lineRule="auto"/>
            </w:pPr>
            <w:r>
              <w:rPr>
                <w:b/>
                <w:color w:val="FFFFFF"/>
                <w:sz w:val="16"/>
              </w:rPr>
              <w:t>Target and dataset</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Persistence MAE</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Well-median MAE</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Global ridge MAE</w:t>
            </w:r>
          </w:p>
        </w:tc>
      </w:tr>
      <w:tr>
        <w:trPr>
          <w:cantSplit/>
        </w:trPr>
        <w:tc>
          <w:tcPr>
            <w:tcW w:type="dxa" w:w="4000"/>
            <w:vAlign w:val="center"/>
            <w:tcMar>
              <w:top w:w="65" w:type="dxa"/>
              <w:start w:w="100" w:type="dxa"/>
              <w:bottom w:w="65" w:type="dxa"/>
              <w:end w:w="100" w:type="dxa"/>
            </w:tcMar>
          </w:tcPr>
          <w:p>
            <w:pPr>
              <w:spacing w:after="0" w:line="240" w:lineRule="auto"/>
            </w:pPr>
            <w:r>
              <w:rPr>
                <w:b w:val="0"/>
                <w:color w:val="222B32"/>
                <w:sz w:val="16"/>
              </w:rPr>
              <w:t>Pump, all records</w:t>
            </w:r>
          </w:p>
        </w:tc>
        <w:tc>
          <w:tcPr>
            <w:tcW w:type="dxa" w:w="2000"/>
            <w:vAlign w:val="center"/>
            <w:tcMar>
              <w:top w:w="65" w:type="dxa"/>
              <w:start w:w="100" w:type="dxa"/>
              <w:bottom w:w="65" w:type="dxa"/>
              <w:end w:w="100" w:type="dxa"/>
            </w:tcMar>
          </w:tcPr>
          <w:p>
            <w:pPr>
              <w:spacing w:after="0" w:line="240" w:lineRule="auto"/>
            </w:pPr>
            <w:r>
              <w:rPr>
                <w:b w:val="0"/>
                <w:color w:val="222B32"/>
                <w:sz w:val="16"/>
              </w:rPr>
              <w:t>36.0599</w:t>
            </w:r>
          </w:p>
        </w:tc>
        <w:tc>
          <w:tcPr>
            <w:tcW w:type="dxa" w:w="2000"/>
            <w:vAlign w:val="center"/>
            <w:tcMar>
              <w:top w:w="65" w:type="dxa"/>
              <w:start w:w="100" w:type="dxa"/>
              <w:bottom w:w="65" w:type="dxa"/>
              <w:end w:w="100" w:type="dxa"/>
            </w:tcMar>
          </w:tcPr>
          <w:p>
            <w:pPr>
              <w:spacing w:after="0" w:line="240" w:lineRule="auto"/>
            </w:pPr>
            <w:r>
              <w:rPr>
                <w:b w:val="0"/>
                <w:color w:val="222B32"/>
                <w:sz w:val="16"/>
              </w:rPr>
              <w:t>32.4311</w:t>
            </w:r>
          </w:p>
        </w:tc>
        <w:tc>
          <w:tcPr>
            <w:tcW w:type="dxa" w:w="2000"/>
            <w:vAlign w:val="center"/>
            <w:tcMar>
              <w:top w:w="65" w:type="dxa"/>
              <w:start w:w="100" w:type="dxa"/>
              <w:bottom w:w="65" w:type="dxa"/>
              <w:end w:w="100" w:type="dxa"/>
            </w:tcMar>
          </w:tcPr>
          <w:p>
            <w:pPr>
              <w:spacing w:after="0" w:line="240" w:lineRule="auto"/>
            </w:pPr>
            <w:r>
              <w:rPr>
                <w:b w:val="0"/>
                <w:color w:val="222B32"/>
                <w:sz w:val="16"/>
              </w:rPr>
              <w:t>38.3593</w:t>
            </w:r>
          </w:p>
        </w:tc>
      </w:tr>
      <w:tr>
        <w:trPr>
          <w:cantSplit/>
        </w:trPr>
        <w:tc>
          <w:tcPr>
            <w:tcW w:type="dxa" w:w="4000"/>
            <w:vAlign w:val="center"/>
            <w:tcMar>
              <w:top w:w="65" w:type="dxa"/>
              <w:start w:w="100" w:type="dxa"/>
              <w:bottom w:w="65" w:type="dxa"/>
              <w:end w:w="100" w:type="dxa"/>
            </w:tcMar>
            <w:shd w:fill="F4F8FA"/>
          </w:tcPr>
          <w:p>
            <w:pPr>
              <w:spacing w:after="0" w:line="240" w:lineRule="auto"/>
            </w:pPr>
            <w:r>
              <w:rPr>
                <w:b w:val="0"/>
                <w:color w:val="222B32"/>
                <w:sz w:val="16"/>
              </w:rPr>
              <w:t>Recovery, all records</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34.9020</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30.3059</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31.6042</w:t>
            </w:r>
          </w:p>
        </w:tc>
      </w:tr>
      <w:tr>
        <w:trPr>
          <w:cantSplit/>
        </w:trPr>
        <w:tc>
          <w:tcPr>
            <w:tcW w:type="dxa" w:w="4000"/>
            <w:vAlign w:val="center"/>
            <w:tcMar>
              <w:top w:w="65" w:type="dxa"/>
              <w:start w:w="100" w:type="dxa"/>
              <w:bottom w:w="65" w:type="dxa"/>
              <w:end w:w="100" w:type="dxa"/>
            </w:tcMar>
          </w:tcPr>
          <w:p>
            <w:pPr>
              <w:spacing w:after="0" w:line="240" w:lineRule="auto"/>
            </w:pPr>
            <w:r>
              <w:rPr>
                <w:b w:val="0"/>
                <w:color w:val="222B32"/>
                <w:sz w:val="16"/>
              </w:rPr>
              <w:t>Pump, filtered</w:t>
            </w:r>
          </w:p>
        </w:tc>
        <w:tc>
          <w:tcPr>
            <w:tcW w:type="dxa" w:w="2000"/>
            <w:vAlign w:val="center"/>
            <w:tcMar>
              <w:top w:w="65" w:type="dxa"/>
              <w:start w:w="100" w:type="dxa"/>
              <w:bottom w:w="65" w:type="dxa"/>
              <w:end w:w="100" w:type="dxa"/>
            </w:tcMar>
          </w:tcPr>
          <w:p>
            <w:pPr>
              <w:spacing w:after="0" w:line="240" w:lineRule="auto"/>
            </w:pPr>
            <w:r>
              <w:rPr>
                <w:b w:val="0"/>
                <w:color w:val="222B32"/>
                <w:sz w:val="16"/>
              </w:rPr>
              <w:t>10.7330</w:t>
            </w:r>
          </w:p>
        </w:tc>
        <w:tc>
          <w:tcPr>
            <w:tcW w:type="dxa" w:w="2000"/>
            <w:vAlign w:val="center"/>
            <w:tcMar>
              <w:top w:w="65" w:type="dxa"/>
              <w:start w:w="100" w:type="dxa"/>
              <w:bottom w:w="65" w:type="dxa"/>
              <w:end w:w="100" w:type="dxa"/>
            </w:tcMar>
          </w:tcPr>
          <w:p>
            <w:pPr>
              <w:spacing w:after="0" w:line="240" w:lineRule="auto"/>
            </w:pPr>
            <w:r>
              <w:rPr>
                <w:b w:val="0"/>
                <w:color w:val="222B32"/>
                <w:sz w:val="16"/>
              </w:rPr>
              <w:t>—</w:t>
            </w:r>
          </w:p>
        </w:tc>
        <w:tc>
          <w:tcPr>
            <w:tcW w:type="dxa" w:w="2000"/>
            <w:vAlign w:val="center"/>
            <w:tcMar>
              <w:top w:w="65" w:type="dxa"/>
              <w:start w:w="100" w:type="dxa"/>
              <w:bottom w:w="65" w:type="dxa"/>
              <w:end w:w="100" w:type="dxa"/>
            </w:tcMar>
          </w:tcPr>
          <w:p>
            <w:pPr>
              <w:spacing w:after="0" w:line="240" w:lineRule="auto"/>
            </w:pPr>
            <w:r>
              <w:rPr>
                <w:b w:val="0"/>
                <w:color w:val="222B32"/>
                <w:sz w:val="16"/>
              </w:rPr>
              <w:t>10.5095</w:t>
            </w:r>
          </w:p>
        </w:tc>
      </w:tr>
    </w:tbl>
    <w:p>
      <w:pPr>
        <w:spacing w:after="0"/>
      </w:pPr>
    </w:p>
    <w:p>
      <w:r>
        <w:rPr>
          <w:b w:val="0"/>
        </w:rPr>
        <w:t>The later robust hierarchical ensemble reached 8.953 m for screened pump transitions and 7.088 m for screened recovery transitions.</w:t>
      </w:r>
    </w:p>
    <w:p>
      <w:pPr>
        <w:pStyle w:val="Heading2"/>
        <w:pageBreakBefore w:val="0"/>
      </w:pPr>
      <w:r>
        <w:rPr>
          <w:b/>
        </w:rPr>
        <w:t>10.6 Holdout reliability tier used in the offline evaluation</w:t>
      </w:r>
    </w:p>
    <w:p>
      <w:r>
        <w:rPr>
          <w:b w:val="0"/>
        </w:rPr>
        <w:t>Before predicting a holdout record, a well was labeled:</w:t>
      </w:r>
    </w:p>
    <w:p>
      <w:pPr>
        <w:pStyle w:val="ListBullet"/>
      </w:pPr>
      <w:r>
        <w:rPr>
          <w:b w:val="0"/>
        </w:rPr>
        <w:t>higher: at least 10 earlier records and earlier pass rate at least 0.8;</w:t>
      </w:r>
    </w:p>
    <w:p>
      <w:pPr>
        <w:pStyle w:val="ListBullet"/>
      </w:pPr>
      <w:r>
        <w:rPr>
          <w:b w:val="0"/>
        </w:rPr>
        <w:t>medium: at least 5 earlier records and pass rate at least 0.6;</w:t>
      </w:r>
    </w:p>
    <w:p>
      <w:pPr>
        <w:pStyle w:val="ListBullet"/>
      </w:pPr>
      <w:r>
        <w:rPr>
          <w:b w:val="0"/>
        </w:rPr>
        <w:t>low: otherwise.</w:t>
      </w:r>
    </w:p>
    <w:p>
      <w:r>
        <w:rPr>
          <w:b w:val="0"/>
        </w:rPr>
        <w:t>For the higher-reliability subset, all-record endpoint results were:</w:t>
      </w:r>
    </w:p>
    <w:tbl>
      <w:tblPr>
        <w:tblStyle w:val="TableGrid"/>
        <w:tblW w:type="auto" w:w="0"/>
        <w:jc w:val="center"/>
        <w:tblLayout w:type="fixed"/>
        <w:tblLook w:firstColumn="1" w:firstRow="1" w:lastColumn="0" w:lastRow="0" w:noHBand="0" w:noVBand="1" w:val="04A0"/>
        <w:tblBorders>
          <w:top w:val="single" w:sz="4" w:color="D8E0E5"/>
          <w:left w:val="single" w:sz="4" w:color="D8E0E5"/>
          <w:bottom w:val="single" w:sz="4" w:color="D8E0E5"/>
          <w:right w:val="single" w:sz="4" w:color="D8E0E5"/>
          <w:insideH w:val="single" w:sz="4" w:color="D8E0E5"/>
          <w:insideV w:val="single" w:sz="4" w:color="D8E0E5"/>
        </w:tblBorders>
      </w:tblPr>
      <w:tblGrid>
        <w:gridCol w:w="1682"/>
        <w:gridCol w:w="1682"/>
        <w:gridCol w:w="1682"/>
        <w:gridCol w:w="1682"/>
        <w:gridCol w:w="1682"/>
        <w:gridCol w:w="1682"/>
      </w:tblGrid>
      <w:tr>
        <w:trPr>
          <w:cantSplit/>
          <w:tblHeader w:val="true"/>
        </w:trPr>
        <w:tc>
          <w:tcPr>
            <w:tcW w:type="dxa" w:w="2600"/>
            <w:vAlign w:val="center"/>
            <w:tcMar>
              <w:top w:w="65" w:type="dxa"/>
              <w:start w:w="100" w:type="dxa"/>
              <w:bottom w:w="65" w:type="dxa"/>
              <w:end w:w="100" w:type="dxa"/>
            </w:tcMar>
            <w:shd w:fill="17324D"/>
          </w:tcPr>
          <w:p>
            <w:pPr>
              <w:spacing w:after="0" w:line="240" w:lineRule="auto"/>
            </w:pPr>
            <w:r>
              <w:rPr>
                <w:b/>
                <w:color w:val="FFFFFF"/>
                <w:sz w:val="15"/>
              </w:rPr>
              <w:t>Target</w:t>
            </w:r>
          </w:p>
        </w:tc>
        <w:tc>
          <w:tcPr>
            <w:tcW w:type="dxa" w:w="1480"/>
            <w:vAlign w:val="center"/>
            <w:tcMar>
              <w:top w:w="65" w:type="dxa"/>
              <w:start w:w="100" w:type="dxa"/>
              <w:bottom w:w="65" w:type="dxa"/>
              <w:end w:w="100" w:type="dxa"/>
            </w:tcMar>
            <w:shd w:fill="17324D"/>
          </w:tcPr>
          <w:p>
            <w:pPr>
              <w:spacing w:after="0" w:line="240" w:lineRule="auto"/>
            </w:pPr>
            <w:r>
              <w:rPr>
                <w:b/>
                <w:color w:val="FFFFFF"/>
                <w:sz w:val="15"/>
              </w:rPr>
              <w:t>n</w:t>
            </w:r>
          </w:p>
        </w:tc>
        <w:tc>
          <w:tcPr>
            <w:tcW w:type="dxa" w:w="1480"/>
            <w:vAlign w:val="center"/>
            <w:tcMar>
              <w:top w:w="65" w:type="dxa"/>
              <w:start w:w="100" w:type="dxa"/>
              <w:bottom w:w="65" w:type="dxa"/>
              <w:end w:w="100" w:type="dxa"/>
            </w:tcMar>
            <w:shd w:fill="17324D"/>
          </w:tcPr>
          <w:p>
            <w:pPr>
              <w:spacing w:after="0" w:line="240" w:lineRule="auto"/>
            </w:pPr>
            <w:r>
              <w:rPr>
                <w:b/>
                <w:color w:val="FFFFFF"/>
                <w:sz w:val="15"/>
              </w:rPr>
              <w:t>MAE, m</w:t>
            </w:r>
          </w:p>
        </w:tc>
        <w:tc>
          <w:tcPr>
            <w:tcW w:type="dxa" w:w="1480"/>
            <w:vAlign w:val="center"/>
            <w:tcMar>
              <w:top w:w="65" w:type="dxa"/>
              <w:start w:w="100" w:type="dxa"/>
              <w:bottom w:w="65" w:type="dxa"/>
              <w:end w:w="100" w:type="dxa"/>
            </w:tcMar>
            <w:shd w:fill="17324D"/>
          </w:tcPr>
          <w:p>
            <w:pPr>
              <w:spacing w:after="0" w:line="240" w:lineRule="auto"/>
            </w:pPr>
            <w:r>
              <w:rPr>
                <w:b/>
                <w:color w:val="FFFFFF"/>
                <w:sz w:val="15"/>
              </w:rPr>
              <w:t>Median AE, m</w:t>
            </w:r>
          </w:p>
        </w:tc>
        <w:tc>
          <w:tcPr>
            <w:tcW w:type="dxa" w:w="1480"/>
            <w:vAlign w:val="center"/>
            <w:tcMar>
              <w:top w:w="65" w:type="dxa"/>
              <w:start w:w="100" w:type="dxa"/>
              <w:bottom w:w="65" w:type="dxa"/>
              <w:end w:w="100" w:type="dxa"/>
            </w:tcMar>
            <w:shd w:fill="17324D"/>
          </w:tcPr>
          <w:p>
            <w:pPr>
              <w:spacing w:after="0" w:line="240" w:lineRule="auto"/>
            </w:pPr>
            <w:r>
              <w:rPr>
                <w:b/>
                <w:color w:val="FFFFFF"/>
                <w:sz w:val="15"/>
              </w:rPr>
              <w:t>RMSE, m</w:t>
            </w:r>
          </w:p>
        </w:tc>
        <w:tc>
          <w:tcPr>
            <w:tcW w:type="dxa" w:w="1480"/>
            <w:vAlign w:val="center"/>
            <w:tcMar>
              <w:top w:w="65" w:type="dxa"/>
              <w:start w:w="100" w:type="dxa"/>
              <w:bottom w:w="65" w:type="dxa"/>
              <w:end w:w="100" w:type="dxa"/>
            </w:tcMar>
            <w:shd w:fill="17324D"/>
          </w:tcPr>
          <w:p>
            <w:pPr>
              <w:spacing w:after="0" w:line="240" w:lineRule="auto"/>
            </w:pPr>
            <w:r>
              <w:rPr>
                <w:b/>
                <w:color w:val="FFFFFF"/>
                <w:sz w:val="15"/>
              </w:rPr>
              <w:t>R^2</w:t>
            </w:r>
          </w:p>
        </w:tc>
      </w:tr>
      <w:tr>
        <w:trPr>
          <w:cantSplit/>
        </w:trPr>
        <w:tc>
          <w:tcPr>
            <w:tcW w:type="dxa" w:w="2600"/>
            <w:vAlign w:val="center"/>
            <w:tcMar>
              <w:top w:w="65" w:type="dxa"/>
              <w:start w:w="100" w:type="dxa"/>
              <w:bottom w:w="65" w:type="dxa"/>
              <w:end w:w="100" w:type="dxa"/>
            </w:tcMar>
          </w:tcPr>
          <w:p>
            <w:pPr>
              <w:spacing w:after="0" w:line="240" w:lineRule="auto"/>
            </w:pPr>
            <w:r>
              <w:rPr>
                <w:b w:val="0"/>
                <w:color w:val="222B32"/>
                <w:sz w:val="15"/>
              </w:rPr>
              <w:t>Pump</w:t>
            </w:r>
          </w:p>
        </w:tc>
        <w:tc>
          <w:tcPr>
            <w:tcW w:type="dxa" w:w="1480"/>
            <w:vAlign w:val="center"/>
            <w:tcMar>
              <w:top w:w="65" w:type="dxa"/>
              <w:start w:w="100" w:type="dxa"/>
              <w:bottom w:w="65" w:type="dxa"/>
              <w:end w:w="100" w:type="dxa"/>
            </w:tcMar>
          </w:tcPr>
          <w:p>
            <w:pPr>
              <w:spacing w:after="0" w:line="240" w:lineRule="auto"/>
            </w:pPr>
            <w:r>
              <w:rPr>
                <w:b w:val="0"/>
                <w:color w:val="222B32"/>
                <w:sz w:val="15"/>
              </w:rPr>
              <w:t>1,018</w:t>
            </w:r>
          </w:p>
        </w:tc>
        <w:tc>
          <w:tcPr>
            <w:tcW w:type="dxa" w:w="1480"/>
            <w:vAlign w:val="center"/>
            <w:tcMar>
              <w:top w:w="65" w:type="dxa"/>
              <w:start w:w="100" w:type="dxa"/>
              <w:bottom w:w="65" w:type="dxa"/>
              <w:end w:w="100" w:type="dxa"/>
            </w:tcMar>
          </w:tcPr>
          <w:p>
            <w:pPr>
              <w:spacing w:after="0" w:line="240" w:lineRule="auto"/>
            </w:pPr>
            <w:r>
              <w:rPr>
                <w:b w:val="0"/>
                <w:color w:val="222B32"/>
                <w:sz w:val="15"/>
              </w:rPr>
              <w:t>13.1444</w:t>
            </w:r>
          </w:p>
        </w:tc>
        <w:tc>
          <w:tcPr>
            <w:tcW w:type="dxa" w:w="1480"/>
            <w:vAlign w:val="center"/>
            <w:tcMar>
              <w:top w:w="65" w:type="dxa"/>
              <w:start w:w="100" w:type="dxa"/>
              <w:bottom w:w="65" w:type="dxa"/>
              <w:end w:w="100" w:type="dxa"/>
            </w:tcMar>
          </w:tcPr>
          <w:p>
            <w:pPr>
              <w:spacing w:after="0" w:line="240" w:lineRule="auto"/>
            </w:pPr>
            <w:r>
              <w:rPr>
                <w:b w:val="0"/>
                <w:color w:val="222B32"/>
                <w:sz w:val="15"/>
              </w:rPr>
              <w:t>4.2056</w:t>
            </w:r>
          </w:p>
        </w:tc>
        <w:tc>
          <w:tcPr>
            <w:tcW w:type="dxa" w:w="1480"/>
            <w:vAlign w:val="center"/>
            <w:tcMar>
              <w:top w:w="65" w:type="dxa"/>
              <w:start w:w="100" w:type="dxa"/>
              <w:bottom w:w="65" w:type="dxa"/>
              <w:end w:w="100" w:type="dxa"/>
            </w:tcMar>
          </w:tcPr>
          <w:p>
            <w:pPr>
              <w:spacing w:after="0" w:line="240" w:lineRule="auto"/>
            </w:pPr>
            <w:r>
              <w:rPr>
                <w:b w:val="0"/>
                <w:color w:val="222B32"/>
                <w:sz w:val="15"/>
              </w:rPr>
              <w:t>34.7171</w:t>
            </w:r>
          </w:p>
        </w:tc>
        <w:tc>
          <w:tcPr>
            <w:tcW w:type="dxa" w:w="1480"/>
            <w:vAlign w:val="center"/>
            <w:tcMar>
              <w:top w:w="65" w:type="dxa"/>
              <w:start w:w="100" w:type="dxa"/>
              <w:bottom w:w="65" w:type="dxa"/>
              <w:end w:w="100" w:type="dxa"/>
            </w:tcMar>
          </w:tcPr>
          <w:p>
            <w:pPr>
              <w:spacing w:after="0" w:line="240" w:lineRule="auto"/>
            </w:pPr>
            <w:r>
              <w:rPr>
                <w:b w:val="0"/>
                <w:color w:val="222B32"/>
                <w:sz w:val="15"/>
              </w:rPr>
              <w:t>0.5272</w:t>
            </w:r>
          </w:p>
        </w:tc>
      </w:tr>
      <w:tr>
        <w:trPr>
          <w:cantSplit/>
        </w:trPr>
        <w:tc>
          <w:tcPr>
            <w:tcW w:type="dxa" w:w="2600"/>
            <w:vAlign w:val="center"/>
            <w:tcMar>
              <w:top w:w="65" w:type="dxa"/>
              <w:start w:w="100" w:type="dxa"/>
              <w:bottom w:w="65" w:type="dxa"/>
              <w:end w:w="100" w:type="dxa"/>
            </w:tcMar>
            <w:shd w:fill="F4F8FA"/>
          </w:tcPr>
          <w:p>
            <w:pPr>
              <w:spacing w:after="0" w:line="240" w:lineRule="auto"/>
            </w:pPr>
            <w:r>
              <w:rPr>
                <w:b w:val="0"/>
                <w:color w:val="222B32"/>
                <w:sz w:val="15"/>
              </w:rPr>
              <w:t>Recovery</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656</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9.8474</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3.1431</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27.2664</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0.6716</w:t>
            </w:r>
          </w:p>
        </w:tc>
      </w:tr>
    </w:tbl>
    <w:p>
      <w:pPr>
        <w:spacing w:after="0"/>
      </w:pPr>
    </w:p>
    <w:p>
      <w:r>
        <w:rPr>
          <w:b w:val="0"/>
        </w:rPr>
        <w:t>The “higher” label predicts stronger data support and pass history; it does not guarantee lower MAE in every subgroup. Extreme errors can increase the mean while the median remains much smaller.</w:t>
      </w:r>
    </w:p>
    <w:p>
      <w:pPr>
        <w:pStyle w:val="Heading1"/>
        <w:pageBreakBefore w:val="0"/>
      </w:pPr>
      <w:r>
        <w:rPr>
          <w:b/>
        </w:rPr>
        <w:t>11. Per-well stability model</w:t>
      </w:r>
    </w:p>
    <w:p>
      <w:r>
        <w:rPr>
          <w:b w:val="0"/>
        </w:rPr>
        <w:t>This model summarizes longer movement within the 15-day record. It is separate from the robust pump and recovery transition regressions.</w:t>
      </w:r>
    </w:p>
    <w:p>
      <w:pPr>
        <w:pStyle w:val="Heading2"/>
        <w:pageBreakBefore w:val="0"/>
      </w:pPr>
      <w:r>
        <w:rPr>
          <w:b/>
        </w:rPr>
        <w:t>11.1 Daily series</w:t>
      </w:r>
    </w:p>
    <w:p>
      <w:r>
        <w:rPr>
          <w:b w:val="0"/>
        </w:rPr>
        <w:t>For each well and each calendar day, take the median start water-level depth among usable sessions. Let the result be (d_j,h_j).</w:t>
      </w:r>
    </w:p>
    <w:p>
      <w:pPr>
        <w:pStyle w:val="Heading2"/>
        <w:pageBreakBefore w:val="0"/>
      </w:pPr>
      <w:r>
        <w:rPr>
          <w:b/>
        </w:rPr>
        <w:t>11.2 Theil–Sen slope</w:t>
      </w:r>
    </w:p>
    <w:p>
      <w:r>
        <w:rPr>
          <w:b w:val="0"/>
        </w:rPr>
        <w:t>For wells with at least three daily points, calculate every pairwise slope:</w:t>
      </w:r>
    </w:p>
    <w:p>
      <w:pPr>
        <w:pStyle w:val="EquationDisplay"/>
      </w:pPr>
      <w:r>
        <w:drawing>
          <wp:inline xmlns:a="http://schemas.openxmlformats.org/drawingml/2006/main" xmlns:pic="http://schemas.openxmlformats.org/drawingml/2006/picture">
            <wp:extent cx="1470406" cy="317445"/>
            <wp:docPr id="34" name="Picture 34" descr="s_{ab}=\frac{h_b-h_a}{d_b-d_a},\quad b&gt;a."/>
            <wp:cNvGraphicFramePr>
              <a:graphicFrameLocks noChangeAspect="1"/>
            </wp:cNvGraphicFramePr>
            <a:graphic>
              <a:graphicData uri="http://schemas.openxmlformats.org/drawingml/2006/picture">
                <pic:pic>
                  <pic:nvPicPr>
                    <pic:cNvPr id="0" name="2210c5f46e57a3e7.png"/>
                    <pic:cNvPicPr/>
                  </pic:nvPicPr>
                  <pic:blipFill>
                    <a:blip r:embed="rId49"/>
                    <a:stretch>
                      <a:fillRect/>
                    </a:stretch>
                  </pic:blipFill>
                  <pic:spPr>
                    <a:xfrm>
                      <a:off x="0" y="0"/>
                      <a:ext cx="1470406" cy="317445"/>
                    </a:xfrm>
                    <a:prstGeom prst="rect"/>
                  </pic:spPr>
                </pic:pic>
              </a:graphicData>
            </a:graphic>
          </wp:inline>
        </w:drawing>
      </w:r>
    </w:p>
    <w:p>
      <w:r>
        <w:rPr>
          <w:b w:val="0"/>
        </w:rPr>
        <w:t>The well slope is the median:</w:t>
      </w:r>
    </w:p>
    <w:p>
      <w:pPr>
        <w:pStyle w:val="EquationDisplay"/>
      </w:pPr>
      <w:r>
        <w:drawing>
          <wp:inline xmlns:a="http://schemas.openxmlformats.org/drawingml/2006/main" xmlns:pic="http://schemas.openxmlformats.org/drawingml/2006/picture">
            <wp:extent cx="1113853" cy="143518"/>
            <wp:docPr id="35" name="Picture 35" descr="s_i=median(s_{ab})."/>
            <wp:cNvGraphicFramePr>
              <a:graphicFrameLocks noChangeAspect="1"/>
            </wp:cNvGraphicFramePr>
            <a:graphic>
              <a:graphicData uri="http://schemas.openxmlformats.org/drawingml/2006/picture">
                <pic:pic>
                  <pic:nvPicPr>
                    <pic:cNvPr id="0" name="4aca4adaa242a52a.png"/>
                    <pic:cNvPicPr/>
                  </pic:nvPicPr>
                  <pic:blipFill>
                    <a:blip r:embed="rId50"/>
                    <a:stretch>
                      <a:fillRect/>
                    </a:stretch>
                  </pic:blipFill>
                  <pic:spPr>
                    <a:xfrm>
                      <a:off x="0" y="0"/>
                      <a:ext cx="1113853" cy="143518"/>
                    </a:xfrm>
                    <a:prstGeom prst="rect"/>
                  </pic:spPr>
                </pic:pic>
              </a:graphicData>
            </a:graphic>
          </wp:inline>
        </w:drawing>
      </w:r>
    </w:p>
    <w:p>
      <w:r>
        <w:rPr>
          <w:b w:val="0"/>
        </w:rPr>
        <w:t>The intercept is</w:t>
      </w:r>
    </w:p>
    <w:p>
      <w:pPr>
        <w:pStyle w:val="EquationDisplay"/>
      </w:pPr>
      <w:r>
        <w:drawing>
          <wp:inline xmlns:a="http://schemas.openxmlformats.org/drawingml/2006/main" xmlns:pic="http://schemas.openxmlformats.org/drawingml/2006/picture">
            <wp:extent cx="1500822" cy="149828"/>
            <wp:docPr id="36" name="Picture 36" descr="a_i=median(h_j-s_i d_j)."/>
            <wp:cNvGraphicFramePr>
              <a:graphicFrameLocks noChangeAspect="1"/>
            </wp:cNvGraphicFramePr>
            <a:graphic>
              <a:graphicData uri="http://schemas.openxmlformats.org/drawingml/2006/picture">
                <pic:pic>
                  <pic:nvPicPr>
                    <pic:cNvPr id="0" name="803e50bd8ac19d03.png"/>
                    <pic:cNvPicPr/>
                  </pic:nvPicPr>
                  <pic:blipFill>
                    <a:blip r:embed="rId51"/>
                    <a:stretch>
                      <a:fillRect/>
                    </a:stretch>
                  </pic:blipFill>
                  <pic:spPr>
                    <a:xfrm>
                      <a:off x="0" y="0"/>
                      <a:ext cx="1500822" cy="149828"/>
                    </a:xfrm>
                    <a:prstGeom prst="rect"/>
                  </pic:spPr>
                </pic:pic>
              </a:graphicData>
            </a:graphic>
          </wp:inline>
        </w:drawing>
      </w:r>
    </w:p>
    <w:p>
      <w:r>
        <w:rPr>
          <w:b w:val="0"/>
        </w:rPr>
        <w:t>The residual noise estimate is</w:t>
      </w:r>
    </w:p>
    <w:p>
      <w:pPr>
        <w:pStyle w:val="EquationDisplay"/>
      </w:pPr>
      <w:r>
        <w:drawing>
          <wp:inline xmlns:a="http://schemas.openxmlformats.org/drawingml/2006/main" xmlns:pic="http://schemas.openxmlformats.org/drawingml/2006/picture">
            <wp:extent cx="4052697" cy="172725"/>
            <wp:docPr id="37" name="Picture 37" descr="\sigma_i^{rob}=1.4826\;median(|(h_j-a_i-s_i d_j)-median(h-a_i-s_i d)|)."/>
            <wp:cNvGraphicFramePr>
              <a:graphicFrameLocks noChangeAspect="1"/>
            </wp:cNvGraphicFramePr>
            <a:graphic>
              <a:graphicData uri="http://schemas.openxmlformats.org/drawingml/2006/picture">
                <pic:pic>
                  <pic:nvPicPr>
                    <pic:cNvPr id="0" name="19058221a6e8ba20.png"/>
                    <pic:cNvPicPr/>
                  </pic:nvPicPr>
                  <pic:blipFill>
                    <a:blip r:embed="rId52"/>
                    <a:stretch>
                      <a:fillRect/>
                    </a:stretch>
                  </pic:blipFill>
                  <pic:spPr>
                    <a:xfrm>
                      <a:off x="0" y="0"/>
                      <a:ext cx="4052697" cy="172725"/>
                    </a:xfrm>
                    <a:prstGeom prst="rect"/>
                  </pic:spPr>
                </pic:pic>
              </a:graphicData>
            </a:graphic>
          </wp:inline>
        </w:drawing>
      </w:r>
    </w:p>
    <w:p>
      <w:r>
        <w:rPr>
          <w:b w:val="0"/>
        </w:rPr>
        <w:t>Theil–Sen is used because it is less sensitive than ordinary least squares to a few extreme daily values.</w:t>
      </w:r>
    </w:p>
    <w:p>
      <w:pPr>
        <w:pStyle w:val="Heading2"/>
        <w:pageBreakBefore w:val="0"/>
      </w:pPr>
      <w:r>
        <w:rPr>
          <w:b/>
        </w:rPr>
        <w:t>11.3 Slope shrinkage</w:t>
      </w:r>
    </w:p>
    <w:p>
      <w:r>
        <w:rPr>
          <w:b w:val="0"/>
        </w:rPr>
        <w:t>Let s_F be the fleet median slope and n_i^(day) the well’s number of usable daily medians. Define</w:t>
      </w:r>
    </w:p>
    <w:p>
      <w:pPr>
        <w:pStyle w:val="EquationDisplay"/>
      </w:pPr>
      <w:r>
        <w:drawing>
          <wp:inline xmlns:a="http://schemas.openxmlformats.org/drawingml/2006/main" xmlns:pic="http://schemas.openxmlformats.org/drawingml/2006/picture">
            <wp:extent cx="933005" cy="431594"/>
            <wp:docPr id="38" name="Picture 38" descr="\omega_i=\frac{n_i^{day}}{n_i^{day}+5}."/>
            <wp:cNvGraphicFramePr>
              <a:graphicFrameLocks noChangeAspect="1"/>
            </wp:cNvGraphicFramePr>
            <a:graphic>
              <a:graphicData uri="http://schemas.openxmlformats.org/drawingml/2006/picture">
                <pic:pic>
                  <pic:nvPicPr>
                    <pic:cNvPr id="0" name="113cd80d1a5d08c1.png"/>
                    <pic:cNvPicPr/>
                  </pic:nvPicPr>
                  <pic:blipFill>
                    <a:blip r:embed="rId53"/>
                    <a:stretch>
                      <a:fillRect/>
                    </a:stretch>
                  </pic:blipFill>
                  <pic:spPr>
                    <a:xfrm>
                      <a:off x="0" y="0"/>
                      <a:ext cx="933005" cy="431594"/>
                    </a:xfrm>
                    <a:prstGeom prst="rect"/>
                  </pic:spPr>
                </pic:pic>
              </a:graphicData>
            </a:graphic>
          </wp:inline>
        </w:drawing>
      </w:r>
    </w:p>
    <w:p>
      <w:r>
        <w:rPr>
          <w:b w:val="0"/>
        </w:rPr>
        <w:t>Then</w:t>
      </w:r>
    </w:p>
    <w:p>
      <w:pPr>
        <w:pStyle w:val="EquationDisplay"/>
      </w:pPr>
      <w:r>
        <w:drawing>
          <wp:inline xmlns:a="http://schemas.openxmlformats.org/drawingml/2006/main" xmlns:pic="http://schemas.openxmlformats.org/drawingml/2006/picture">
            <wp:extent cx="1423098" cy="143452"/>
            <wp:docPr id="39" name="Picture 39" descr="\tilde s_i=\omega_i s_i+(1-\omega_i)s_F."/>
            <wp:cNvGraphicFramePr>
              <a:graphicFrameLocks noChangeAspect="1"/>
            </wp:cNvGraphicFramePr>
            <a:graphic>
              <a:graphicData uri="http://schemas.openxmlformats.org/drawingml/2006/picture">
                <pic:pic>
                  <pic:nvPicPr>
                    <pic:cNvPr id="0" name="678b9998675aa6be.png"/>
                    <pic:cNvPicPr/>
                  </pic:nvPicPr>
                  <pic:blipFill>
                    <a:blip r:embed="rId54"/>
                    <a:stretch>
                      <a:fillRect/>
                    </a:stretch>
                  </pic:blipFill>
                  <pic:spPr>
                    <a:xfrm>
                      <a:off x="0" y="0"/>
                      <a:ext cx="1423098" cy="143452"/>
                    </a:xfrm>
                    <a:prstGeom prst="rect"/>
                  </pic:spPr>
                </pic:pic>
              </a:graphicData>
            </a:graphic>
          </wp:inline>
        </w:drawing>
      </w:r>
    </w:p>
    <w:p>
      <w:r>
        <w:rPr>
          <w:b w:val="0"/>
        </w:rPr>
        <w:t>If a well cannot produce its own slope, it uses s_F.</w:t>
      </w:r>
    </w:p>
    <w:p>
      <w:pPr>
        <w:pStyle w:val="Heading2"/>
        <w:pageBreakBefore w:val="0"/>
      </w:pPr>
      <w:r>
        <w:rPr>
          <w:b/>
        </w:rPr>
        <w:t>11.4 Stability labels</w:t>
      </w:r>
    </w:p>
    <w:p>
      <w:r>
        <w:rPr>
          <w:b w:val="0"/>
        </w:rPr>
        <w:t>Let m_i^(cycle) be the median full-cycle change. A well is labeled:</w:t>
      </w:r>
    </w:p>
    <w:p>
      <w:pPr>
        <w:pStyle w:val="ListBullet"/>
      </w:pPr>
      <w:r>
        <w:rPr>
          <w:b w:val="0"/>
        </w:rPr>
        <w:t>insufficient data: fewer than 5 usable cycle transitions or fewer than 5 active days;</w:t>
      </w:r>
    </w:p>
    <w:p>
      <w:pPr>
        <w:pStyle w:val="ListBullet"/>
      </w:pPr>
      <w:r>
        <w:rPr>
          <w:b w:val="0"/>
        </w:rPr>
        <w:t>stable or recovering: s_i≤0 and m_i^(cycle)≤0;</w:t>
      </w:r>
    </w:p>
    <w:p>
      <w:pPr>
        <w:pStyle w:val="ListBullet"/>
      </w:pPr>
      <w:r>
        <w:rPr>
          <w:b w:val="0"/>
        </w:rPr>
        <w:t>declining: s_i&gt;0 and m_i^(cycle)&gt;0;</w:t>
      </w:r>
    </w:p>
    <w:p>
      <w:pPr>
        <w:pStyle w:val="ListBullet"/>
      </w:pPr>
      <w:r>
        <w:rPr>
          <w:b w:val="0"/>
        </w:rPr>
        <w:t>mixed: all other sign combinations.</w:t>
      </w:r>
    </w:p>
    <w:p>
      <w:r>
        <w:rPr>
          <w:b w:val="0"/>
        </w:rPr>
        <w:t>Counts across 579 wells:</w:t>
      </w:r>
    </w:p>
    <w:tbl>
      <w:tblPr>
        <w:tblStyle w:val="TableGrid"/>
        <w:tblW w:type="auto" w:w="0"/>
        <w:jc w:val="center"/>
        <w:tblLayout w:type="fixed"/>
        <w:tblLook w:firstColumn="1" w:firstRow="1" w:lastColumn="0" w:lastRow="0" w:noHBand="0" w:noVBand="1" w:val="04A0"/>
        <w:tblBorders>
          <w:top w:val="single" w:sz="4" w:color="D8E0E5"/>
          <w:left w:val="single" w:sz="4" w:color="D8E0E5"/>
          <w:bottom w:val="single" w:sz="4" w:color="D8E0E5"/>
          <w:right w:val="single" w:sz="4" w:color="D8E0E5"/>
          <w:insideH w:val="single" w:sz="4" w:color="D8E0E5"/>
          <w:insideV w:val="single" w:sz="4" w:color="D8E0E5"/>
        </w:tblBorders>
      </w:tblPr>
      <w:tblGrid>
        <w:gridCol w:w="5046"/>
        <w:gridCol w:w="5046"/>
      </w:tblGrid>
      <w:tr>
        <w:trPr>
          <w:cantSplit/>
          <w:tblHeader w:val="true"/>
        </w:trPr>
        <w:tc>
          <w:tcPr>
            <w:tcW w:type="dxa" w:w="3600"/>
            <w:vAlign w:val="center"/>
            <w:tcMar>
              <w:top w:w="65" w:type="dxa"/>
              <w:start w:w="100" w:type="dxa"/>
              <w:bottom w:w="65" w:type="dxa"/>
              <w:end w:w="100" w:type="dxa"/>
            </w:tcMar>
            <w:shd w:fill="17324D"/>
          </w:tcPr>
          <w:p>
            <w:pPr>
              <w:spacing w:after="0" w:line="240" w:lineRule="auto"/>
            </w:pPr>
            <w:r>
              <w:rPr>
                <w:b/>
                <w:color w:val="FFFFFF"/>
                <w:sz w:val="16"/>
              </w:rPr>
              <w:t>Stability label</w:t>
            </w:r>
          </w:p>
        </w:tc>
        <w:tc>
          <w:tcPr>
            <w:tcW w:type="dxa" w:w="6400"/>
            <w:vAlign w:val="center"/>
            <w:tcMar>
              <w:top w:w="65" w:type="dxa"/>
              <w:start w:w="100" w:type="dxa"/>
              <w:bottom w:w="65" w:type="dxa"/>
              <w:end w:w="100" w:type="dxa"/>
            </w:tcMar>
            <w:shd w:fill="17324D"/>
          </w:tcPr>
          <w:p>
            <w:pPr>
              <w:spacing w:after="0" w:line="240" w:lineRule="auto"/>
            </w:pPr>
            <w:r>
              <w:rPr>
                <w:b/>
                <w:color w:val="FFFFFF"/>
                <w:sz w:val="16"/>
              </w:rPr>
              <w:t>Wells</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Stable or recovering</w:t>
            </w:r>
          </w:p>
        </w:tc>
        <w:tc>
          <w:tcPr>
            <w:tcW w:type="dxa" w:w="6400"/>
            <w:vAlign w:val="center"/>
            <w:tcMar>
              <w:top w:w="65" w:type="dxa"/>
              <w:start w:w="100" w:type="dxa"/>
              <w:bottom w:w="65" w:type="dxa"/>
              <w:end w:w="100" w:type="dxa"/>
            </w:tcMar>
          </w:tcPr>
          <w:p>
            <w:pPr>
              <w:spacing w:after="0" w:line="240" w:lineRule="auto"/>
            </w:pPr>
            <w:r>
              <w:rPr>
                <w:b w:val="0"/>
                <w:color w:val="222B32"/>
                <w:sz w:val="16"/>
              </w:rPr>
              <w:t>82</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Declining</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116</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Mixed</w:t>
            </w:r>
          </w:p>
        </w:tc>
        <w:tc>
          <w:tcPr>
            <w:tcW w:type="dxa" w:w="6400"/>
            <w:vAlign w:val="center"/>
            <w:tcMar>
              <w:top w:w="65" w:type="dxa"/>
              <w:start w:w="100" w:type="dxa"/>
              <w:bottom w:w="65" w:type="dxa"/>
              <w:end w:w="100" w:type="dxa"/>
            </w:tcMar>
          </w:tcPr>
          <w:p>
            <w:pPr>
              <w:spacing w:after="0" w:line="240" w:lineRule="auto"/>
            </w:pPr>
            <w:r>
              <w:rPr>
                <w:b w:val="0"/>
                <w:color w:val="222B32"/>
                <w:sz w:val="16"/>
              </w:rPr>
              <w:t>133</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Insufficient data</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248</w:t>
            </w:r>
          </w:p>
        </w:tc>
      </w:tr>
    </w:tbl>
    <w:p>
      <w:pPr>
        <w:spacing w:after="0"/>
      </w:pPr>
    </w:p>
    <w:p>
      <w:r>
        <w:rPr>
          <w:b w:val="0"/>
        </w:rPr>
        <w:t>These labels summarize direction inside the short observed window. They do not establish seasonal or long-term groundwater sustainability.</w:t>
      </w:r>
    </w:p>
    <w:p>
      <w:r>
        <w:rPr>
          <w:b w:val="0"/>
        </w:rPr>
        <w:t>The share fully recovered is</w:t>
      </w:r>
    </w:p>
    <w:p>
      <w:pPr>
        <w:pStyle w:val="EquationDisplay"/>
      </w:pPr>
      <w:r>
        <w:drawing>
          <wp:inline xmlns:a="http://schemas.openxmlformats.org/drawingml/2006/main" xmlns:pic="http://schemas.openxmlformats.org/drawingml/2006/picture">
            <wp:extent cx="1171321" cy="363338"/>
            <wp:docPr id="40" name="Picture 40" descr="\frac{\#\{\Delta h^{cycle}\le0\}}{\#\{usable\ cycles\}}."/>
            <wp:cNvGraphicFramePr>
              <a:graphicFrameLocks noChangeAspect="1"/>
            </wp:cNvGraphicFramePr>
            <a:graphic>
              <a:graphicData uri="http://schemas.openxmlformats.org/drawingml/2006/picture">
                <pic:pic>
                  <pic:nvPicPr>
                    <pic:cNvPr id="0" name="8050d33a2fd5ae31.png"/>
                    <pic:cNvPicPr/>
                  </pic:nvPicPr>
                  <pic:blipFill>
                    <a:blip r:embed="rId55"/>
                    <a:stretch>
                      <a:fillRect/>
                    </a:stretch>
                  </pic:blipFill>
                  <pic:spPr>
                    <a:xfrm>
                      <a:off x="0" y="0"/>
                      <a:ext cx="1171321" cy="363338"/>
                    </a:xfrm>
                    <a:prstGeom prst="rect"/>
                  </pic:spPr>
                </pic:pic>
              </a:graphicData>
            </a:graphic>
          </wp:inline>
        </w:drawing>
      </w:r>
    </w:p>
    <w:p>
      <w:pPr>
        <w:pStyle w:val="Heading2"/>
        <w:pageBreakBefore w:val="0"/>
      </w:pPr>
      <w:r>
        <w:rPr>
          <w:b/>
        </w:rPr>
        <w:t>11.5 Website evidence tier</w:t>
      </w:r>
    </w:p>
    <w:p>
      <w:r>
        <w:rPr>
          <w:b w:val="0"/>
        </w:rPr>
        <w:t>The website uses a separate evidence rule:</w:t>
      </w:r>
    </w:p>
    <w:p>
      <w:pPr>
        <w:pStyle w:val="ListBullet"/>
      </w:pPr>
      <w:r>
        <w:rPr>
          <w:b w:val="0"/>
        </w:rPr>
        <w:t>higher: at least 20 usable cycle transitions and 10 active usable days;</w:t>
      </w:r>
    </w:p>
    <w:p>
      <w:pPr>
        <w:pStyle w:val="ListBullet"/>
      </w:pPr>
      <w:r>
        <w:rPr>
          <w:b w:val="0"/>
        </w:rPr>
        <w:t>medium: at least 10 transitions and 7 days;</w:t>
      </w:r>
    </w:p>
    <w:p>
      <w:pPr>
        <w:pStyle w:val="ListBullet"/>
      </w:pPr>
      <w:r>
        <w:rPr>
          <w:b w:val="0"/>
        </w:rPr>
        <w:t>low: otherwise.</w:t>
      </w:r>
    </w:p>
    <w:p>
      <w:r>
        <w:rPr>
          <w:b w:val="0"/>
        </w:rPr>
        <w:t>Counts are 92 higher, 145 medium, and 342 low. This website tier must not be confused with the preprediction offline reliability tier in Section 10.6.</w:t>
      </w:r>
    </w:p>
    <w:p>
      <w:pPr>
        <w:pStyle w:val="Heading2"/>
        <w:pageBreakBefore w:val="0"/>
      </w:pPr>
      <w:r>
        <w:rPr>
          <w:b/>
        </w:rPr>
        <w:t>11.6 Precomputed 1, 3, and 7-day values</w:t>
      </w:r>
    </w:p>
    <w:p>
      <w:r>
        <w:rPr>
          <w:b w:val="0"/>
        </w:rPr>
        <w:t>For a horizon d∈(1,3,7):</w:t>
      </w:r>
    </w:p>
    <w:p>
      <w:pPr>
        <w:pStyle w:val="EquationDisplay"/>
      </w:pPr>
      <w:r>
        <w:drawing>
          <wp:inline xmlns:a="http://schemas.openxmlformats.org/drawingml/2006/main" xmlns:pic="http://schemas.openxmlformats.org/drawingml/2006/picture">
            <wp:extent cx="2013140" cy="189248"/>
            <wp:docPr id="41" name="Picture 41" descr="\hat h_i(d)=clip(h_i^{latest}+\tilde s_i d,0,500)."/>
            <wp:cNvGraphicFramePr>
              <a:graphicFrameLocks noChangeAspect="1"/>
            </wp:cNvGraphicFramePr>
            <a:graphic>
              <a:graphicData uri="http://schemas.openxmlformats.org/drawingml/2006/picture">
                <pic:pic>
                  <pic:nvPicPr>
                    <pic:cNvPr id="0" name="2911802c3fb7fe7b.png"/>
                    <pic:cNvPicPr/>
                  </pic:nvPicPr>
                  <pic:blipFill>
                    <a:blip r:embed="rId56"/>
                    <a:stretch>
                      <a:fillRect/>
                    </a:stretch>
                  </pic:blipFill>
                  <pic:spPr>
                    <a:xfrm>
                      <a:off x="0" y="0"/>
                      <a:ext cx="2013140" cy="189248"/>
                    </a:xfrm>
                    <a:prstGeom prst="rect"/>
                  </pic:spPr>
                </pic:pic>
              </a:graphicData>
            </a:graphic>
          </wp:inline>
        </w:drawing>
      </w:r>
    </w:p>
    <w:p>
      <w:r>
        <w:rPr>
          <w:b w:val="0"/>
        </w:rPr>
        <w:t>The exploratory interval half-width is</w:t>
      </w:r>
    </w:p>
    <w:p>
      <w:pPr>
        <w:pStyle w:val="EquationDisplay"/>
      </w:pPr>
      <w:r>
        <w:drawing>
          <wp:inline xmlns:a="http://schemas.openxmlformats.org/drawingml/2006/main" xmlns:pic="http://schemas.openxmlformats.org/drawingml/2006/picture">
            <wp:extent cx="1970150" cy="182915"/>
            <wp:docPr id="42" name="Picture 42" descr="u_i(d)=clip(1.645\sigma_i^{*}\sqrt d,0,500),"/>
            <wp:cNvGraphicFramePr>
              <a:graphicFrameLocks noChangeAspect="1"/>
            </wp:cNvGraphicFramePr>
            <a:graphic>
              <a:graphicData uri="http://schemas.openxmlformats.org/drawingml/2006/picture">
                <pic:pic>
                  <pic:nvPicPr>
                    <pic:cNvPr id="0" name="c1aefc9534e36845.png"/>
                    <pic:cNvPicPr/>
                  </pic:nvPicPr>
                  <pic:blipFill>
                    <a:blip r:embed="rId57"/>
                    <a:stretch>
                      <a:fillRect/>
                    </a:stretch>
                  </pic:blipFill>
                  <pic:spPr>
                    <a:xfrm>
                      <a:off x="0" y="0"/>
                      <a:ext cx="1970150" cy="182915"/>
                    </a:xfrm>
                    <a:prstGeom prst="rect"/>
                  </pic:spPr>
                </pic:pic>
              </a:graphicData>
            </a:graphic>
          </wp:inline>
        </w:drawing>
      </w:r>
    </w:p>
    <w:p>
      <w:r>
        <w:rPr>
          <w:b w:val="0"/>
        </w:rPr>
        <w:t>where σ_i^(*)=σ_i^(rob) when available and 15 m otherwise. These are descriptive short-horizon summaries, not externally calibrated confidence intervals.</w:t>
      </w:r>
    </w:p>
    <w:p>
      <w:pPr>
        <w:pStyle w:val="Heading1"/>
        <w:pageBreakBefore w:val="0"/>
      </w:pPr>
      <w:r>
        <w:rPr>
          <w:b/>
        </w:rPr>
        <w:t>12. Public website arbitrary-horizon scenario engine</w:t>
      </w:r>
    </w:p>
    <w:p>
      <w:r>
        <w:rPr>
          <w:b w:val="0"/>
        </w:rPr>
        <w:t xml:space="preserve">The root website asks for a well, horizon, pumping condition, recharge condition, and 80% or 95% range. Its calculation is a scenario formula over precomputed well summaries. It does not execute </w:t>
      </w:r>
      <w:r>
        <w:rPr>
          <w:rFonts w:ascii="Aptos Mono" w:hAnsi="Aptos Mono"/>
          <w:color w:val="174554"/>
          <w:sz w:val="18"/>
        </w:rPr>
        <w:t>poc_engine.py</w:t>
      </w:r>
      <w:r>
        <w:rPr>
          <w:b w:val="0"/>
        </w:rPr>
        <w:t xml:space="preserve"> in the browser and does not refit a statistical model.</w:t>
      </w:r>
    </w:p>
    <w:p>
      <w:pPr>
        <w:pStyle w:val="Heading2"/>
        <w:pageBreakBefore w:val="0"/>
      </w:pPr>
      <w:r>
        <w:rPr>
          <w:b/>
        </w:rPr>
        <w:t>12.1 Horizon conversion</w:t>
      </w:r>
    </w:p>
    <w:p>
      <w:r>
        <w:rPr>
          <w:b w:val="0"/>
        </w:rPr>
        <w:t>For input value v:</w:t>
      </w:r>
    </w:p>
    <w:p>
      <w:pPr>
        <w:pStyle w:val="EquationDisplay"/>
      </w:pPr>
      <w:r>
        <w:drawing>
          <wp:inline xmlns:a="http://schemas.openxmlformats.org/drawingml/2006/main" xmlns:pic="http://schemas.openxmlformats.org/drawingml/2006/picture">
            <wp:extent cx="1737931" cy="660617"/>
            <wp:docPr id="43" name="Picture 43" descr="d=v\times\begin{cases} 1 &amp; days\\ 7 &amp; weeks\\ 30.4375 &amp; months\\ 365.25 &amp; years \end{cases}"/>
            <wp:cNvGraphicFramePr>
              <a:graphicFrameLocks noChangeAspect="1"/>
            </wp:cNvGraphicFramePr>
            <a:graphic>
              <a:graphicData uri="http://schemas.openxmlformats.org/drawingml/2006/picture">
                <pic:pic>
                  <pic:nvPicPr>
                    <pic:cNvPr id="0" name="d084fba20beb7b40.png"/>
                    <pic:cNvPicPr/>
                  </pic:nvPicPr>
                  <pic:blipFill>
                    <a:blip r:embed="rId58"/>
                    <a:stretch>
                      <a:fillRect/>
                    </a:stretch>
                  </pic:blipFill>
                  <pic:spPr>
                    <a:xfrm>
                      <a:off x="0" y="0"/>
                      <a:ext cx="1737931" cy="660617"/>
                    </a:xfrm>
                    <a:prstGeom prst="rect"/>
                  </pic:spPr>
                </pic:pic>
              </a:graphicData>
            </a:graphic>
          </wp:inline>
        </w:drawing>
      </w:r>
    </w:p>
    <w:p>
      <w:r>
        <w:rPr>
          <w:b w:val="0"/>
        </w:rPr>
        <w:t>The interface accepts up to 100 years to keep the interaction flexible. That input limit is not a scientific claim of 100-year validity.</w:t>
      </w:r>
    </w:p>
    <w:p>
      <w:pPr>
        <w:pStyle w:val="Heading2"/>
        <w:pageBreakBefore w:val="0"/>
      </w:pPr>
      <w:r>
        <w:rPr>
          <w:b/>
        </w:rPr>
        <w:t>12.2 Well signals</w:t>
      </w:r>
    </w:p>
    <w:p>
      <w:r>
        <w:rPr>
          <w:b w:val="0"/>
        </w:rPr>
        <w:t>Let s_0 be the shrunken daily trend. Let</w:t>
      </w:r>
    </w:p>
    <w:p>
      <w:pPr>
        <w:pStyle w:val="EquationDisplay"/>
      </w:pPr>
      <w:r>
        <w:drawing>
          <wp:inline xmlns:a="http://schemas.openxmlformats.org/drawingml/2006/main" xmlns:pic="http://schemas.openxmlformats.org/drawingml/2006/picture">
            <wp:extent cx="2785999" cy="346663"/>
            <wp:docPr id="44" name="Picture 44" descr="c_i=clip\left(\frac{usable\ cycle\ transitions}{\max(active\ usable\ days,1)},0,4\right)."/>
            <wp:cNvGraphicFramePr>
              <a:graphicFrameLocks noChangeAspect="1"/>
            </wp:cNvGraphicFramePr>
            <a:graphic>
              <a:graphicData uri="http://schemas.openxmlformats.org/drawingml/2006/picture">
                <pic:pic>
                  <pic:nvPicPr>
                    <pic:cNvPr id="0" name="946f20505d189ab3.png"/>
                    <pic:cNvPicPr/>
                  </pic:nvPicPr>
                  <pic:blipFill>
                    <a:blip r:embed="rId59"/>
                    <a:stretch>
                      <a:fillRect/>
                    </a:stretch>
                  </pic:blipFill>
                  <pic:spPr>
                    <a:xfrm>
                      <a:off x="0" y="0"/>
                      <a:ext cx="2785999" cy="346663"/>
                    </a:xfrm>
                    <a:prstGeom prst="rect"/>
                  </pic:spPr>
                </pic:pic>
              </a:graphicData>
            </a:graphic>
          </wp:inline>
        </w:drawing>
      </w:r>
    </w:p>
    <w:p>
      <w:r>
        <w:rPr>
          <w:b w:val="0"/>
        </w:rPr>
        <w:t>Let</w:t>
      </w:r>
    </w:p>
    <w:p>
      <w:pPr>
        <w:pStyle w:val="EquationDisplay"/>
      </w:pPr>
      <w:r>
        <w:drawing>
          <wp:inline xmlns:a="http://schemas.openxmlformats.org/drawingml/2006/main" xmlns:pic="http://schemas.openxmlformats.org/drawingml/2006/picture">
            <wp:extent cx="2436749" cy="143488"/>
            <wp:docPr id="45" name="Picture 45" descr="P_i=\max(median\ pumping\ change,0),"/>
            <wp:cNvGraphicFramePr>
              <a:graphicFrameLocks noChangeAspect="1"/>
            </wp:cNvGraphicFramePr>
            <a:graphic>
              <a:graphicData uri="http://schemas.openxmlformats.org/drawingml/2006/picture">
                <pic:pic>
                  <pic:nvPicPr>
                    <pic:cNvPr id="0" name="e165044826c4882b.png"/>
                    <pic:cNvPicPr/>
                  </pic:nvPicPr>
                  <pic:blipFill>
                    <a:blip r:embed="rId60"/>
                    <a:stretch>
                      <a:fillRect/>
                    </a:stretch>
                  </pic:blipFill>
                  <pic:spPr>
                    <a:xfrm>
                      <a:off x="0" y="0"/>
                      <a:ext cx="2436749" cy="143488"/>
                    </a:xfrm>
                    <a:prstGeom prst="rect"/>
                  </pic:spPr>
                </pic:pic>
              </a:graphicData>
            </a:graphic>
          </wp:inline>
        </w:drawing>
      </w:r>
    </w:p>
    <w:p>
      <w:r>
        <w:rPr>
          <w:b w:val="0"/>
        </w:rPr>
        <w:t>and</w:t>
      </w:r>
    </w:p>
    <w:p>
      <w:pPr>
        <w:pStyle w:val="EquationDisplay"/>
      </w:pPr>
      <w:r>
        <w:drawing>
          <wp:inline xmlns:a="http://schemas.openxmlformats.org/drawingml/2006/main" xmlns:pic="http://schemas.openxmlformats.org/drawingml/2006/picture">
            <wp:extent cx="2633916" cy="143507"/>
            <wp:docPr id="46" name="Picture 46" descr="R_i=|\min(median\ off\ period\ change,0)|."/>
            <wp:cNvGraphicFramePr>
              <a:graphicFrameLocks noChangeAspect="1"/>
            </wp:cNvGraphicFramePr>
            <a:graphic>
              <a:graphicData uri="http://schemas.openxmlformats.org/drawingml/2006/picture">
                <pic:pic>
                  <pic:nvPicPr>
                    <pic:cNvPr id="0" name="8dbad7754788d248.png"/>
                    <pic:cNvPicPr/>
                  </pic:nvPicPr>
                  <pic:blipFill>
                    <a:blip r:embed="rId61"/>
                    <a:stretch>
                      <a:fillRect/>
                    </a:stretch>
                  </pic:blipFill>
                  <pic:spPr>
                    <a:xfrm>
                      <a:off x="0" y="0"/>
                      <a:ext cx="2633916" cy="143507"/>
                    </a:xfrm>
                    <a:prstGeom prst="rect"/>
                  </pic:spPr>
                </pic:pic>
              </a:graphicData>
            </a:graphic>
          </wp:inline>
        </w:drawing>
      </w:r>
    </w:p>
    <w:p>
      <w:r>
        <w:rPr>
          <w:b w:val="0"/>
        </w:rPr>
        <w:t>The sensitivities are</w:t>
      </w:r>
    </w:p>
    <w:p>
      <w:pPr>
        <w:pStyle w:val="EquationDisplay"/>
      </w:pPr>
      <w:r>
        <w:drawing>
          <wp:inline xmlns:a="http://schemas.openxmlformats.org/drawingml/2006/main" xmlns:pic="http://schemas.openxmlformats.org/drawingml/2006/picture">
            <wp:extent cx="2828480" cy="158761"/>
            <wp:docPr id="47" name="Picture 47" descr="S_i^{pump}=clip(P_i\max(c_i,0.5)\times0.02,0.02,0.5),"/>
            <wp:cNvGraphicFramePr>
              <a:graphicFrameLocks noChangeAspect="1"/>
            </wp:cNvGraphicFramePr>
            <a:graphic>
              <a:graphicData uri="http://schemas.openxmlformats.org/drawingml/2006/picture">
                <pic:pic>
                  <pic:nvPicPr>
                    <pic:cNvPr id="0" name="40e9a0715b3f3643.png"/>
                    <pic:cNvPicPr/>
                  </pic:nvPicPr>
                  <pic:blipFill>
                    <a:blip r:embed="rId62"/>
                    <a:stretch>
                      <a:fillRect/>
                    </a:stretch>
                  </pic:blipFill>
                  <pic:spPr>
                    <a:xfrm>
                      <a:off x="0" y="0"/>
                      <a:ext cx="2828480" cy="158761"/>
                    </a:xfrm>
                    <a:prstGeom prst="rect"/>
                  </pic:spPr>
                </pic:pic>
              </a:graphicData>
            </a:graphic>
          </wp:inline>
        </w:drawing>
      </w:r>
    </w:p>
    <w:p>
      <w:pPr>
        <w:pStyle w:val="EquationDisplay"/>
      </w:pPr>
      <w:r>
        <w:drawing>
          <wp:inline xmlns:a="http://schemas.openxmlformats.org/drawingml/2006/main" xmlns:pic="http://schemas.openxmlformats.org/drawingml/2006/picture">
            <wp:extent cx="2986786" cy="185404"/>
            <wp:docPr id="48" name="Picture 48" descr="S_i^{recharge}=clip(R_i\max(c_i,0.5)\times0.02,0.02,0.5)."/>
            <wp:cNvGraphicFramePr>
              <a:graphicFrameLocks noChangeAspect="1"/>
            </wp:cNvGraphicFramePr>
            <a:graphic>
              <a:graphicData uri="http://schemas.openxmlformats.org/drawingml/2006/picture">
                <pic:pic>
                  <pic:nvPicPr>
                    <pic:cNvPr id="0" name="3b086875fdd7c05f.png"/>
                    <pic:cNvPicPr/>
                  </pic:nvPicPr>
                  <pic:blipFill>
                    <a:blip r:embed="rId63"/>
                    <a:stretch>
                      <a:fillRect/>
                    </a:stretch>
                  </pic:blipFill>
                  <pic:spPr>
                    <a:xfrm>
                      <a:off x="0" y="0"/>
                      <a:ext cx="2986786" cy="185404"/>
                    </a:xfrm>
                    <a:prstGeom prst="rect"/>
                  </pic:spPr>
                </pic:pic>
              </a:graphicData>
            </a:graphic>
          </wp:inline>
        </w:drawing>
      </w:r>
    </w:p>
    <w:p>
      <w:r>
        <w:rPr>
          <w:b w:val="0"/>
        </w:rPr>
        <w:t>The pumping factor is -1 for low, 0 for typical, and +1 for high. The recharge factor is +1 for dry, 0 for typical, and -1 for wet. The effective trend on the root page is</w:t>
      </w:r>
    </w:p>
    <w:p>
      <w:pPr>
        <w:pStyle w:val="EquationDisplay"/>
      </w:pPr>
      <w:r>
        <w:drawing>
          <wp:inline xmlns:a="http://schemas.openxmlformats.org/drawingml/2006/main" xmlns:pic="http://schemas.openxmlformats.org/drawingml/2006/picture">
            <wp:extent cx="2620899" cy="185393"/>
            <wp:docPr id="49" name="Picture 49" descr="s_{eff}=s_0+f_{pump}S_i^{pump}+f_{recharge}S_i^{recharge}."/>
            <wp:cNvGraphicFramePr>
              <a:graphicFrameLocks noChangeAspect="1"/>
            </wp:cNvGraphicFramePr>
            <a:graphic>
              <a:graphicData uri="http://schemas.openxmlformats.org/drawingml/2006/picture">
                <pic:pic>
                  <pic:nvPicPr>
                    <pic:cNvPr id="0" name="87c2df1e0f4b0774.png"/>
                    <pic:cNvPicPr/>
                  </pic:nvPicPr>
                  <pic:blipFill>
                    <a:blip r:embed="rId64"/>
                    <a:stretch>
                      <a:fillRect/>
                    </a:stretch>
                  </pic:blipFill>
                  <pic:spPr>
                    <a:xfrm>
                      <a:off x="0" y="0"/>
                      <a:ext cx="2620899" cy="185393"/>
                    </a:xfrm>
                    <a:prstGeom prst="rect"/>
                  </pic:spPr>
                </pic:pic>
              </a:graphicData>
            </a:graphic>
          </wp:inline>
        </w:drawing>
      </w:r>
    </w:p>
    <w:p>
      <w:r>
        <w:rPr>
          <w:b w:val="0"/>
        </w:rPr>
        <w:t>Because depth below ground is the outcome, dry conditions add depth and wet conditions subtract depth.</w:t>
      </w:r>
    </w:p>
    <w:p>
      <w:pPr>
        <w:pStyle w:val="Heading2"/>
        <w:pageBreakBefore w:val="0"/>
      </w:pPr>
      <w:r>
        <w:rPr>
          <w:b/>
        </w:rPr>
        <w:t>12.3 Logarithmically decayed projection</w:t>
      </w:r>
    </w:p>
    <w:p>
      <w:r>
        <w:rPr>
          <w:b w:val="0"/>
        </w:rPr>
        <w:t>The cumulative projected change after d days is</w:t>
      </w:r>
    </w:p>
    <w:p>
      <w:pPr>
        <w:pStyle w:val="EquationDisplay"/>
      </w:pPr>
      <w:r>
        <w:drawing>
          <wp:inline xmlns:a="http://schemas.openxmlformats.org/drawingml/2006/main" xmlns:pic="http://schemas.openxmlformats.org/drawingml/2006/picture">
            <wp:extent cx="1712912" cy="149832"/>
            <wp:docPr id="50" name="Picture 50" descr="\Delta(d)=30s_{eff}\ln(1+d/30)."/>
            <wp:cNvGraphicFramePr>
              <a:graphicFrameLocks noChangeAspect="1"/>
            </wp:cNvGraphicFramePr>
            <a:graphic>
              <a:graphicData uri="http://schemas.openxmlformats.org/drawingml/2006/picture">
                <pic:pic>
                  <pic:nvPicPr>
                    <pic:cNvPr id="0" name="0371f595e49be4d4.png"/>
                    <pic:cNvPicPr/>
                  </pic:nvPicPr>
                  <pic:blipFill>
                    <a:blip r:embed="rId65"/>
                    <a:stretch>
                      <a:fillRect/>
                    </a:stretch>
                  </pic:blipFill>
                  <pic:spPr>
                    <a:xfrm>
                      <a:off x="0" y="0"/>
                      <a:ext cx="1712912" cy="149832"/>
                    </a:xfrm>
                    <a:prstGeom prst="rect"/>
                  </pic:spPr>
                </pic:pic>
              </a:graphicData>
            </a:graphic>
          </wp:inline>
        </w:drawing>
      </w:r>
    </w:p>
    <w:p>
      <w:r>
        <w:rPr>
          <w:b w:val="0"/>
        </w:rPr>
        <w:t>The displayed mean is</w:t>
      </w:r>
    </w:p>
    <w:p>
      <w:pPr>
        <w:pStyle w:val="EquationDisplay"/>
      </w:pPr>
      <w:r>
        <w:drawing>
          <wp:inline xmlns:a="http://schemas.openxmlformats.org/drawingml/2006/main" xmlns:pic="http://schemas.openxmlformats.org/drawingml/2006/picture">
            <wp:extent cx="2083244" cy="188000"/>
            <wp:docPr id="51" name="Picture 51" descr="\hat h(d)=clip(h^{latest}+\Delta(d),0,500)."/>
            <wp:cNvGraphicFramePr>
              <a:graphicFrameLocks noChangeAspect="1"/>
            </wp:cNvGraphicFramePr>
            <a:graphic>
              <a:graphicData uri="http://schemas.openxmlformats.org/drawingml/2006/picture">
                <pic:pic>
                  <pic:nvPicPr>
                    <pic:cNvPr id="0" name="e5094d67ad6ef5f2.png"/>
                    <pic:cNvPicPr/>
                  </pic:nvPicPr>
                  <pic:blipFill>
                    <a:blip r:embed="rId66"/>
                    <a:stretch>
                      <a:fillRect/>
                    </a:stretch>
                  </pic:blipFill>
                  <pic:spPr>
                    <a:xfrm>
                      <a:off x="0" y="0"/>
                      <a:ext cx="2083244" cy="188000"/>
                    </a:xfrm>
                    <a:prstGeom prst="rect"/>
                  </pic:spPr>
                </pic:pic>
              </a:graphicData>
            </a:graphic>
          </wp:inline>
        </w:drawing>
      </w:r>
    </w:p>
    <w:p>
      <w:r>
        <w:rPr>
          <w:b w:val="0"/>
        </w:rPr>
        <w:t>The derivative is</w:t>
      </w:r>
    </w:p>
    <w:p>
      <w:pPr>
        <w:pStyle w:val="EquationDisplay"/>
      </w:pPr>
      <w:r>
        <w:drawing>
          <wp:inline xmlns:a="http://schemas.openxmlformats.org/drawingml/2006/main" xmlns:pic="http://schemas.openxmlformats.org/drawingml/2006/picture">
            <wp:extent cx="1089977" cy="337918"/>
            <wp:docPr id="52" name="Picture 52" descr="\frac{d\Delta}{dd}=\frac{s_{eff}}{1+d/30}."/>
            <wp:cNvGraphicFramePr>
              <a:graphicFrameLocks noChangeAspect="1"/>
            </wp:cNvGraphicFramePr>
            <a:graphic>
              <a:graphicData uri="http://schemas.openxmlformats.org/drawingml/2006/picture">
                <pic:pic>
                  <pic:nvPicPr>
                    <pic:cNvPr id="0" name="0477e13c7f6bbba0.png"/>
                    <pic:cNvPicPr/>
                  </pic:nvPicPr>
                  <pic:blipFill>
                    <a:blip r:embed="rId67"/>
                    <a:stretch>
                      <a:fillRect/>
                    </a:stretch>
                  </pic:blipFill>
                  <pic:spPr>
                    <a:xfrm>
                      <a:off x="0" y="0"/>
                      <a:ext cx="1089977" cy="337918"/>
                    </a:xfrm>
                    <a:prstGeom prst="rect"/>
                  </pic:spPr>
                </pic:pic>
              </a:graphicData>
            </a:graphic>
          </wp:inline>
        </w:drawing>
      </w:r>
    </w:p>
    <w:p>
      <w:r>
        <w:rPr>
          <w:b w:val="0"/>
        </w:rPr>
        <w:t>Thus the daily change decays with horizon. The curve grows logarithmically and does not reach a physical equilibrium or true plateau. The form is a conservative extrapolation choice, not an aquifer equation.</w:t>
      </w:r>
    </w:p>
    <w:p>
      <w:pPr>
        <w:pStyle w:val="Heading2"/>
        <w:pageBreakBefore w:val="0"/>
      </w:pPr>
      <w:r>
        <w:rPr>
          <w:b/>
        </w:rPr>
        <w:t>12.4 Website uncertainty</w:t>
      </w:r>
    </w:p>
    <w:p>
      <w:r>
        <w:rPr>
          <w:b w:val="0"/>
        </w:rPr>
        <w:t>An evidence-tier starting MAE is assigned:</w:t>
      </w:r>
    </w:p>
    <w:p>
      <w:pPr>
        <w:pStyle w:val="EquationDisplay"/>
      </w:pPr>
      <w:r>
        <w:drawing>
          <wp:inline xmlns:a="http://schemas.openxmlformats.org/drawingml/2006/main" xmlns:pic="http://schemas.openxmlformats.org/drawingml/2006/picture">
            <wp:extent cx="1430400" cy="489080"/>
            <wp:docPr id="53" name="Picture 53" descr="M_i=\begin{cases} 11.5 &amp; higher\\ 18 &amp; medium\\ 28 &amp; low. \end{cases}"/>
            <wp:cNvGraphicFramePr>
              <a:graphicFrameLocks noChangeAspect="1"/>
            </wp:cNvGraphicFramePr>
            <a:graphic>
              <a:graphicData uri="http://schemas.openxmlformats.org/drawingml/2006/picture">
                <pic:pic>
                  <pic:nvPicPr>
                    <pic:cNvPr id="0" name="d3d37b7340f61249.png"/>
                    <pic:cNvPicPr/>
                  </pic:nvPicPr>
                  <pic:blipFill>
                    <a:blip r:embed="rId68"/>
                    <a:stretch>
                      <a:fillRect/>
                    </a:stretch>
                  </pic:blipFill>
                  <pic:spPr>
                    <a:xfrm>
                      <a:off x="0" y="0"/>
                      <a:ext cx="1430400" cy="489080"/>
                    </a:xfrm>
                    <a:prstGeom prst="rect"/>
                  </pic:spPr>
                </pic:pic>
              </a:graphicData>
            </a:graphic>
          </wp:inline>
        </w:drawing>
      </w:r>
    </w:p>
    <w:p>
      <w:r>
        <w:rPr>
          <w:b w:val="0"/>
        </w:rPr>
        <w:t>The factor 1.253 approximates √(π/2), converting normal-distribution MAE to standard deviation. With scenario shift delta=s_(eff)-s_0:</w:t>
      </w:r>
    </w:p>
    <w:p>
      <w:pPr>
        <w:pStyle w:val="EquationDisplay"/>
      </w:pPr>
      <w:r>
        <w:drawing>
          <wp:inline xmlns:a="http://schemas.openxmlformats.org/drawingml/2006/main" xmlns:pic="http://schemas.openxmlformats.org/drawingml/2006/picture">
            <wp:extent cx="2572639" cy="266661"/>
            <wp:docPr id="54" name="Picture 54" descr="\sigma_i(d)=1.253M_i\sqrt{1+d/15}+4|\delta|\sqrt{d/15}."/>
            <wp:cNvGraphicFramePr>
              <a:graphicFrameLocks noChangeAspect="1"/>
            </wp:cNvGraphicFramePr>
            <a:graphic>
              <a:graphicData uri="http://schemas.openxmlformats.org/drawingml/2006/picture">
                <pic:pic>
                  <pic:nvPicPr>
                    <pic:cNvPr id="0" name="912f1be1e5ccf67c.png"/>
                    <pic:cNvPicPr/>
                  </pic:nvPicPr>
                  <pic:blipFill>
                    <a:blip r:embed="rId69"/>
                    <a:stretch>
                      <a:fillRect/>
                    </a:stretch>
                  </pic:blipFill>
                  <pic:spPr>
                    <a:xfrm>
                      <a:off x="0" y="0"/>
                      <a:ext cx="2572639" cy="266661"/>
                    </a:xfrm>
                    <a:prstGeom prst="rect"/>
                  </pic:spPr>
                </pic:pic>
              </a:graphicData>
            </a:graphic>
          </wp:inline>
        </w:drawing>
      </w:r>
    </w:p>
    <w:p>
      <w:r>
        <w:rPr>
          <w:b w:val="0"/>
        </w:rPr>
        <w:t>The website uses z=1.282 for an 80% range and z=1.96 for a 95% range:</w:t>
      </w:r>
    </w:p>
    <w:p>
      <w:pPr>
        <w:pStyle w:val="EquationDisplay"/>
      </w:pPr>
      <w:r>
        <w:drawing>
          <wp:inline xmlns:a="http://schemas.openxmlformats.org/drawingml/2006/main" xmlns:pic="http://schemas.openxmlformats.org/drawingml/2006/picture">
            <wp:extent cx="3461829" cy="187950"/>
            <wp:docPr id="55" name="Picture 55" descr="[L(d),U(d)]=[clip(\hat h-z\sigma,0,500),\;clip(\hat h+z\sigma,0,500)]."/>
            <wp:cNvGraphicFramePr>
              <a:graphicFrameLocks noChangeAspect="1"/>
            </wp:cNvGraphicFramePr>
            <a:graphic>
              <a:graphicData uri="http://schemas.openxmlformats.org/drawingml/2006/picture">
                <pic:pic>
                  <pic:nvPicPr>
                    <pic:cNvPr id="0" name="d5269fa160511b0b.png"/>
                    <pic:cNvPicPr/>
                  </pic:nvPicPr>
                  <pic:blipFill>
                    <a:blip r:embed="rId70"/>
                    <a:stretch>
                      <a:fillRect/>
                    </a:stretch>
                  </pic:blipFill>
                  <pic:spPr>
                    <a:xfrm>
                      <a:off x="0" y="0"/>
                      <a:ext cx="3461829" cy="187950"/>
                    </a:xfrm>
                    <a:prstGeom prst="rect"/>
                  </pic:spPr>
                </pic:pic>
              </a:graphicData>
            </a:graphic>
          </wp:inline>
        </w:drawing>
      </w:r>
    </w:p>
    <w:p>
      <w:r>
        <w:rPr>
          <w:b w:val="0"/>
        </w:rPr>
        <w:t>The interval is nonzero at d=0. It expands rapidly and often reaches the 0 or 500 m display bounds. This is an explicit uncertainty heuristic, not a statistically calibrated long-horizon interval.</w:t>
      </w:r>
    </w:p>
    <w:p>
      <w:r>
        <w:rPr>
          <w:b w:val="0"/>
        </w:rPr>
        <w:t>The chart uses between 24 and 140 display points. That changes drawing resolution only, not the mathematical forecast.</w:t>
      </w:r>
    </w:p>
    <w:p>
      <w:pPr>
        <w:pStyle w:val="Heading2"/>
        <w:pageBreakBefore w:val="0"/>
      </w:pPr>
      <w:r>
        <w:rPr>
          <w:b/>
        </w:rPr>
        <w:t>12.5 Interpretation boundary</w:t>
      </w:r>
    </w:p>
    <w:p>
      <w:r>
        <w:rPr>
          <w:b w:val="0"/>
        </w:rPr>
        <w:t>The root page is useful for exploring how recent trend, pumping, recovery, and horizon interact. It must not be described as a validated six-month, one-year, or five-year forecast. The only chronological validation used a four-day holdout inside a 15-day dataset.</w:t>
      </w:r>
    </w:p>
    <w:p>
      <w:pPr>
        <w:pStyle w:val="Heading1"/>
        <w:pageBreakBefore w:val="0"/>
      </w:pPr>
      <w:r>
        <w:rPr>
          <w:b/>
        </w:rPr>
        <w:t>13. Public rainfall experiment</w:t>
      </w:r>
    </w:p>
    <w:p>
      <w:pPr>
        <w:pStyle w:val="Heading2"/>
        <w:pageBreakBefore w:val="0"/>
      </w:pPr>
      <w:r>
        <w:rPr>
          <w:b/>
        </w:rPr>
        <w:t>13.1 Source</w:t>
      </w:r>
    </w:p>
    <w:p>
      <w:r>
        <w:rPr>
          <w:b w:val="0"/>
        </w:rPr>
        <w:t xml:space="preserve">The comparison used NASA POWER daily corrected precipitation </w:t>
      </w:r>
      <w:r>
        <w:rPr>
          <w:rFonts w:ascii="Aptos Mono" w:hAnsi="Aptos Mono"/>
          <w:color w:val="174554"/>
          <w:sz w:val="18"/>
        </w:rPr>
        <w:t>PRECTOTCORR</w:t>
      </w:r>
      <w:r>
        <w:rPr>
          <w:b w:val="0"/>
        </w:rPr>
        <w:t xml:space="preserve"> in local solar time:</w:t>
      </w:r>
    </w:p>
    <w:p>
      <w:pPr>
        <w:pStyle w:val="ListBullet"/>
      </w:pPr>
      <w:r>
        <w:rPr>
          <w:b w:val="0"/>
        </w:rPr>
        <w:t>requested point: 12.9716° N, 77.5946° E;</w:t>
      </w:r>
    </w:p>
    <w:p>
      <w:pPr>
        <w:pStyle w:val="ListBullet"/>
      </w:pPr>
      <w:r>
        <w:rPr>
          <w:b w:val="0"/>
        </w:rPr>
        <w:t>returned grid point: 12.972° N, 77.595° E;</w:t>
      </w:r>
    </w:p>
    <w:p>
      <w:pPr>
        <w:pStyle w:val="ListBullet"/>
      </w:pPr>
      <w:r>
        <w:rPr>
          <w:b w:val="0"/>
        </w:rPr>
        <w:t>returned elevation: 841.72 m;</w:t>
      </w:r>
    </w:p>
    <w:p>
      <w:pPr>
        <w:pStyle w:val="ListBullet"/>
      </w:pPr>
      <w:r>
        <w:rPr>
          <w:b w:val="0"/>
        </w:rPr>
        <w:t>history: 1 January 2001 through 29 July 2026;</w:t>
      </w:r>
    </w:p>
    <w:p>
      <w:pPr>
        <w:pStyle w:val="ListBullet"/>
      </w:pPr>
      <w:r>
        <w:rPr>
          <w:b w:val="0"/>
        </w:rPr>
        <w:t xml:space="preserve">source documentation: </w:t>
      </w:r>
      <w:hyperlink r:id="rId71">
        <w:r>
          <w:rPr>
            <w:color w:val="1F6F8B"/>
            <w:u w:val="single"/>
          </w:rPr>
          <w:t>https://power.larc.nasa.gov/docs/services/api/temporal/daily/</w:t>
        </w:r>
      </w:hyperlink>
    </w:p>
    <w:p>
      <w:r>
        <w:rPr>
          <w:b w:val="0"/>
        </w:rPr>
        <w:t>Because the anonymized wells have no coordinates, the same Bengaluru city-centre grid cell is assigned to every well.</w:t>
      </w:r>
    </w:p>
    <w:p>
      <w:pPr>
        <w:pStyle w:val="Heading2"/>
        <w:pageBreakBefore w:val="0"/>
      </w:pPr>
      <w:r>
        <w:rPr>
          <w:b/>
        </w:rPr>
        <w:t>13.2 Leakage-safe lagged features</w:t>
      </w:r>
    </w:p>
    <w:p>
      <w:r>
        <w:rPr>
          <w:b w:val="0"/>
        </w:rPr>
        <w:t>For an event on day t, rainfall is first shifted by one day. Rolling sums therefore use only prior days:</w:t>
      </w:r>
    </w:p>
    <w:p>
      <w:pPr>
        <w:pStyle w:val="EquationDisplay"/>
      </w:pPr>
      <w:r>
        <w:drawing>
          <wp:inline xmlns:a="http://schemas.openxmlformats.org/drawingml/2006/main" xmlns:pic="http://schemas.openxmlformats.org/drawingml/2006/picture">
            <wp:extent cx="2366962" cy="440631"/>
            <wp:docPr id="56" name="Picture 56" descr="Rain_{t,L}=\sum_{j=1}^{L}P_{t-j},\quad L\in\{1,3,7,14\}."/>
            <wp:cNvGraphicFramePr>
              <a:graphicFrameLocks noChangeAspect="1"/>
            </wp:cNvGraphicFramePr>
            <a:graphic>
              <a:graphicData uri="http://schemas.openxmlformats.org/drawingml/2006/picture">
                <pic:pic>
                  <pic:nvPicPr>
                    <pic:cNvPr id="0" name="bd77cbd41801503c.png"/>
                    <pic:cNvPicPr/>
                  </pic:nvPicPr>
                  <pic:blipFill>
                    <a:blip r:embed="rId72"/>
                    <a:stretch>
                      <a:fillRect/>
                    </a:stretch>
                  </pic:blipFill>
                  <pic:spPr>
                    <a:xfrm>
                      <a:off x="0" y="0"/>
                      <a:ext cx="2366962" cy="440631"/>
                    </a:xfrm>
                    <a:prstGeom prst="rect"/>
                  </pic:spPr>
                </pic:pic>
              </a:graphicData>
            </a:graphic>
          </wp:inline>
        </w:drawing>
      </w:r>
    </w:p>
    <w:p>
      <w:r>
        <w:rPr>
          <w:b w:val="0"/>
        </w:rPr>
        <w:t>Same-day rainfall is not used. This prevents a session later in the day from receiving precipitation that occurred after its outcome.</w:t>
      </w:r>
    </w:p>
    <w:p>
      <w:r>
        <w:rPr>
          <w:b w:val="0"/>
        </w:rPr>
        <w:t>Candidate additions were:</w:t>
      </w:r>
    </w:p>
    <w:p>
      <w:pPr>
        <w:spacing w:after="50"/>
        <w:ind w:left="408" w:hanging="238"/>
      </w:pPr>
      <w:r>
        <w:rPr>
          <w:b/>
          <w:color w:val="1F6F8B"/>
        </w:rPr>
        <w:t xml:space="preserve">1.  </w:t>
      </w:r>
      <w:r>
        <w:rPr>
          <w:b w:val="0"/>
        </w:rPr>
        <w:t>prior 1 day;</w:t>
      </w:r>
    </w:p>
    <w:p>
      <w:pPr>
        <w:spacing w:after="50"/>
        <w:ind w:left="408" w:hanging="238"/>
      </w:pPr>
      <w:r>
        <w:rPr>
          <w:b/>
          <w:color w:val="1F6F8B"/>
        </w:rPr>
        <w:t xml:space="preserve">2.  </w:t>
      </w:r>
      <w:r>
        <w:rPr>
          <w:b w:val="0"/>
        </w:rPr>
        <w:t>prior 3 days;</w:t>
      </w:r>
    </w:p>
    <w:p>
      <w:pPr>
        <w:spacing w:after="50"/>
        <w:ind w:left="408" w:hanging="238"/>
      </w:pPr>
      <w:r>
        <w:rPr>
          <w:b/>
          <w:color w:val="1F6F8B"/>
        </w:rPr>
        <w:t xml:space="preserve">3.  </w:t>
      </w:r>
      <w:r>
        <w:rPr>
          <w:b w:val="0"/>
        </w:rPr>
        <w:t>prior 7 days;</w:t>
      </w:r>
    </w:p>
    <w:p>
      <w:pPr>
        <w:spacing w:after="50"/>
        <w:ind w:left="408" w:hanging="238"/>
      </w:pPr>
      <w:r>
        <w:rPr>
          <w:b/>
          <w:color w:val="1F6F8B"/>
        </w:rPr>
        <w:t xml:space="preserve">4.  </w:t>
      </w:r>
      <w:r>
        <w:rPr>
          <w:b w:val="0"/>
        </w:rPr>
        <w:t>prior 14 days;</w:t>
      </w:r>
    </w:p>
    <w:p>
      <w:pPr>
        <w:spacing w:after="50"/>
        <w:ind w:left="408" w:hanging="238"/>
      </w:pPr>
      <w:r>
        <w:rPr>
          <w:b/>
          <w:color w:val="1F6F8B"/>
        </w:rPr>
        <w:t xml:space="preserve">5.  </w:t>
      </w:r>
      <w:r>
        <w:rPr>
          <w:b w:val="0"/>
        </w:rPr>
        <w:t>prior 1 and 3 days;</w:t>
      </w:r>
    </w:p>
    <w:p>
      <w:pPr>
        <w:spacing w:after="50"/>
        <w:ind w:left="408" w:hanging="238"/>
      </w:pPr>
      <w:r>
        <w:rPr>
          <w:b/>
          <w:color w:val="1F6F8B"/>
        </w:rPr>
        <w:t xml:space="preserve">6.  </w:t>
      </w:r>
      <w:r>
        <w:rPr>
          <w:b w:val="0"/>
        </w:rPr>
        <w:t>prior 3 and 7 days;</w:t>
      </w:r>
    </w:p>
    <w:p>
      <w:pPr>
        <w:spacing w:after="50"/>
        <w:ind w:left="408" w:hanging="238"/>
      </w:pPr>
      <w:r>
        <w:rPr>
          <w:b/>
          <w:color w:val="1F6F8B"/>
        </w:rPr>
        <w:t xml:space="preserve">7.  </w:t>
      </w:r>
      <w:r>
        <w:rPr>
          <w:b w:val="0"/>
        </w:rPr>
        <w:t>prior 1, 3, and 7 days.</w:t>
      </w:r>
    </w:p>
    <w:p>
      <w:r>
        <w:rPr>
          <w:b w:val="0"/>
        </w:rPr>
        <w:t>The candidate with lowest inner-validation MAE on 24–25 July was selected, and only then evaluated on 26–29 July.</w:t>
      </w:r>
    </w:p>
    <w:p>
      <w:pPr>
        <w:pStyle w:val="Heading2"/>
        <w:pageBreakBefore w:val="0"/>
      </w:pPr>
      <w:r>
        <w:rPr>
          <w:b/>
        </w:rPr>
        <w:t>13.3 Observed overlap rainfall</w:t>
      </w:r>
    </w:p>
    <w:p>
      <w:r>
        <w:rPr>
          <w:b w:val="0"/>
        </w:rPr>
        <w:t>During 15–29 July 2026, the grid cell received 12.64 mm, with 6 days above 0.1 mm.</w:t>
      </w:r>
    </w:p>
    <w:tbl>
      <w:tblPr>
        <w:tblStyle w:val="TableGrid"/>
        <w:tblW w:type="auto" w:w="0"/>
        <w:jc w:val="center"/>
        <w:tblLayout w:type="fixed"/>
        <w:tblLook w:firstColumn="1" w:firstRow="1" w:lastColumn="0" w:lastRow="0" w:noHBand="0" w:noVBand="1" w:val="04A0"/>
        <w:tblBorders>
          <w:top w:val="single" w:sz="4" w:color="D8E0E5"/>
          <w:left w:val="single" w:sz="4" w:color="D8E0E5"/>
          <w:bottom w:val="single" w:sz="4" w:color="D8E0E5"/>
          <w:right w:val="single" w:sz="4" w:color="D8E0E5"/>
          <w:insideH w:val="single" w:sz="4" w:color="D8E0E5"/>
          <w:insideV w:val="single" w:sz="4" w:color="D8E0E5"/>
        </w:tblBorders>
      </w:tblPr>
      <w:tblGrid>
        <w:gridCol w:w="2523"/>
        <w:gridCol w:w="2523"/>
        <w:gridCol w:w="2523"/>
        <w:gridCol w:w="2523"/>
      </w:tblGrid>
      <w:tr>
        <w:trPr>
          <w:cantSplit/>
          <w:tblHeader w:val="true"/>
        </w:trPr>
        <w:tc>
          <w:tcPr>
            <w:tcW w:type="dxa" w:w="4000"/>
            <w:vAlign w:val="center"/>
            <w:tcMar>
              <w:top w:w="65" w:type="dxa"/>
              <w:start w:w="100" w:type="dxa"/>
              <w:bottom w:w="65" w:type="dxa"/>
              <w:end w:w="100" w:type="dxa"/>
            </w:tcMar>
            <w:shd w:fill="17324D"/>
          </w:tcPr>
          <w:p>
            <w:pPr>
              <w:spacing w:after="0" w:line="240" w:lineRule="auto"/>
            </w:pPr>
            <w:r>
              <w:rPr>
                <w:b/>
                <w:color w:val="FFFFFF"/>
                <w:sz w:val="16"/>
              </w:rPr>
              <w:t>Date</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Rain, mm</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Date</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Rain, mm</w:t>
            </w:r>
          </w:p>
        </w:tc>
      </w:tr>
      <w:tr>
        <w:trPr>
          <w:cantSplit/>
        </w:trPr>
        <w:tc>
          <w:tcPr>
            <w:tcW w:type="dxa" w:w="4000"/>
            <w:vAlign w:val="center"/>
            <w:tcMar>
              <w:top w:w="65" w:type="dxa"/>
              <w:start w:w="100" w:type="dxa"/>
              <w:bottom w:w="65" w:type="dxa"/>
              <w:end w:w="100" w:type="dxa"/>
            </w:tcMar>
          </w:tcPr>
          <w:p>
            <w:pPr>
              <w:spacing w:after="0" w:line="240" w:lineRule="auto"/>
            </w:pPr>
            <w:r>
              <w:rPr>
                <w:b w:val="0"/>
                <w:color w:val="222B32"/>
                <w:sz w:val="16"/>
              </w:rPr>
              <w:t>15 Jul</w:t>
            </w:r>
          </w:p>
        </w:tc>
        <w:tc>
          <w:tcPr>
            <w:tcW w:type="dxa" w:w="2000"/>
            <w:vAlign w:val="center"/>
            <w:tcMar>
              <w:top w:w="65" w:type="dxa"/>
              <w:start w:w="100" w:type="dxa"/>
              <w:bottom w:w="65" w:type="dxa"/>
              <w:end w:w="100" w:type="dxa"/>
            </w:tcMar>
          </w:tcPr>
          <w:p>
            <w:pPr>
              <w:spacing w:after="0" w:line="240" w:lineRule="auto"/>
            </w:pPr>
            <w:r>
              <w:rPr>
                <w:b w:val="0"/>
                <w:color w:val="222B32"/>
                <w:sz w:val="16"/>
              </w:rPr>
              <w:t>0.00</w:t>
            </w:r>
          </w:p>
        </w:tc>
        <w:tc>
          <w:tcPr>
            <w:tcW w:type="dxa" w:w="2000"/>
            <w:vAlign w:val="center"/>
            <w:tcMar>
              <w:top w:w="65" w:type="dxa"/>
              <w:start w:w="100" w:type="dxa"/>
              <w:bottom w:w="65" w:type="dxa"/>
              <w:end w:w="100" w:type="dxa"/>
            </w:tcMar>
          </w:tcPr>
          <w:p>
            <w:pPr>
              <w:spacing w:after="0" w:line="240" w:lineRule="auto"/>
            </w:pPr>
            <w:r>
              <w:rPr>
                <w:b w:val="0"/>
                <w:color w:val="222B32"/>
                <w:sz w:val="16"/>
              </w:rPr>
              <w:t>23 Jul</w:t>
            </w:r>
          </w:p>
        </w:tc>
        <w:tc>
          <w:tcPr>
            <w:tcW w:type="dxa" w:w="2000"/>
            <w:vAlign w:val="center"/>
            <w:tcMar>
              <w:top w:w="65" w:type="dxa"/>
              <w:start w:w="100" w:type="dxa"/>
              <w:bottom w:w="65" w:type="dxa"/>
              <w:end w:w="100" w:type="dxa"/>
            </w:tcMar>
          </w:tcPr>
          <w:p>
            <w:pPr>
              <w:spacing w:after="0" w:line="240" w:lineRule="auto"/>
            </w:pPr>
            <w:r>
              <w:rPr>
                <w:b w:val="0"/>
                <w:color w:val="222B32"/>
                <w:sz w:val="16"/>
              </w:rPr>
              <w:t>1.31</w:t>
            </w:r>
          </w:p>
        </w:tc>
      </w:tr>
      <w:tr>
        <w:trPr>
          <w:cantSplit/>
        </w:trPr>
        <w:tc>
          <w:tcPr>
            <w:tcW w:type="dxa" w:w="4000"/>
            <w:vAlign w:val="center"/>
            <w:tcMar>
              <w:top w:w="65" w:type="dxa"/>
              <w:start w:w="100" w:type="dxa"/>
              <w:bottom w:w="65" w:type="dxa"/>
              <w:end w:w="100" w:type="dxa"/>
            </w:tcMar>
            <w:shd w:fill="F4F8FA"/>
          </w:tcPr>
          <w:p>
            <w:pPr>
              <w:spacing w:after="0" w:line="240" w:lineRule="auto"/>
            </w:pPr>
            <w:r>
              <w:rPr>
                <w:b w:val="0"/>
                <w:color w:val="222B32"/>
                <w:sz w:val="16"/>
              </w:rPr>
              <w:t>16 Jul</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0.00</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24 Jul</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0.00</w:t>
            </w:r>
          </w:p>
        </w:tc>
      </w:tr>
      <w:tr>
        <w:trPr>
          <w:cantSplit/>
        </w:trPr>
        <w:tc>
          <w:tcPr>
            <w:tcW w:type="dxa" w:w="4000"/>
            <w:vAlign w:val="center"/>
            <w:tcMar>
              <w:top w:w="65" w:type="dxa"/>
              <w:start w:w="100" w:type="dxa"/>
              <w:bottom w:w="65" w:type="dxa"/>
              <w:end w:w="100" w:type="dxa"/>
            </w:tcMar>
          </w:tcPr>
          <w:p>
            <w:pPr>
              <w:spacing w:after="0" w:line="240" w:lineRule="auto"/>
            </w:pPr>
            <w:r>
              <w:rPr>
                <w:b w:val="0"/>
                <w:color w:val="222B32"/>
                <w:sz w:val="16"/>
              </w:rPr>
              <w:t>17 Jul</w:t>
            </w:r>
          </w:p>
        </w:tc>
        <w:tc>
          <w:tcPr>
            <w:tcW w:type="dxa" w:w="2000"/>
            <w:vAlign w:val="center"/>
            <w:tcMar>
              <w:top w:w="65" w:type="dxa"/>
              <w:start w:w="100" w:type="dxa"/>
              <w:bottom w:w="65" w:type="dxa"/>
              <w:end w:w="100" w:type="dxa"/>
            </w:tcMar>
          </w:tcPr>
          <w:p>
            <w:pPr>
              <w:spacing w:after="0" w:line="240" w:lineRule="auto"/>
            </w:pPr>
            <w:r>
              <w:rPr>
                <w:b w:val="0"/>
                <w:color w:val="222B32"/>
                <w:sz w:val="16"/>
              </w:rPr>
              <w:t>1.19</w:t>
            </w:r>
          </w:p>
        </w:tc>
        <w:tc>
          <w:tcPr>
            <w:tcW w:type="dxa" w:w="2000"/>
            <w:vAlign w:val="center"/>
            <w:tcMar>
              <w:top w:w="65" w:type="dxa"/>
              <w:start w:w="100" w:type="dxa"/>
              <w:bottom w:w="65" w:type="dxa"/>
              <w:end w:w="100" w:type="dxa"/>
            </w:tcMar>
          </w:tcPr>
          <w:p>
            <w:pPr>
              <w:spacing w:after="0" w:line="240" w:lineRule="auto"/>
            </w:pPr>
            <w:r>
              <w:rPr>
                <w:b w:val="0"/>
                <w:color w:val="222B32"/>
                <w:sz w:val="16"/>
              </w:rPr>
              <w:t>25 Jul</w:t>
            </w:r>
          </w:p>
        </w:tc>
        <w:tc>
          <w:tcPr>
            <w:tcW w:type="dxa" w:w="2000"/>
            <w:vAlign w:val="center"/>
            <w:tcMar>
              <w:top w:w="65" w:type="dxa"/>
              <w:start w:w="100" w:type="dxa"/>
              <w:bottom w:w="65" w:type="dxa"/>
              <w:end w:w="100" w:type="dxa"/>
            </w:tcMar>
          </w:tcPr>
          <w:p>
            <w:pPr>
              <w:spacing w:after="0" w:line="240" w:lineRule="auto"/>
            </w:pPr>
            <w:r>
              <w:rPr>
                <w:b w:val="0"/>
                <w:color w:val="222B32"/>
                <w:sz w:val="16"/>
              </w:rPr>
              <w:t>0.00</w:t>
            </w:r>
          </w:p>
        </w:tc>
      </w:tr>
      <w:tr>
        <w:trPr>
          <w:cantSplit/>
        </w:trPr>
        <w:tc>
          <w:tcPr>
            <w:tcW w:type="dxa" w:w="4000"/>
            <w:vAlign w:val="center"/>
            <w:tcMar>
              <w:top w:w="65" w:type="dxa"/>
              <w:start w:w="100" w:type="dxa"/>
              <w:bottom w:w="65" w:type="dxa"/>
              <w:end w:w="100" w:type="dxa"/>
            </w:tcMar>
            <w:shd w:fill="F4F8FA"/>
          </w:tcPr>
          <w:p>
            <w:pPr>
              <w:spacing w:after="0" w:line="240" w:lineRule="auto"/>
            </w:pPr>
            <w:r>
              <w:rPr>
                <w:b w:val="0"/>
                <w:color w:val="222B32"/>
                <w:sz w:val="16"/>
              </w:rPr>
              <w:t>18 Jul</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5.21</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26 Jul</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0.00</w:t>
            </w:r>
          </w:p>
        </w:tc>
      </w:tr>
      <w:tr>
        <w:trPr>
          <w:cantSplit/>
        </w:trPr>
        <w:tc>
          <w:tcPr>
            <w:tcW w:type="dxa" w:w="4000"/>
            <w:vAlign w:val="center"/>
            <w:tcMar>
              <w:top w:w="65" w:type="dxa"/>
              <w:start w:w="100" w:type="dxa"/>
              <w:bottom w:w="65" w:type="dxa"/>
              <w:end w:w="100" w:type="dxa"/>
            </w:tcMar>
          </w:tcPr>
          <w:p>
            <w:pPr>
              <w:spacing w:after="0" w:line="240" w:lineRule="auto"/>
            </w:pPr>
            <w:r>
              <w:rPr>
                <w:b w:val="0"/>
                <w:color w:val="222B32"/>
                <w:sz w:val="16"/>
              </w:rPr>
              <w:t>19 Jul</w:t>
            </w:r>
          </w:p>
        </w:tc>
        <w:tc>
          <w:tcPr>
            <w:tcW w:type="dxa" w:w="2000"/>
            <w:vAlign w:val="center"/>
            <w:tcMar>
              <w:top w:w="65" w:type="dxa"/>
              <w:start w:w="100" w:type="dxa"/>
              <w:bottom w:w="65" w:type="dxa"/>
              <w:end w:w="100" w:type="dxa"/>
            </w:tcMar>
          </w:tcPr>
          <w:p>
            <w:pPr>
              <w:spacing w:after="0" w:line="240" w:lineRule="auto"/>
            </w:pPr>
            <w:r>
              <w:rPr>
                <w:b w:val="0"/>
                <w:color w:val="222B32"/>
                <w:sz w:val="16"/>
              </w:rPr>
              <w:t>0.61</w:t>
            </w:r>
          </w:p>
        </w:tc>
        <w:tc>
          <w:tcPr>
            <w:tcW w:type="dxa" w:w="2000"/>
            <w:vAlign w:val="center"/>
            <w:tcMar>
              <w:top w:w="65" w:type="dxa"/>
              <w:start w:w="100" w:type="dxa"/>
              <w:bottom w:w="65" w:type="dxa"/>
              <w:end w:w="100" w:type="dxa"/>
            </w:tcMar>
          </w:tcPr>
          <w:p>
            <w:pPr>
              <w:spacing w:after="0" w:line="240" w:lineRule="auto"/>
            </w:pPr>
            <w:r>
              <w:rPr>
                <w:b w:val="0"/>
                <w:color w:val="222B32"/>
                <w:sz w:val="16"/>
              </w:rPr>
              <w:t>27 Jul</w:t>
            </w:r>
          </w:p>
        </w:tc>
        <w:tc>
          <w:tcPr>
            <w:tcW w:type="dxa" w:w="2000"/>
            <w:vAlign w:val="center"/>
            <w:tcMar>
              <w:top w:w="65" w:type="dxa"/>
              <w:start w:w="100" w:type="dxa"/>
              <w:bottom w:w="65" w:type="dxa"/>
              <w:end w:w="100" w:type="dxa"/>
            </w:tcMar>
          </w:tcPr>
          <w:p>
            <w:pPr>
              <w:spacing w:after="0" w:line="240" w:lineRule="auto"/>
            </w:pPr>
            <w:r>
              <w:rPr>
                <w:b w:val="0"/>
                <w:color w:val="222B32"/>
                <w:sz w:val="16"/>
              </w:rPr>
              <w:t>0.00</w:t>
            </w:r>
          </w:p>
        </w:tc>
      </w:tr>
      <w:tr>
        <w:trPr>
          <w:cantSplit/>
        </w:trPr>
        <w:tc>
          <w:tcPr>
            <w:tcW w:type="dxa" w:w="4000"/>
            <w:vAlign w:val="center"/>
            <w:tcMar>
              <w:top w:w="65" w:type="dxa"/>
              <w:start w:w="100" w:type="dxa"/>
              <w:bottom w:w="65" w:type="dxa"/>
              <w:end w:w="100" w:type="dxa"/>
            </w:tcMar>
            <w:shd w:fill="F4F8FA"/>
          </w:tcPr>
          <w:p>
            <w:pPr>
              <w:spacing w:after="0" w:line="240" w:lineRule="auto"/>
            </w:pPr>
            <w:r>
              <w:rPr>
                <w:b w:val="0"/>
                <w:color w:val="222B32"/>
                <w:sz w:val="16"/>
              </w:rPr>
              <w:t>20 Jul</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2.57</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28 Jul</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0.01</w:t>
            </w:r>
          </w:p>
        </w:tc>
      </w:tr>
      <w:tr>
        <w:trPr>
          <w:cantSplit/>
        </w:trPr>
        <w:tc>
          <w:tcPr>
            <w:tcW w:type="dxa" w:w="4000"/>
            <w:vAlign w:val="center"/>
            <w:tcMar>
              <w:top w:w="65" w:type="dxa"/>
              <w:start w:w="100" w:type="dxa"/>
              <w:bottom w:w="65" w:type="dxa"/>
              <w:end w:w="100" w:type="dxa"/>
            </w:tcMar>
          </w:tcPr>
          <w:p>
            <w:pPr>
              <w:spacing w:after="0" w:line="240" w:lineRule="auto"/>
            </w:pPr>
            <w:r>
              <w:rPr>
                <w:b w:val="0"/>
                <w:color w:val="222B32"/>
                <w:sz w:val="16"/>
              </w:rPr>
              <w:t>21 Jul</w:t>
            </w:r>
          </w:p>
        </w:tc>
        <w:tc>
          <w:tcPr>
            <w:tcW w:type="dxa" w:w="2000"/>
            <w:vAlign w:val="center"/>
            <w:tcMar>
              <w:top w:w="65" w:type="dxa"/>
              <w:start w:w="100" w:type="dxa"/>
              <w:bottom w:w="65" w:type="dxa"/>
              <w:end w:w="100" w:type="dxa"/>
            </w:tcMar>
          </w:tcPr>
          <w:p>
            <w:pPr>
              <w:spacing w:after="0" w:line="240" w:lineRule="auto"/>
            </w:pPr>
            <w:r>
              <w:rPr>
                <w:b w:val="0"/>
                <w:color w:val="222B32"/>
                <w:sz w:val="16"/>
              </w:rPr>
              <w:t>0.03</w:t>
            </w:r>
          </w:p>
        </w:tc>
        <w:tc>
          <w:tcPr>
            <w:tcW w:type="dxa" w:w="2000"/>
            <w:vAlign w:val="center"/>
            <w:tcMar>
              <w:top w:w="65" w:type="dxa"/>
              <w:start w:w="100" w:type="dxa"/>
              <w:bottom w:w="65" w:type="dxa"/>
              <w:end w:w="100" w:type="dxa"/>
            </w:tcMar>
          </w:tcPr>
          <w:p>
            <w:pPr>
              <w:spacing w:after="0" w:line="240" w:lineRule="auto"/>
            </w:pPr>
            <w:r>
              <w:rPr>
                <w:b w:val="0"/>
                <w:color w:val="222B32"/>
                <w:sz w:val="16"/>
              </w:rPr>
              <w:t>29 Jul</w:t>
            </w:r>
          </w:p>
        </w:tc>
        <w:tc>
          <w:tcPr>
            <w:tcW w:type="dxa" w:w="2000"/>
            <w:vAlign w:val="center"/>
            <w:tcMar>
              <w:top w:w="65" w:type="dxa"/>
              <w:start w:w="100" w:type="dxa"/>
              <w:bottom w:w="65" w:type="dxa"/>
              <w:end w:w="100" w:type="dxa"/>
            </w:tcMar>
          </w:tcPr>
          <w:p>
            <w:pPr>
              <w:spacing w:after="0" w:line="240" w:lineRule="auto"/>
            </w:pPr>
            <w:r>
              <w:rPr>
                <w:b w:val="0"/>
                <w:color w:val="222B32"/>
                <w:sz w:val="16"/>
              </w:rPr>
              <w:t>0.05</w:t>
            </w:r>
          </w:p>
        </w:tc>
      </w:tr>
      <w:tr>
        <w:trPr>
          <w:cantSplit/>
        </w:trPr>
        <w:tc>
          <w:tcPr>
            <w:tcW w:type="dxa" w:w="4000"/>
            <w:vAlign w:val="center"/>
            <w:tcMar>
              <w:top w:w="65" w:type="dxa"/>
              <w:start w:w="100" w:type="dxa"/>
              <w:bottom w:w="65" w:type="dxa"/>
              <w:end w:w="100" w:type="dxa"/>
            </w:tcMar>
            <w:shd w:fill="F4F8FA"/>
          </w:tcPr>
          <w:p>
            <w:pPr>
              <w:spacing w:after="0" w:line="240" w:lineRule="auto"/>
            </w:pPr>
            <w:r>
              <w:rPr>
                <w:b w:val="0"/>
                <w:color w:val="222B32"/>
                <w:sz w:val="16"/>
              </w:rPr>
              <w:t>22 Jul</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1.66</w:t>
            </w:r>
          </w:p>
        </w:tc>
        <w:tc>
          <w:tcPr>
            <w:tcW w:type="dxa" w:w="2000"/>
            <w:vAlign w:val="center"/>
            <w:tcMar>
              <w:top w:w="65" w:type="dxa"/>
              <w:start w:w="100" w:type="dxa"/>
              <w:bottom w:w="65" w:type="dxa"/>
              <w:end w:w="100" w:type="dxa"/>
            </w:tcMar>
            <w:shd w:fill="F4F8FA"/>
          </w:tcPr>
          <w:p>
            <w:pPr>
              <w:spacing w:after="0" w:line="240" w:lineRule="auto"/>
            </w:pPr>
          </w:p>
        </w:tc>
        <w:tc>
          <w:tcPr>
            <w:tcW w:type="dxa" w:w="2000"/>
            <w:vAlign w:val="center"/>
            <w:tcMar>
              <w:top w:w="65" w:type="dxa"/>
              <w:start w:w="100" w:type="dxa"/>
              <w:bottom w:w="65" w:type="dxa"/>
              <w:end w:w="100" w:type="dxa"/>
            </w:tcMar>
            <w:shd w:fill="F4F8FA"/>
          </w:tcPr>
          <w:p>
            <w:pPr>
              <w:spacing w:after="0" w:line="240" w:lineRule="auto"/>
            </w:pPr>
          </w:p>
        </w:tc>
      </w:tr>
    </w:tbl>
    <w:p>
      <w:pPr>
        <w:spacing w:after="0"/>
      </w:pPr>
    </w:p>
    <w:p>
      <w:pPr>
        <w:pStyle w:val="Heading2"/>
        <w:pageBreakBefore w:val="0"/>
      </w:pPr>
      <w:r>
        <w:rPr>
          <w:b/>
        </w:rPr>
        <w:t>13.4 Selected rainfall features and results</w:t>
      </w:r>
    </w:p>
    <w:p>
      <w:r>
        <w:rPr>
          <w:b w:val="0"/>
        </w:rPr>
        <w:t>The pump model selected prior-1-day plus prior-3-day rainfall. The recovery model selected prior-1-day rainfall.</w:t>
      </w:r>
    </w:p>
    <w:tbl>
      <w:tblPr>
        <w:tblStyle w:val="TableGrid"/>
        <w:tblW w:type="auto" w:w="0"/>
        <w:jc w:val="center"/>
        <w:tblLayout w:type="fixed"/>
        <w:tblLook w:firstColumn="1" w:firstRow="1" w:lastColumn="0" w:lastRow="0" w:noHBand="0" w:noVBand="1" w:val="04A0"/>
        <w:tblBorders>
          <w:top w:val="single" w:sz="4" w:color="D8E0E5"/>
          <w:left w:val="single" w:sz="4" w:color="D8E0E5"/>
          <w:bottom w:val="single" w:sz="4" w:color="D8E0E5"/>
          <w:right w:val="single" w:sz="4" w:color="D8E0E5"/>
          <w:insideH w:val="single" w:sz="4" w:color="D8E0E5"/>
          <w:insideV w:val="single" w:sz="4" w:color="D8E0E5"/>
        </w:tblBorders>
      </w:tblPr>
      <w:tblGrid>
        <w:gridCol w:w="1261"/>
        <w:gridCol w:w="1261"/>
        <w:gridCol w:w="1261"/>
        <w:gridCol w:w="1261"/>
        <w:gridCol w:w="1261"/>
        <w:gridCol w:w="1261"/>
        <w:gridCol w:w="1261"/>
        <w:gridCol w:w="1261"/>
      </w:tblGrid>
      <w:tr>
        <w:trPr>
          <w:cantSplit/>
          <w:tblHeader w:val="true"/>
        </w:trPr>
        <w:tc>
          <w:tcPr>
            <w:tcW w:type="dxa" w:w="2600"/>
            <w:vAlign w:val="center"/>
            <w:tcMar>
              <w:top w:w="65" w:type="dxa"/>
              <w:start w:w="100" w:type="dxa"/>
              <w:bottom w:w="65" w:type="dxa"/>
              <w:end w:w="100" w:type="dxa"/>
            </w:tcMar>
            <w:shd w:fill="17324D"/>
          </w:tcPr>
          <w:p>
            <w:pPr>
              <w:spacing w:after="0" w:line="240" w:lineRule="auto"/>
            </w:pPr>
            <w:r>
              <w:rPr>
                <w:b/>
                <w:color w:val="FFFFFF"/>
                <w:sz w:val="15"/>
              </w:rPr>
              <w:t>Target</w:t>
            </w:r>
          </w:p>
        </w:tc>
        <w:tc>
          <w:tcPr>
            <w:tcW w:type="dxa" w:w="1057"/>
            <w:vAlign w:val="center"/>
            <w:tcMar>
              <w:top w:w="65" w:type="dxa"/>
              <w:start w:w="100" w:type="dxa"/>
              <w:bottom w:w="65" w:type="dxa"/>
              <w:end w:w="100" w:type="dxa"/>
            </w:tcMar>
            <w:shd w:fill="17324D"/>
          </w:tcPr>
          <w:p>
            <w:pPr>
              <w:spacing w:after="0" w:line="240" w:lineRule="auto"/>
            </w:pPr>
            <w:r>
              <w:rPr>
                <w:b/>
                <w:color w:val="FFFFFF"/>
                <w:sz w:val="15"/>
              </w:rPr>
              <w:t>Baseline MAE</w:t>
            </w:r>
          </w:p>
        </w:tc>
        <w:tc>
          <w:tcPr>
            <w:tcW w:type="dxa" w:w="1057"/>
            <w:vAlign w:val="center"/>
            <w:tcMar>
              <w:top w:w="65" w:type="dxa"/>
              <w:start w:w="100" w:type="dxa"/>
              <w:bottom w:w="65" w:type="dxa"/>
              <w:end w:w="100" w:type="dxa"/>
            </w:tcMar>
            <w:shd w:fill="17324D"/>
          </w:tcPr>
          <w:p>
            <w:pPr>
              <w:spacing w:after="0" w:line="240" w:lineRule="auto"/>
            </w:pPr>
            <w:r>
              <w:rPr>
                <w:b/>
                <w:color w:val="FFFFFF"/>
                <w:sz w:val="15"/>
              </w:rPr>
              <w:t>Rainfall MAE</w:t>
            </w:r>
          </w:p>
        </w:tc>
        <w:tc>
          <w:tcPr>
            <w:tcW w:type="dxa" w:w="1057"/>
            <w:vAlign w:val="center"/>
            <w:tcMar>
              <w:top w:w="65" w:type="dxa"/>
              <w:start w:w="100" w:type="dxa"/>
              <w:bottom w:w="65" w:type="dxa"/>
              <w:end w:w="100" w:type="dxa"/>
            </w:tcMar>
            <w:shd w:fill="17324D"/>
          </w:tcPr>
          <w:p>
            <w:pPr>
              <w:spacing w:after="0" w:line="240" w:lineRule="auto"/>
            </w:pPr>
            <w:r>
              <w:rPr>
                <w:b/>
                <w:color w:val="FFFFFF"/>
                <w:sz w:val="15"/>
              </w:rPr>
              <w:t>MAE improvement</w:t>
            </w:r>
          </w:p>
        </w:tc>
        <w:tc>
          <w:tcPr>
            <w:tcW w:type="dxa" w:w="1057"/>
            <w:vAlign w:val="center"/>
            <w:tcMar>
              <w:top w:w="65" w:type="dxa"/>
              <w:start w:w="100" w:type="dxa"/>
              <w:bottom w:w="65" w:type="dxa"/>
              <w:end w:w="100" w:type="dxa"/>
            </w:tcMar>
            <w:shd w:fill="17324D"/>
          </w:tcPr>
          <w:p>
            <w:pPr>
              <w:spacing w:after="0" w:line="240" w:lineRule="auto"/>
            </w:pPr>
            <w:r>
              <w:rPr>
                <w:b/>
                <w:color w:val="FFFFFF"/>
                <w:sz w:val="15"/>
              </w:rPr>
              <w:t>Baseline median AE</w:t>
            </w:r>
          </w:p>
        </w:tc>
        <w:tc>
          <w:tcPr>
            <w:tcW w:type="dxa" w:w="1057"/>
            <w:vAlign w:val="center"/>
            <w:tcMar>
              <w:top w:w="65" w:type="dxa"/>
              <w:start w:w="100" w:type="dxa"/>
              <w:bottom w:w="65" w:type="dxa"/>
              <w:end w:w="100" w:type="dxa"/>
            </w:tcMar>
            <w:shd w:fill="17324D"/>
          </w:tcPr>
          <w:p>
            <w:pPr>
              <w:spacing w:after="0" w:line="240" w:lineRule="auto"/>
            </w:pPr>
            <w:r>
              <w:rPr>
                <w:b/>
                <w:color w:val="FFFFFF"/>
                <w:sz w:val="15"/>
              </w:rPr>
              <w:t>Rainfall median AE</w:t>
            </w:r>
          </w:p>
        </w:tc>
        <w:tc>
          <w:tcPr>
            <w:tcW w:type="dxa" w:w="1057"/>
            <w:vAlign w:val="center"/>
            <w:tcMar>
              <w:top w:w="65" w:type="dxa"/>
              <w:start w:w="100" w:type="dxa"/>
              <w:bottom w:w="65" w:type="dxa"/>
              <w:end w:w="100" w:type="dxa"/>
            </w:tcMar>
            <w:shd w:fill="17324D"/>
          </w:tcPr>
          <w:p>
            <w:pPr>
              <w:spacing w:after="0" w:line="240" w:lineRule="auto"/>
            </w:pPr>
            <w:r>
              <w:rPr>
                <w:b/>
                <w:color w:val="FFFFFF"/>
                <w:sz w:val="15"/>
              </w:rPr>
              <w:t>Baseline RMSE</w:t>
            </w:r>
          </w:p>
        </w:tc>
        <w:tc>
          <w:tcPr>
            <w:tcW w:type="dxa" w:w="1057"/>
            <w:vAlign w:val="center"/>
            <w:tcMar>
              <w:top w:w="65" w:type="dxa"/>
              <w:start w:w="100" w:type="dxa"/>
              <w:bottom w:w="65" w:type="dxa"/>
              <w:end w:w="100" w:type="dxa"/>
            </w:tcMar>
            <w:shd w:fill="17324D"/>
          </w:tcPr>
          <w:p>
            <w:pPr>
              <w:spacing w:after="0" w:line="240" w:lineRule="auto"/>
            </w:pPr>
            <w:r>
              <w:rPr>
                <w:b/>
                <w:color w:val="FFFFFF"/>
                <w:sz w:val="15"/>
              </w:rPr>
              <w:t>Rainfall RMSE</w:t>
            </w:r>
          </w:p>
        </w:tc>
      </w:tr>
      <w:tr>
        <w:trPr>
          <w:cantSplit/>
        </w:trPr>
        <w:tc>
          <w:tcPr>
            <w:tcW w:type="dxa" w:w="2600"/>
            <w:vAlign w:val="center"/>
            <w:tcMar>
              <w:top w:w="65" w:type="dxa"/>
              <w:start w:w="100" w:type="dxa"/>
              <w:bottom w:w="65" w:type="dxa"/>
              <w:end w:w="100" w:type="dxa"/>
            </w:tcMar>
          </w:tcPr>
          <w:p>
            <w:pPr>
              <w:spacing w:after="0" w:line="240" w:lineRule="auto"/>
            </w:pPr>
            <w:r>
              <w:rPr>
                <w:b w:val="0"/>
                <w:color w:val="222B32"/>
                <w:sz w:val="15"/>
              </w:rPr>
              <w:t>Pump</w:t>
            </w:r>
          </w:p>
        </w:tc>
        <w:tc>
          <w:tcPr>
            <w:tcW w:type="dxa" w:w="1057"/>
            <w:vAlign w:val="center"/>
            <w:tcMar>
              <w:top w:w="65" w:type="dxa"/>
              <w:start w:w="100" w:type="dxa"/>
              <w:bottom w:w="65" w:type="dxa"/>
              <w:end w:w="100" w:type="dxa"/>
            </w:tcMar>
          </w:tcPr>
          <w:p>
            <w:pPr>
              <w:spacing w:after="0" w:line="240" w:lineRule="auto"/>
            </w:pPr>
            <w:r>
              <w:rPr>
                <w:b w:val="0"/>
                <w:color w:val="222B32"/>
                <w:sz w:val="15"/>
              </w:rPr>
              <w:t>8.9530</w:t>
            </w:r>
          </w:p>
        </w:tc>
        <w:tc>
          <w:tcPr>
            <w:tcW w:type="dxa" w:w="1057"/>
            <w:vAlign w:val="center"/>
            <w:tcMar>
              <w:top w:w="65" w:type="dxa"/>
              <w:start w:w="100" w:type="dxa"/>
              <w:bottom w:w="65" w:type="dxa"/>
              <w:end w:w="100" w:type="dxa"/>
            </w:tcMar>
          </w:tcPr>
          <w:p>
            <w:pPr>
              <w:spacing w:after="0" w:line="240" w:lineRule="auto"/>
            </w:pPr>
            <w:r>
              <w:rPr>
                <w:b w:val="0"/>
                <w:color w:val="222B32"/>
                <w:sz w:val="15"/>
              </w:rPr>
              <w:t>8.9491</w:t>
            </w:r>
          </w:p>
        </w:tc>
        <w:tc>
          <w:tcPr>
            <w:tcW w:type="dxa" w:w="1057"/>
            <w:vAlign w:val="center"/>
            <w:tcMar>
              <w:top w:w="65" w:type="dxa"/>
              <w:start w:w="100" w:type="dxa"/>
              <w:bottom w:w="65" w:type="dxa"/>
              <w:end w:w="100" w:type="dxa"/>
            </w:tcMar>
          </w:tcPr>
          <w:p>
            <w:pPr>
              <w:spacing w:after="0" w:line="240" w:lineRule="auto"/>
            </w:pPr>
            <w:r>
              <w:rPr>
                <w:b w:val="0"/>
                <w:color w:val="222B32"/>
                <w:sz w:val="15"/>
              </w:rPr>
              <w:t>0.0438%</w:t>
            </w:r>
          </w:p>
        </w:tc>
        <w:tc>
          <w:tcPr>
            <w:tcW w:type="dxa" w:w="1057"/>
            <w:vAlign w:val="center"/>
            <w:tcMar>
              <w:top w:w="65" w:type="dxa"/>
              <w:start w:w="100" w:type="dxa"/>
              <w:bottom w:w="65" w:type="dxa"/>
              <w:end w:w="100" w:type="dxa"/>
            </w:tcMar>
          </w:tcPr>
          <w:p>
            <w:pPr>
              <w:spacing w:after="0" w:line="240" w:lineRule="auto"/>
            </w:pPr>
            <w:r>
              <w:rPr>
                <w:b w:val="0"/>
                <w:color w:val="222B32"/>
                <w:sz w:val="15"/>
              </w:rPr>
              <w:t>4.8750</w:t>
            </w:r>
          </w:p>
        </w:tc>
        <w:tc>
          <w:tcPr>
            <w:tcW w:type="dxa" w:w="1057"/>
            <w:vAlign w:val="center"/>
            <w:tcMar>
              <w:top w:w="65" w:type="dxa"/>
              <w:start w:w="100" w:type="dxa"/>
              <w:bottom w:w="65" w:type="dxa"/>
              <w:end w:w="100" w:type="dxa"/>
            </w:tcMar>
          </w:tcPr>
          <w:p>
            <w:pPr>
              <w:spacing w:after="0" w:line="240" w:lineRule="auto"/>
            </w:pPr>
            <w:r>
              <w:rPr>
                <w:b w:val="0"/>
                <w:color w:val="222B32"/>
                <w:sz w:val="15"/>
              </w:rPr>
              <w:t>4.8269</w:t>
            </w:r>
          </w:p>
        </w:tc>
        <w:tc>
          <w:tcPr>
            <w:tcW w:type="dxa" w:w="1057"/>
            <w:vAlign w:val="center"/>
            <w:tcMar>
              <w:top w:w="65" w:type="dxa"/>
              <w:start w:w="100" w:type="dxa"/>
              <w:bottom w:w="65" w:type="dxa"/>
              <w:end w:w="100" w:type="dxa"/>
            </w:tcMar>
          </w:tcPr>
          <w:p>
            <w:pPr>
              <w:spacing w:after="0" w:line="240" w:lineRule="auto"/>
            </w:pPr>
            <w:r>
              <w:rPr>
                <w:b w:val="0"/>
                <w:color w:val="222B32"/>
                <w:sz w:val="15"/>
              </w:rPr>
              <w:t>13.7250</w:t>
            </w:r>
          </w:p>
        </w:tc>
        <w:tc>
          <w:tcPr>
            <w:tcW w:type="dxa" w:w="1057"/>
            <w:vAlign w:val="center"/>
            <w:tcMar>
              <w:top w:w="65" w:type="dxa"/>
              <w:start w:w="100" w:type="dxa"/>
              <w:bottom w:w="65" w:type="dxa"/>
              <w:end w:w="100" w:type="dxa"/>
            </w:tcMar>
          </w:tcPr>
          <w:p>
            <w:pPr>
              <w:spacing w:after="0" w:line="240" w:lineRule="auto"/>
            </w:pPr>
            <w:r>
              <w:rPr>
                <w:b w:val="0"/>
                <w:color w:val="222B32"/>
                <w:sz w:val="15"/>
              </w:rPr>
              <w:t>13.7121</w:t>
            </w:r>
          </w:p>
        </w:tc>
      </w:tr>
      <w:tr>
        <w:trPr>
          <w:cantSplit/>
        </w:trPr>
        <w:tc>
          <w:tcPr>
            <w:tcW w:type="dxa" w:w="2600"/>
            <w:vAlign w:val="center"/>
            <w:tcMar>
              <w:top w:w="65" w:type="dxa"/>
              <w:start w:w="100" w:type="dxa"/>
              <w:bottom w:w="65" w:type="dxa"/>
              <w:end w:w="100" w:type="dxa"/>
            </w:tcMar>
            <w:shd w:fill="F4F8FA"/>
          </w:tcPr>
          <w:p>
            <w:pPr>
              <w:spacing w:after="0" w:line="240" w:lineRule="auto"/>
            </w:pPr>
            <w:r>
              <w:rPr>
                <w:b w:val="0"/>
                <w:color w:val="222B32"/>
                <w:sz w:val="15"/>
              </w:rPr>
              <w:t>Recovery</w:t>
            </w:r>
          </w:p>
        </w:tc>
        <w:tc>
          <w:tcPr>
            <w:tcW w:type="dxa" w:w="1057"/>
            <w:vAlign w:val="center"/>
            <w:tcMar>
              <w:top w:w="65" w:type="dxa"/>
              <w:start w:w="100" w:type="dxa"/>
              <w:bottom w:w="65" w:type="dxa"/>
              <w:end w:w="100" w:type="dxa"/>
            </w:tcMar>
            <w:shd w:fill="F4F8FA"/>
          </w:tcPr>
          <w:p>
            <w:pPr>
              <w:spacing w:after="0" w:line="240" w:lineRule="auto"/>
            </w:pPr>
            <w:r>
              <w:rPr>
                <w:b w:val="0"/>
                <w:color w:val="222B32"/>
                <w:sz w:val="15"/>
              </w:rPr>
              <w:t>7.0878</w:t>
            </w:r>
          </w:p>
        </w:tc>
        <w:tc>
          <w:tcPr>
            <w:tcW w:type="dxa" w:w="1057"/>
            <w:vAlign w:val="center"/>
            <w:tcMar>
              <w:top w:w="65" w:type="dxa"/>
              <w:start w:w="100" w:type="dxa"/>
              <w:bottom w:w="65" w:type="dxa"/>
              <w:end w:w="100" w:type="dxa"/>
            </w:tcMar>
            <w:shd w:fill="F4F8FA"/>
          </w:tcPr>
          <w:p>
            <w:pPr>
              <w:spacing w:after="0" w:line="240" w:lineRule="auto"/>
            </w:pPr>
            <w:r>
              <w:rPr>
                <w:b w:val="0"/>
                <w:color w:val="222B32"/>
                <w:sz w:val="15"/>
              </w:rPr>
              <w:t>7.0868</w:t>
            </w:r>
          </w:p>
        </w:tc>
        <w:tc>
          <w:tcPr>
            <w:tcW w:type="dxa" w:w="1057"/>
            <w:vAlign w:val="center"/>
            <w:tcMar>
              <w:top w:w="65" w:type="dxa"/>
              <w:start w:w="100" w:type="dxa"/>
              <w:bottom w:w="65" w:type="dxa"/>
              <w:end w:w="100" w:type="dxa"/>
            </w:tcMar>
            <w:shd w:fill="F4F8FA"/>
          </w:tcPr>
          <w:p>
            <w:pPr>
              <w:spacing w:after="0" w:line="240" w:lineRule="auto"/>
            </w:pPr>
            <w:r>
              <w:rPr>
                <w:b w:val="0"/>
                <w:color w:val="222B32"/>
                <w:sz w:val="15"/>
              </w:rPr>
              <w:t>0.0129%</w:t>
            </w:r>
          </w:p>
        </w:tc>
        <w:tc>
          <w:tcPr>
            <w:tcW w:type="dxa" w:w="1057"/>
            <w:vAlign w:val="center"/>
            <w:tcMar>
              <w:top w:w="65" w:type="dxa"/>
              <w:start w:w="100" w:type="dxa"/>
              <w:bottom w:w="65" w:type="dxa"/>
              <w:end w:w="100" w:type="dxa"/>
            </w:tcMar>
            <w:shd w:fill="F4F8FA"/>
          </w:tcPr>
          <w:p>
            <w:pPr>
              <w:spacing w:after="0" w:line="240" w:lineRule="auto"/>
            </w:pPr>
            <w:r>
              <w:rPr>
                <w:b w:val="0"/>
                <w:color w:val="222B32"/>
                <w:sz w:val="15"/>
              </w:rPr>
              <w:t>3.7710</w:t>
            </w:r>
          </w:p>
        </w:tc>
        <w:tc>
          <w:tcPr>
            <w:tcW w:type="dxa" w:w="1057"/>
            <w:vAlign w:val="center"/>
            <w:tcMar>
              <w:top w:w="65" w:type="dxa"/>
              <w:start w:w="100" w:type="dxa"/>
              <w:bottom w:w="65" w:type="dxa"/>
              <w:end w:w="100" w:type="dxa"/>
            </w:tcMar>
            <w:shd w:fill="F4F8FA"/>
          </w:tcPr>
          <w:p>
            <w:pPr>
              <w:spacing w:after="0" w:line="240" w:lineRule="auto"/>
            </w:pPr>
            <w:r>
              <w:rPr>
                <w:b w:val="0"/>
                <w:color w:val="222B32"/>
                <w:sz w:val="15"/>
              </w:rPr>
              <w:t>3.7499</w:t>
            </w:r>
          </w:p>
        </w:tc>
        <w:tc>
          <w:tcPr>
            <w:tcW w:type="dxa" w:w="1057"/>
            <w:vAlign w:val="center"/>
            <w:tcMar>
              <w:top w:w="65" w:type="dxa"/>
              <w:start w:w="100" w:type="dxa"/>
              <w:bottom w:w="65" w:type="dxa"/>
              <w:end w:w="100" w:type="dxa"/>
            </w:tcMar>
            <w:shd w:fill="F4F8FA"/>
          </w:tcPr>
          <w:p>
            <w:pPr>
              <w:spacing w:after="0" w:line="240" w:lineRule="auto"/>
            </w:pPr>
            <w:r>
              <w:rPr>
                <w:b w:val="0"/>
                <w:color w:val="222B32"/>
                <w:sz w:val="15"/>
              </w:rPr>
              <w:t>11.0656</w:t>
            </w:r>
          </w:p>
        </w:tc>
        <w:tc>
          <w:tcPr>
            <w:tcW w:type="dxa" w:w="1057"/>
            <w:vAlign w:val="center"/>
            <w:tcMar>
              <w:top w:w="65" w:type="dxa"/>
              <w:start w:w="100" w:type="dxa"/>
              <w:bottom w:w="65" w:type="dxa"/>
              <w:end w:w="100" w:type="dxa"/>
            </w:tcMar>
            <w:shd w:fill="F4F8FA"/>
          </w:tcPr>
          <w:p>
            <w:pPr>
              <w:spacing w:after="0" w:line="240" w:lineRule="auto"/>
            </w:pPr>
            <w:r>
              <w:rPr>
                <w:b w:val="0"/>
                <w:color w:val="222B32"/>
                <w:sz w:val="15"/>
              </w:rPr>
              <w:t>11.0649</w:t>
            </w:r>
          </w:p>
        </w:tc>
      </w:tr>
    </w:tbl>
    <w:p>
      <w:pPr>
        <w:spacing w:after="0"/>
      </w:pPr>
    </w:p>
    <w:p>
      <w:r>
        <w:rPr>
          <w:b w:val="0"/>
        </w:rPr>
        <w:t>Weighted by holdout record count, combined screened MAE was:</w:t>
      </w:r>
    </w:p>
    <w:p>
      <w:pPr>
        <w:pStyle w:val="EquationDisplay"/>
      </w:pPr>
      <w:r>
        <w:drawing>
          <wp:inline xmlns:a="http://schemas.openxmlformats.org/drawingml/2006/main" xmlns:pic="http://schemas.openxmlformats.org/drawingml/2006/picture">
            <wp:extent cx="1498854" cy="130832"/>
            <wp:docPr id="57" name="Picture 57" descr="MAE_{base}=8.134227\text{ m},"/>
            <wp:cNvGraphicFramePr>
              <a:graphicFrameLocks noChangeAspect="1"/>
            </wp:cNvGraphicFramePr>
            <a:graphic>
              <a:graphicData uri="http://schemas.openxmlformats.org/drawingml/2006/picture">
                <pic:pic>
                  <pic:nvPicPr>
                    <pic:cNvPr id="0" name="061274654f897b82.png"/>
                    <pic:cNvPicPr/>
                  </pic:nvPicPr>
                  <pic:blipFill>
                    <a:blip r:embed="rId73"/>
                    <a:stretch>
                      <a:fillRect/>
                    </a:stretch>
                  </pic:blipFill>
                  <pic:spPr>
                    <a:xfrm>
                      <a:off x="0" y="0"/>
                      <a:ext cx="1498854" cy="130832"/>
                    </a:xfrm>
                    <a:prstGeom prst="rect"/>
                  </pic:spPr>
                </pic:pic>
              </a:graphicData>
            </a:graphic>
          </wp:inline>
        </w:drawing>
      </w:r>
    </w:p>
    <w:p>
      <w:pPr>
        <w:pStyle w:val="EquationDisplay"/>
      </w:pPr>
      <w:r>
        <w:drawing>
          <wp:inline xmlns:a="http://schemas.openxmlformats.org/drawingml/2006/main" xmlns:pic="http://schemas.openxmlformats.org/drawingml/2006/picture">
            <wp:extent cx="1502156" cy="130788"/>
            <wp:docPr id="58" name="Picture 58" descr="MAE_{rain}=8.131628\text{ m},"/>
            <wp:cNvGraphicFramePr>
              <a:graphicFrameLocks noChangeAspect="1"/>
            </wp:cNvGraphicFramePr>
            <a:graphic>
              <a:graphicData uri="http://schemas.openxmlformats.org/drawingml/2006/picture">
                <pic:pic>
                  <pic:nvPicPr>
                    <pic:cNvPr id="0" name="6489de467794e15b.png"/>
                    <pic:cNvPicPr/>
                  </pic:nvPicPr>
                  <pic:blipFill>
                    <a:blip r:embed="rId74"/>
                    <a:stretch>
                      <a:fillRect/>
                    </a:stretch>
                  </pic:blipFill>
                  <pic:spPr>
                    <a:xfrm>
                      <a:off x="0" y="0"/>
                      <a:ext cx="1502156" cy="130788"/>
                    </a:xfrm>
                    <a:prstGeom prst="rect"/>
                  </pic:spPr>
                </pic:pic>
              </a:graphicData>
            </a:graphic>
          </wp:inline>
        </w:drawing>
      </w:r>
    </w:p>
    <w:p>
      <w:pPr>
        <w:pStyle w:val="EquationDisplay"/>
      </w:pPr>
      <w:r>
        <w:drawing>
          <wp:inline xmlns:a="http://schemas.openxmlformats.org/drawingml/2006/main" xmlns:pic="http://schemas.openxmlformats.org/drawingml/2006/picture">
            <wp:extent cx="1767014" cy="135924"/>
            <wp:docPr id="59" name="Picture 59" descr="Improvement=0.031955\%."/>
            <wp:cNvGraphicFramePr>
              <a:graphicFrameLocks noChangeAspect="1"/>
            </wp:cNvGraphicFramePr>
            <a:graphic>
              <a:graphicData uri="http://schemas.openxmlformats.org/drawingml/2006/picture">
                <pic:pic>
                  <pic:nvPicPr>
                    <pic:cNvPr id="0" name="b34f6e5da6c69788.png"/>
                    <pic:cNvPicPr/>
                  </pic:nvPicPr>
                  <pic:blipFill>
                    <a:blip r:embed="rId75"/>
                    <a:stretch>
                      <a:fillRect/>
                    </a:stretch>
                  </pic:blipFill>
                  <pic:spPr>
                    <a:xfrm>
                      <a:off x="0" y="0"/>
                      <a:ext cx="1767014" cy="135924"/>
                    </a:xfrm>
                    <a:prstGeom prst="rect"/>
                  </pic:spPr>
                </pic:pic>
              </a:graphicData>
            </a:graphic>
          </wp:inline>
        </w:drawing>
      </w:r>
    </w:p>
    <w:p>
      <w:r>
        <w:rPr>
          <w:b w:val="0"/>
        </w:rPr>
        <w:t>The experiment defined material improvement as at least 5%. Neither transition met that threshold.</w:t>
      </w:r>
    </w:p>
    <w:p>
      <w:pPr>
        <w:pStyle w:val="Heading2"/>
        <w:pageBreakBefore w:val="0"/>
      </w:pPr>
      <w:r>
        <w:rPr>
          <w:b/>
        </w:rPr>
        <w:t>13.5 What the rainfall result does and does not mean</w:t>
      </w:r>
    </w:p>
    <w:p>
      <w:r>
        <w:rPr>
          <w:b w:val="0"/>
        </w:rPr>
        <w:t>The result says that these particular lagged rainfall features, applied from one grid cell across all wells in this 15-day period, did not improve the four-day holdout materially. It does not establish that rainfall is unimportant to Bengaluru groundwater. Recharge can be delayed, spatially variable, routed through fractures, obscured by pumping, and dependent on antecedent wetness and urban surface conditions.</w:t>
      </w:r>
    </w:p>
    <w:p>
      <w:pPr>
        <w:pStyle w:val="Heading1"/>
        <w:pageBreakBefore w:val="0"/>
      </w:pPr>
      <w:r>
        <w:rPr>
          <w:b/>
        </w:rPr>
        <w:t>14. Rainfall comparison page scenario mathematics</w:t>
      </w:r>
    </w:p>
    <w:p>
      <w:r>
        <w:rPr>
          <w:b w:val="0"/>
        </w:rPr>
        <w:t>The rainfall comparison page contains two different ideas:</w:t>
      </w:r>
    </w:p>
    <w:p>
      <w:pPr>
        <w:spacing w:after="50"/>
        <w:ind w:left="408" w:hanging="238"/>
      </w:pPr>
      <w:r>
        <w:rPr>
          <w:b/>
          <w:color w:val="1F6F8B"/>
        </w:rPr>
        <w:t xml:space="preserve">1.  </w:t>
      </w:r>
      <w:r>
        <w:rPr>
          <w:b w:val="0"/>
        </w:rPr>
        <w:t>retrospective validation, where lagged rainfall features were fitted in the robust transition models;</w:t>
      </w:r>
    </w:p>
    <w:p>
      <w:pPr>
        <w:spacing w:after="50"/>
        <w:ind w:left="408" w:hanging="238"/>
      </w:pPr>
      <w:r>
        <w:rPr>
          <w:b/>
          <w:color w:val="1F6F8B"/>
        </w:rPr>
        <w:t xml:space="preserve">2.  </w:t>
      </w:r>
      <w:r>
        <w:rPr>
          <w:b w:val="0"/>
        </w:rPr>
        <w:t>a forward seasonal scenario, where historical monthly rainfall climatology adjusts the recent-trend path.</w:t>
      </w:r>
    </w:p>
    <w:p>
      <w:r>
        <w:rPr>
          <w:b w:val="0"/>
        </w:rPr>
        <w:t>The fitted rainfall regression coefficients do not drive the displayed future rainfall mean path. Keeping this distinction is essential.</w:t>
      </w:r>
    </w:p>
    <w:p>
      <w:pPr>
        <w:pStyle w:val="Heading2"/>
        <w:pageBreakBefore w:val="0"/>
      </w:pPr>
      <w:r>
        <w:rPr>
          <w:b/>
        </w:rPr>
        <w:t>14.1 Monthly climatology</w:t>
      </w:r>
    </w:p>
    <w:p>
      <w:r>
        <w:rPr>
          <w:b w:val="0"/>
        </w:rPr>
        <w:t>Using 2001–2025 daily rainfall, each year’s monthly total was calculated. For each calendar month, the 25th percentile, median, and 75th percentile across years represent dry, typical, and wet scenarios.</w:t>
      </w:r>
    </w:p>
    <w:tbl>
      <w:tblPr>
        <w:tblStyle w:val="TableGrid"/>
        <w:tblW w:type="auto" w:w="0"/>
        <w:jc w:val="center"/>
        <w:tblLayout w:type="fixed"/>
        <w:tblLook w:firstColumn="1" w:firstRow="1" w:lastColumn="0" w:lastRow="0" w:noHBand="0" w:noVBand="1" w:val="04A0"/>
        <w:tblBorders>
          <w:top w:val="single" w:sz="4" w:color="D8E0E5"/>
          <w:left w:val="single" w:sz="4" w:color="D8E0E5"/>
          <w:bottom w:val="single" w:sz="4" w:color="D8E0E5"/>
          <w:right w:val="single" w:sz="4" w:color="D8E0E5"/>
          <w:insideH w:val="single" w:sz="4" w:color="D8E0E5"/>
          <w:insideV w:val="single" w:sz="4" w:color="D8E0E5"/>
        </w:tblBorders>
      </w:tblPr>
      <w:tblGrid>
        <w:gridCol w:w="1682"/>
        <w:gridCol w:w="1682"/>
        <w:gridCol w:w="1682"/>
        <w:gridCol w:w="1682"/>
        <w:gridCol w:w="1682"/>
        <w:gridCol w:w="1682"/>
      </w:tblGrid>
      <w:tr>
        <w:trPr>
          <w:cantSplit/>
          <w:tblHeader w:val="true"/>
        </w:trPr>
        <w:tc>
          <w:tcPr>
            <w:tcW w:type="dxa" w:w="2600"/>
            <w:vAlign w:val="center"/>
            <w:tcMar>
              <w:top w:w="65" w:type="dxa"/>
              <w:start w:w="100" w:type="dxa"/>
              <w:bottom w:w="65" w:type="dxa"/>
              <w:end w:w="100" w:type="dxa"/>
            </w:tcMar>
            <w:shd w:fill="17324D"/>
          </w:tcPr>
          <w:p>
            <w:pPr>
              <w:spacing w:after="0" w:line="240" w:lineRule="auto"/>
            </w:pPr>
            <w:r>
              <w:rPr>
                <w:b/>
                <w:color w:val="FFFFFF"/>
                <w:sz w:val="15"/>
              </w:rPr>
              <w:t>Month</w:t>
            </w:r>
          </w:p>
        </w:tc>
        <w:tc>
          <w:tcPr>
            <w:tcW w:type="dxa" w:w="1480"/>
            <w:vAlign w:val="center"/>
            <w:tcMar>
              <w:top w:w="65" w:type="dxa"/>
              <w:start w:w="100" w:type="dxa"/>
              <w:bottom w:w="65" w:type="dxa"/>
              <w:end w:w="100" w:type="dxa"/>
            </w:tcMar>
            <w:shd w:fill="17324D"/>
          </w:tcPr>
          <w:p>
            <w:pPr>
              <w:spacing w:after="0" w:line="240" w:lineRule="auto"/>
            </w:pPr>
            <w:r>
              <w:rPr>
                <w:b/>
                <w:color w:val="FFFFFF"/>
                <w:sz w:val="15"/>
              </w:rPr>
              <w:t>Dry q25, mm/month</w:t>
            </w:r>
          </w:p>
        </w:tc>
        <w:tc>
          <w:tcPr>
            <w:tcW w:type="dxa" w:w="1480"/>
            <w:vAlign w:val="center"/>
            <w:tcMar>
              <w:top w:w="65" w:type="dxa"/>
              <w:start w:w="100" w:type="dxa"/>
              <w:bottom w:w="65" w:type="dxa"/>
              <w:end w:w="100" w:type="dxa"/>
            </w:tcMar>
            <w:shd w:fill="17324D"/>
          </w:tcPr>
          <w:p>
            <w:pPr>
              <w:spacing w:after="0" w:line="240" w:lineRule="auto"/>
            </w:pPr>
            <w:r>
              <w:rPr>
                <w:b/>
                <w:color w:val="FFFFFF"/>
                <w:sz w:val="15"/>
              </w:rPr>
              <w:t>Median, mm/month</w:t>
            </w:r>
          </w:p>
        </w:tc>
        <w:tc>
          <w:tcPr>
            <w:tcW w:type="dxa" w:w="1480"/>
            <w:vAlign w:val="center"/>
            <w:tcMar>
              <w:top w:w="65" w:type="dxa"/>
              <w:start w:w="100" w:type="dxa"/>
              <w:bottom w:w="65" w:type="dxa"/>
              <w:end w:w="100" w:type="dxa"/>
            </w:tcMar>
            <w:shd w:fill="17324D"/>
          </w:tcPr>
          <w:p>
            <w:pPr>
              <w:spacing w:after="0" w:line="240" w:lineRule="auto"/>
            </w:pPr>
            <w:r>
              <w:rPr>
                <w:b/>
                <w:color w:val="FFFFFF"/>
                <w:sz w:val="15"/>
              </w:rPr>
              <w:t>Wet q75, mm/month</w:t>
            </w:r>
          </w:p>
        </w:tc>
        <w:tc>
          <w:tcPr>
            <w:tcW w:type="dxa" w:w="1480"/>
            <w:vAlign w:val="center"/>
            <w:tcMar>
              <w:top w:w="65" w:type="dxa"/>
              <w:start w:w="100" w:type="dxa"/>
              <w:bottom w:w="65" w:type="dxa"/>
              <w:end w:w="100" w:type="dxa"/>
            </w:tcMar>
            <w:shd w:fill="17324D"/>
          </w:tcPr>
          <w:p>
            <w:pPr>
              <w:spacing w:after="0" w:line="240" w:lineRule="auto"/>
            </w:pPr>
            <w:r>
              <w:rPr>
                <w:b/>
                <w:color w:val="FFFFFF"/>
                <w:sz w:val="15"/>
              </w:rPr>
              <w:t>Mean daily, mm</w:t>
            </w:r>
          </w:p>
        </w:tc>
        <w:tc>
          <w:tcPr>
            <w:tcW w:type="dxa" w:w="1480"/>
            <w:vAlign w:val="center"/>
            <w:tcMar>
              <w:top w:w="65" w:type="dxa"/>
              <w:start w:w="100" w:type="dxa"/>
              <w:bottom w:w="65" w:type="dxa"/>
              <w:end w:w="100" w:type="dxa"/>
            </w:tcMar>
            <w:shd w:fill="17324D"/>
          </w:tcPr>
          <w:p>
            <w:pPr>
              <w:spacing w:after="0" w:line="240" w:lineRule="auto"/>
            </w:pPr>
            <w:r>
              <w:rPr>
                <w:b/>
                <w:color w:val="FFFFFF"/>
                <w:sz w:val="15"/>
              </w:rPr>
              <w:t>Wet-day share</w:t>
            </w:r>
          </w:p>
        </w:tc>
      </w:tr>
      <w:tr>
        <w:trPr>
          <w:cantSplit/>
        </w:trPr>
        <w:tc>
          <w:tcPr>
            <w:tcW w:type="dxa" w:w="2600"/>
            <w:vAlign w:val="center"/>
            <w:tcMar>
              <w:top w:w="65" w:type="dxa"/>
              <w:start w:w="100" w:type="dxa"/>
              <w:bottom w:w="65" w:type="dxa"/>
              <w:end w:w="100" w:type="dxa"/>
            </w:tcMar>
          </w:tcPr>
          <w:p>
            <w:pPr>
              <w:spacing w:after="0" w:line="240" w:lineRule="auto"/>
            </w:pPr>
            <w:r>
              <w:rPr>
                <w:b w:val="0"/>
                <w:color w:val="222B32"/>
                <w:sz w:val="15"/>
              </w:rPr>
              <w:t>Jan</w:t>
            </w:r>
          </w:p>
        </w:tc>
        <w:tc>
          <w:tcPr>
            <w:tcW w:type="dxa" w:w="1480"/>
            <w:vAlign w:val="center"/>
            <w:tcMar>
              <w:top w:w="65" w:type="dxa"/>
              <w:start w:w="100" w:type="dxa"/>
              <w:bottom w:w="65" w:type="dxa"/>
              <w:end w:w="100" w:type="dxa"/>
            </w:tcMar>
          </w:tcPr>
          <w:p>
            <w:pPr>
              <w:spacing w:after="0" w:line="240" w:lineRule="auto"/>
            </w:pPr>
            <w:r>
              <w:rPr>
                <w:b w:val="0"/>
                <w:color w:val="222B32"/>
                <w:sz w:val="15"/>
              </w:rPr>
              <w:t>0.31</w:t>
            </w:r>
          </w:p>
        </w:tc>
        <w:tc>
          <w:tcPr>
            <w:tcW w:type="dxa" w:w="1480"/>
            <w:vAlign w:val="center"/>
            <w:tcMar>
              <w:top w:w="65" w:type="dxa"/>
              <w:start w:w="100" w:type="dxa"/>
              <w:bottom w:w="65" w:type="dxa"/>
              <w:end w:w="100" w:type="dxa"/>
            </w:tcMar>
          </w:tcPr>
          <w:p>
            <w:pPr>
              <w:spacing w:after="0" w:line="240" w:lineRule="auto"/>
            </w:pPr>
            <w:r>
              <w:rPr>
                <w:b w:val="0"/>
                <w:color w:val="222B32"/>
                <w:sz w:val="15"/>
              </w:rPr>
              <w:t>2.00</w:t>
            </w:r>
          </w:p>
        </w:tc>
        <w:tc>
          <w:tcPr>
            <w:tcW w:type="dxa" w:w="1480"/>
            <w:vAlign w:val="center"/>
            <w:tcMar>
              <w:top w:w="65" w:type="dxa"/>
              <w:start w:w="100" w:type="dxa"/>
              <w:bottom w:w="65" w:type="dxa"/>
              <w:end w:w="100" w:type="dxa"/>
            </w:tcMar>
          </w:tcPr>
          <w:p>
            <w:pPr>
              <w:spacing w:after="0" w:line="240" w:lineRule="auto"/>
            </w:pPr>
            <w:r>
              <w:rPr>
                <w:b w:val="0"/>
                <w:color w:val="222B32"/>
                <w:sz w:val="15"/>
              </w:rPr>
              <w:t>5.14</w:t>
            </w:r>
          </w:p>
        </w:tc>
        <w:tc>
          <w:tcPr>
            <w:tcW w:type="dxa" w:w="1480"/>
            <w:vAlign w:val="center"/>
            <w:tcMar>
              <w:top w:w="65" w:type="dxa"/>
              <w:start w:w="100" w:type="dxa"/>
              <w:bottom w:w="65" w:type="dxa"/>
              <w:end w:w="100" w:type="dxa"/>
            </w:tcMar>
          </w:tcPr>
          <w:p>
            <w:pPr>
              <w:spacing w:after="0" w:line="240" w:lineRule="auto"/>
            </w:pPr>
            <w:r>
              <w:rPr>
                <w:b w:val="0"/>
                <w:color w:val="222B32"/>
                <w:sz w:val="15"/>
              </w:rPr>
              <w:t>0.106</w:t>
            </w:r>
          </w:p>
        </w:tc>
        <w:tc>
          <w:tcPr>
            <w:tcW w:type="dxa" w:w="1480"/>
            <w:vAlign w:val="center"/>
            <w:tcMar>
              <w:top w:w="65" w:type="dxa"/>
              <w:start w:w="100" w:type="dxa"/>
              <w:bottom w:w="65" w:type="dxa"/>
              <w:end w:w="100" w:type="dxa"/>
            </w:tcMar>
          </w:tcPr>
          <w:p>
            <w:pPr>
              <w:spacing w:after="0" w:line="240" w:lineRule="auto"/>
            </w:pPr>
            <w:r>
              <w:rPr>
                <w:b w:val="0"/>
                <w:color w:val="222B32"/>
                <w:sz w:val="15"/>
              </w:rPr>
              <w:t>0.0426</w:t>
            </w:r>
          </w:p>
        </w:tc>
      </w:tr>
      <w:tr>
        <w:trPr>
          <w:cantSplit/>
        </w:trPr>
        <w:tc>
          <w:tcPr>
            <w:tcW w:type="dxa" w:w="2600"/>
            <w:vAlign w:val="center"/>
            <w:tcMar>
              <w:top w:w="65" w:type="dxa"/>
              <w:start w:w="100" w:type="dxa"/>
              <w:bottom w:w="65" w:type="dxa"/>
              <w:end w:w="100" w:type="dxa"/>
            </w:tcMar>
            <w:shd w:fill="F4F8FA"/>
          </w:tcPr>
          <w:p>
            <w:pPr>
              <w:spacing w:after="0" w:line="240" w:lineRule="auto"/>
            </w:pPr>
            <w:r>
              <w:rPr>
                <w:b w:val="0"/>
                <w:color w:val="222B32"/>
                <w:sz w:val="15"/>
              </w:rPr>
              <w:t>Feb</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0.00</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0.28</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5.77</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0.155</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0.0496</w:t>
            </w:r>
          </w:p>
        </w:tc>
      </w:tr>
      <w:tr>
        <w:trPr>
          <w:cantSplit/>
        </w:trPr>
        <w:tc>
          <w:tcPr>
            <w:tcW w:type="dxa" w:w="2600"/>
            <w:vAlign w:val="center"/>
            <w:tcMar>
              <w:top w:w="65" w:type="dxa"/>
              <w:start w:w="100" w:type="dxa"/>
              <w:bottom w:w="65" w:type="dxa"/>
              <w:end w:w="100" w:type="dxa"/>
            </w:tcMar>
          </w:tcPr>
          <w:p>
            <w:pPr>
              <w:spacing w:after="0" w:line="240" w:lineRule="auto"/>
            </w:pPr>
            <w:r>
              <w:rPr>
                <w:b w:val="0"/>
                <w:color w:val="222B32"/>
                <w:sz w:val="15"/>
              </w:rPr>
              <w:t>Mar</w:t>
            </w:r>
          </w:p>
        </w:tc>
        <w:tc>
          <w:tcPr>
            <w:tcW w:type="dxa" w:w="1480"/>
            <w:vAlign w:val="center"/>
            <w:tcMar>
              <w:top w:w="65" w:type="dxa"/>
              <w:start w:w="100" w:type="dxa"/>
              <w:bottom w:w="65" w:type="dxa"/>
              <w:end w:w="100" w:type="dxa"/>
            </w:tcMar>
          </w:tcPr>
          <w:p>
            <w:pPr>
              <w:spacing w:after="0" w:line="240" w:lineRule="auto"/>
            </w:pPr>
            <w:r>
              <w:rPr>
                <w:b w:val="0"/>
                <w:color w:val="222B32"/>
                <w:sz w:val="15"/>
              </w:rPr>
              <w:t>0.91</w:t>
            </w:r>
          </w:p>
        </w:tc>
        <w:tc>
          <w:tcPr>
            <w:tcW w:type="dxa" w:w="1480"/>
            <w:vAlign w:val="center"/>
            <w:tcMar>
              <w:top w:w="65" w:type="dxa"/>
              <w:start w:w="100" w:type="dxa"/>
              <w:bottom w:w="65" w:type="dxa"/>
              <w:end w:w="100" w:type="dxa"/>
            </w:tcMar>
          </w:tcPr>
          <w:p>
            <w:pPr>
              <w:spacing w:after="0" w:line="240" w:lineRule="auto"/>
            </w:pPr>
            <w:r>
              <w:rPr>
                <w:b w:val="0"/>
                <w:color w:val="222B32"/>
                <w:sz w:val="15"/>
              </w:rPr>
              <w:t>8.31</w:t>
            </w:r>
          </w:p>
        </w:tc>
        <w:tc>
          <w:tcPr>
            <w:tcW w:type="dxa" w:w="1480"/>
            <w:vAlign w:val="center"/>
            <w:tcMar>
              <w:top w:w="65" w:type="dxa"/>
              <w:start w:w="100" w:type="dxa"/>
              <w:bottom w:w="65" w:type="dxa"/>
              <w:end w:w="100" w:type="dxa"/>
            </w:tcMar>
          </w:tcPr>
          <w:p>
            <w:pPr>
              <w:spacing w:after="0" w:line="240" w:lineRule="auto"/>
            </w:pPr>
            <w:r>
              <w:rPr>
                <w:b w:val="0"/>
                <w:color w:val="222B32"/>
                <w:sz w:val="15"/>
              </w:rPr>
              <w:t>21.31</w:t>
            </w:r>
          </w:p>
        </w:tc>
        <w:tc>
          <w:tcPr>
            <w:tcW w:type="dxa" w:w="1480"/>
            <w:vAlign w:val="center"/>
            <w:tcMar>
              <w:top w:w="65" w:type="dxa"/>
              <w:start w:w="100" w:type="dxa"/>
              <w:bottom w:w="65" w:type="dxa"/>
              <w:end w:w="100" w:type="dxa"/>
            </w:tcMar>
          </w:tcPr>
          <w:p>
            <w:pPr>
              <w:spacing w:after="0" w:line="240" w:lineRule="auto"/>
            </w:pPr>
            <w:r>
              <w:rPr>
                <w:b w:val="0"/>
                <w:color w:val="222B32"/>
                <w:sz w:val="15"/>
              </w:rPr>
              <w:t>0.506</w:t>
            </w:r>
          </w:p>
        </w:tc>
        <w:tc>
          <w:tcPr>
            <w:tcW w:type="dxa" w:w="1480"/>
            <w:vAlign w:val="center"/>
            <w:tcMar>
              <w:top w:w="65" w:type="dxa"/>
              <w:start w:w="100" w:type="dxa"/>
              <w:bottom w:w="65" w:type="dxa"/>
              <w:end w:w="100" w:type="dxa"/>
            </w:tcMar>
          </w:tcPr>
          <w:p>
            <w:pPr>
              <w:spacing w:after="0" w:line="240" w:lineRule="auto"/>
            </w:pPr>
            <w:r>
              <w:rPr>
                <w:b w:val="0"/>
                <w:color w:val="222B32"/>
                <w:sz w:val="15"/>
              </w:rPr>
              <w:t>0.1226</w:t>
            </w:r>
          </w:p>
        </w:tc>
      </w:tr>
      <w:tr>
        <w:trPr>
          <w:cantSplit/>
        </w:trPr>
        <w:tc>
          <w:tcPr>
            <w:tcW w:type="dxa" w:w="2600"/>
            <w:vAlign w:val="center"/>
            <w:tcMar>
              <w:top w:w="65" w:type="dxa"/>
              <w:start w:w="100" w:type="dxa"/>
              <w:bottom w:w="65" w:type="dxa"/>
              <w:end w:w="100" w:type="dxa"/>
            </w:tcMar>
            <w:shd w:fill="F4F8FA"/>
          </w:tcPr>
          <w:p>
            <w:pPr>
              <w:spacing w:after="0" w:line="240" w:lineRule="auto"/>
            </w:pPr>
            <w:r>
              <w:rPr>
                <w:b w:val="0"/>
                <w:color w:val="222B32"/>
                <w:sz w:val="15"/>
              </w:rPr>
              <w:t>Apr</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22.65</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38.62</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63.93</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1.773</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0.2853</w:t>
            </w:r>
          </w:p>
        </w:tc>
      </w:tr>
      <w:tr>
        <w:trPr>
          <w:cantSplit/>
        </w:trPr>
        <w:tc>
          <w:tcPr>
            <w:tcW w:type="dxa" w:w="2600"/>
            <w:vAlign w:val="center"/>
            <w:tcMar>
              <w:top w:w="65" w:type="dxa"/>
              <w:start w:w="100" w:type="dxa"/>
              <w:bottom w:w="65" w:type="dxa"/>
              <w:end w:w="100" w:type="dxa"/>
            </w:tcMar>
          </w:tcPr>
          <w:p>
            <w:pPr>
              <w:spacing w:after="0" w:line="240" w:lineRule="auto"/>
            </w:pPr>
            <w:r>
              <w:rPr>
                <w:b w:val="0"/>
                <w:color w:val="222B32"/>
                <w:sz w:val="15"/>
              </w:rPr>
              <w:t>May</w:t>
            </w:r>
          </w:p>
        </w:tc>
        <w:tc>
          <w:tcPr>
            <w:tcW w:type="dxa" w:w="1480"/>
            <w:vAlign w:val="center"/>
            <w:tcMar>
              <w:top w:w="65" w:type="dxa"/>
              <w:start w:w="100" w:type="dxa"/>
              <w:bottom w:w="65" w:type="dxa"/>
              <w:end w:w="100" w:type="dxa"/>
            </w:tcMar>
          </w:tcPr>
          <w:p>
            <w:pPr>
              <w:spacing w:after="0" w:line="240" w:lineRule="auto"/>
            </w:pPr>
            <w:r>
              <w:rPr>
                <w:b w:val="0"/>
                <w:color w:val="222B32"/>
                <w:sz w:val="15"/>
              </w:rPr>
              <w:t>84.88</w:t>
            </w:r>
          </w:p>
        </w:tc>
        <w:tc>
          <w:tcPr>
            <w:tcW w:type="dxa" w:w="1480"/>
            <w:vAlign w:val="center"/>
            <w:tcMar>
              <w:top w:w="65" w:type="dxa"/>
              <w:start w:w="100" w:type="dxa"/>
              <w:bottom w:w="65" w:type="dxa"/>
              <w:end w:w="100" w:type="dxa"/>
            </w:tcMar>
          </w:tcPr>
          <w:p>
            <w:pPr>
              <w:spacing w:after="0" w:line="240" w:lineRule="auto"/>
            </w:pPr>
            <w:r>
              <w:rPr>
                <w:b w:val="0"/>
                <w:color w:val="222B32"/>
                <w:sz w:val="15"/>
              </w:rPr>
              <w:t>116.14</w:t>
            </w:r>
          </w:p>
        </w:tc>
        <w:tc>
          <w:tcPr>
            <w:tcW w:type="dxa" w:w="1480"/>
            <w:vAlign w:val="center"/>
            <w:tcMar>
              <w:top w:w="65" w:type="dxa"/>
              <w:start w:w="100" w:type="dxa"/>
              <w:bottom w:w="65" w:type="dxa"/>
              <w:end w:w="100" w:type="dxa"/>
            </w:tcMar>
          </w:tcPr>
          <w:p>
            <w:pPr>
              <w:spacing w:after="0" w:line="240" w:lineRule="auto"/>
            </w:pPr>
            <w:r>
              <w:rPr>
                <w:b w:val="0"/>
                <w:color w:val="222B32"/>
                <w:sz w:val="15"/>
              </w:rPr>
              <w:t>154.88</w:t>
            </w:r>
          </w:p>
        </w:tc>
        <w:tc>
          <w:tcPr>
            <w:tcW w:type="dxa" w:w="1480"/>
            <w:vAlign w:val="center"/>
            <w:tcMar>
              <w:top w:w="65" w:type="dxa"/>
              <w:start w:w="100" w:type="dxa"/>
              <w:bottom w:w="65" w:type="dxa"/>
              <w:end w:w="100" w:type="dxa"/>
            </w:tcMar>
          </w:tcPr>
          <w:p>
            <w:pPr>
              <w:spacing w:after="0" w:line="240" w:lineRule="auto"/>
            </w:pPr>
            <w:r>
              <w:rPr>
                <w:b w:val="0"/>
                <w:color w:val="222B32"/>
                <w:sz w:val="15"/>
              </w:rPr>
              <w:t>3.866</w:t>
            </w:r>
          </w:p>
        </w:tc>
        <w:tc>
          <w:tcPr>
            <w:tcW w:type="dxa" w:w="1480"/>
            <w:vAlign w:val="center"/>
            <w:tcMar>
              <w:top w:w="65" w:type="dxa"/>
              <w:start w:w="100" w:type="dxa"/>
              <w:bottom w:w="65" w:type="dxa"/>
              <w:end w:w="100" w:type="dxa"/>
            </w:tcMar>
          </w:tcPr>
          <w:p>
            <w:pPr>
              <w:spacing w:after="0" w:line="240" w:lineRule="auto"/>
            </w:pPr>
            <w:r>
              <w:rPr>
                <w:b w:val="0"/>
                <w:color w:val="222B32"/>
                <w:sz w:val="15"/>
              </w:rPr>
              <w:t>0.5587</w:t>
            </w:r>
          </w:p>
        </w:tc>
      </w:tr>
      <w:tr>
        <w:trPr>
          <w:cantSplit/>
        </w:trPr>
        <w:tc>
          <w:tcPr>
            <w:tcW w:type="dxa" w:w="2600"/>
            <w:vAlign w:val="center"/>
            <w:tcMar>
              <w:top w:w="65" w:type="dxa"/>
              <w:start w:w="100" w:type="dxa"/>
              <w:bottom w:w="65" w:type="dxa"/>
              <w:end w:w="100" w:type="dxa"/>
            </w:tcMar>
            <w:shd w:fill="F4F8FA"/>
          </w:tcPr>
          <w:p>
            <w:pPr>
              <w:spacing w:after="0" w:line="240" w:lineRule="auto"/>
            </w:pPr>
            <w:r>
              <w:rPr>
                <w:b w:val="0"/>
                <w:color w:val="222B32"/>
                <w:sz w:val="15"/>
              </w:rPr>
              <w:t>Jun</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50.68</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74.46</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100.20</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2.723</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0.5200</w:t>
            </w:r>
          </w:p>
        </w:tc>
      </w:tr>
      <w:tr>
        <w:trPr>
          <w:cantSplit/>
        </w:trPr>
        <w:tc>
          <w:tcPr>
            <w:tcW w:type="dxa" w:w="2600"/>
            <w:vAlign w:val="center"/>
            <w:tcMar>
              <w:top w:w="65" w:type="dxa"/>
              <w:start w:w="100" w:type="dxa"/>
              <w:bottom w:w="65" w:type="dxa"/>
              <w:end w:w="100" w:type="dxa"/>
            </w:tcMar>
          </w:tcPr>
          <w:p>
            <w:pPr>
              <w:spacing w:after="0" w:line="240" w:lineRule="auto"/>
            </w:pPr>
            <w:r>
              <w:rPr>
                <w:b w:val="0"/>
                <w:color w:val="222B32"/>
                <w:sz w:val="15"/>
              </w:rPr>
              <w:t>Jul</w:t>
            </w:r>
          </w:p>
        </w:tc>
        <w:tc>
          <w:tcPr>
            <w:tcW w:type="dxa" w:w="1480"/>
            <w:vAlign w:val="center"/>
            <w:tcMar>
              <w:top w:w="65" w:type="dxa"/>
              <w:start w:w="100" w:type="dxa"/>
              <w:bottom w:w="65" w:type="dxa"/>
              <w:end w:w="100" w:type="dxa"/>
            </w:tcMar>
          </w:tcPr>
          <w:p>
            <w:pPr>
              <w:spacing w:after="0" w:line="240" w:lineRule="auto"/>
            </w:pPr>
            <w:r>
              <w:rPr>
                <w:b w:val="0"/>
                <w:color w:val="222B32"/>
                <w:sz w:val="15"/>
              </w:rPr>
              <w:t>56.37</w:t>
            </w:r>
          </w:p>
        </w:tc>
        <w:tc>
          <w:tcPr>
            <w:tcW w:type="dxa" w:w="1480"/>
            <w:vAlign w:val="center"/>
            <w:tcMar>
              <w:top w:w="65" w:type="dxa"/>
              <w:start w:w="100" w:type="dxa"/>
              <w:bottom w:w="65" w:type="dxa"/>
              <w:end w:w="100" w:type="dxa"/>
            </w:tcMar>
          </w:tcPr>
          <w:p>
            <w:pPr>
              <w:spacing w:after="0" w:line="240" w:lineRule="auto"/>
            </w:pPr>
            <w:r>
              <w:rPr>
                <w:b w:val="0"/>
                <w:color w:val="222B32"/>
                <w:sz w:val="15"/>
              </w:rPr>
              <w:t>70.74</w:t>
            </w:r>
          </w:p>
        </w:tc>
        <w:tc>
          <w:tcPr>
            <w:tcW w:type="dxa" w:w="1480"/>
            <w:vAlign w:val="center"/>
            <w:tcMar>
              <w:top w:w="65" w:type="dxa"/>
              <w:start w:w="100" w:type="dxa"/>
              <w:bottom w:w="65" w:type="dxa"/>
              <w:end w:w="100" w:type="dxa"/>
            </w:tcMar>
          </w:tcPr>
          <w:p>
            <w:pPr>
              <w:spacing w:after="0" w:line="240" w:lineRule="auto"/>
            </w:pPr>
            <w:r>
              <w:rPr>
                <w:b w:val="0"/>
                <w:color w:val="222B32"/>
                <w:sz w:val="15"/>
              </w:rPr>
              <w:t>142.20</w:t>
            </w:r>
          </w:p>
        </w:tc>
        <w:tc>
          <w:tcPr>
            <w:tcW w:type="dxa" w:w="1480"/>
            <w:vAlign w:val="center"/>
            <w:tcMar>
              <w:top w:w="65" w:type="dxa"/>
              <w:start w:w="100" w:type="dxa"/>
              <w:bottom w:w="65" w:type="dxa"/>
              <w:end w:w="100" w:type="dxa"/>
            </w:tcMar>
          </w:tcPr>
          <w:p>
            <w:pPr>
              <w:spacing w:after="0" w:line="240" w:lineRule="auto"/>
            </w:pPr>
            <w:r>
              <w:rPr>
                <w:b w:val="0"/>
                <w:color w:val="222B32"/>
                <w:sz w:val="15"/>
              </w:rPr>
              <w:t>3.245</w:t>
            </w:r>
          </w:p>
        </w:tc>
        <w:tc>
          <w:tcPr>
            <w:tcW w:type="dxa" w:w="1480"/>
            <w:vAlign w:val="center"/>
            <w:tcMar>
              <w:top w:w="65" w:type="dxa"/>
              <w:start w:w="100" w:type="dxa"/>
              <w:bottom w:w="65" w:type="dxa"/>
              <w:end w:w="100" w:type="dxa"/>
            </w:tcMar>
          </w:tcPr>
          <w:p>
            <w:pPr>
              <w:spacing w:after="0" w:line="240" w:lineRule="auto"/>
            </w:pPr>
            <w:r>
              <w:rPr>
                <w:b w:val="0"/>
                <w:color w:val="222B32"/>
                <w:sz w:val="15"/>
              </w:rPr>
              <w:t>0.5974</w:t>
            </w:r>
          </w:p>
        </w:tc>
      </w:tr>
      <w:tr>
        <w:trPr>
          <w:cantSplit/>
        </w:trPr>
        <w:tc>
          <w:tcPr>
            <w:tcW w:type="dxa" w:w="2600"/>
            <w:vAlign w:val="center"/>
            <w:tcMar>
              <w:top w:w="65" w:type="dxa"/>
              <w:start w:w="100" w:type="dxa"/>
              <w:bottom w:w="65" w:type="dxa"/>
              <w:end w:w="100" w:type="dxa"/>
            </w:tcMar>
            <w:shd w:fill="F4F8FA"/>
          </w:tcPr>
          <w:p>
            <w:pPr>
              <w:spacing w:after="0" w:line="240" w:lineRule="auto"/>
            </w:pPr>
            <w:r>
              <w:rPr>
                <w:b w:val="0"/>
                <w:color w:val="222B32"/>
                <w:sz w:val="15"/>
              </w:rPr>
              <w:t>Aug</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65.13</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109.37</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157.54</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4.205</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0.6761</w:t>
            </w:r>
          </w:p>
        </w:tc>
      </w:tr>
      <w:tr>
        <w:trPr>
          <w:cantSplit/>
        </w:trPr>
        <w:tc>
          <w:tcPr>
            <w:tcW w:type="dxa" w:w="2600"/>
            <w:vAlign w:val="center"/>
            <w:tcMar>
              <w:top w:w="65" w:type="dxa"/>
              <w:start w:w="100" w:type="dxa"/>
              <w:bottom w:w="65" w:type="dxa"/>
              <w:end w:w="100" w:type="dxa"/>
            </w:tcMar>
          </w:tcPr>
          <w:p>
            <w:pPr>
              <w:spacing w:after="0" w:line="240" w:lineRule="auto"/>
            </w:pPr>
            <w:r>
              <w:rPr>
                <w:b w:val="0"/>
                <w:color w:val="222B32"/>
                <w:sz w:val="15"/>
              </w:rPr>
              <w:t>Sep</w:t>
            </w:r>
          </w:p>
        </w:tc>
        <w:tc>
          <w:tcPr>
            <w:tcW w:type="dxa" w:w="1480"/>
            <w:vAlign w:val="center"/>
            <w:tcMar>
              <w:top w:w="65" w:type="dxa"/>
              <w:start w:w="100" w:type="dxa"/>
              <w:bottom w:w="65" w:type="dxa"/>
              <w:end w:w="100" w:type="dxa"/>
            </w:tcMar>
          </w:tcPr>
          <w:p>
            <w:pPr>
              <w:spacing w:after="0" w:line="240" w:lineRule="auto"/>
            </w:pPr>
            <w:r>
              <w:rPr>
                <w:b w:val="0"/>
                <w:color w:val="222B32"/>
                <w:sz w:val="15"/>
              </w:rPr>
              <w:t>94.67</w:t>
            </w:r>
          </w:p>
        </w:tc>
        <w:tc>
          <w:tcPr>
            <w:tcW w:type="dxa" w:w="1480"/>
            <w:vAlign w:val="center"/>
            <w:tcMar>
              <w:top w:w="65" w:type="dxa"/>
              <w:start w:w="100" w:type="dxa"/>
              <w:bottom w:w="65" w:type="dxa"/>
              <w:end w:w="100" w:type="dxa"/>
            </w:tcMar>
          </w:tcPr>
          <w:p>
            <w:pPr>
              <w:spacing w:after="0" w:line="240" w:lineRule="auto"/>
            </w:pPr>
            <w:r>
              <w:rPr>
                <w:b w:val="0"/>
                <w:color w:val="222B32"/>
                <w:sz w:val="15"/>
              </w:rPr>
              <w:t>144.47</w:t>
            </w:r>
          </w:p>
        </w:tc>
        <w:tc>
          <w:tcPr>
            <w:tcW w:type="dxa" w:w="1480"/>
            <w:vAlign w:val="center"/>
            <w:tcMar>
              <w:top w:w="65" w:type="dxa"/>
              <w:start w:w="100" w:type="dxa"/>
              <w:bottom w:w="65" w:type="dxa"/>
              <w:end w:w="100" w:type="dxa"/>
            </w:tcMar>
          </w:tcPr>
          <w:p>
            <w:pPr>
              <w:spacing w:after="0" w:line="240" w:lineRule="auto"/>
            </w:pPr>
            <w:r>
              <w:rPr>
                <w:b w:val="0"/>
                <w:color w:val="222B32"/>
                <w:sz w:val="15"/>
              </w:rPr>
              <w:t>196.54</w:t>
            </w:r>
          </w:p>
        </w:tc>
        <w:tc>
          <w:tcPr>
            <w:tcW w:type="dxa" w:w="1480"/>
            <w:vAlign w:val="center"/>
            <w:tcMar>
              <w:top w:w="65" w:type="dxa"/>
              <w:start w:w="100" w:type="dxa"/>
              <w:bottom w:w="65" w:type="dxa"/>
              <w:end w:w="100" w:type="dxa"/>
            </w:tcMar>
          </w:tcPr>
          <w:p>
            <w:pPr>
              <w:spacing w:after="0" w:line="240" w:lineRule="auto"/>
            </w:pPr>
            <w:r>
              <w:rPr>
                <w:b w:val="0"/>
                <w:color w:val="222B32"/>
                <w:sz w:val="15"/>
              </w:rPr>
              <w:t>4.915</w:t>
            </w:r>
          </w:p>
        </w:tc>
        <w:tc>
          <w:tcPr>
            <w:tcW w:type="dxa" w:w="1480"/>
            <w:vAlign w:val="center"/>
            <w:tcMar>
              <w:top w:w="65" w:type="dxa"/>
              <w:start w:w="100" w:type="dxa"/>
              <w:bottom w:w="65" w:type="dxa"/>
              <w:end w:w="100" w:type="dxa"/>
            </w:tcMar>
          </w:tcPr>
          <w:p>
            <w:pPr>
              <w:spacing w:after="0" w:line="240" w:lineRule="auto"/>
            </w:pPr>
            <w:r>
              <w:rPr>
                <w:b w:val="0"/>
                <w:color w:val="222B32"/>
                <w:sz w:val="15"/>
              </w:rPr>
              <w:t>0.6893</w:t>
            </w:r>
          </w:p>
        </w:tc>
      </w:tr>
      <w:tr>
        <w:trPr>
          <w:cantSplit/>
        </w:trPr>
        <w:tc>
          <w:tcPr>
            <w:tcW w:type="dxa" w:w="2600"/>
            <w:vAlign w:val="center"/>
            <w:tcMar>
              <w:top w:w="65" w:type="dxa"/>
              <w:start w:w="100" w:type="dxa"/>
              <w:bottom w:w="65" w:type="dxa"/>
              <w:end w:w="100" w:type="dxa"/>
            </w:tcMar>
            <w:shd w:fill="F4F8FA"/>
          </w:tcPr>
          <w:p>
            <w:pPr>
              <w:spacing w:after="0" w:line="240" w:lineRule="auto"/>
            </w:pPr>
            <w:r>
              <w:rPr>
                <w:b w:val="0"/>
                <w:color w:val="222B32"/>
                <w:sz w:val="15"/>
              </w:rPr>
              <w:t>Oct</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97.98</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138.57</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180.64</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4.651</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0.6555</w:t>
            </w:r>
          </w:p>
        </w:tc>
      </w:tr>
      <w:tr>
        <w:trPr>
          <w:cantSplit/>
        </w:trPr>
        <w:tc>
          <w:tcPr>
            <w:tcW w:type="dxa" w:w="2600"/>
            <w:vAlign w:val="center"/>
            <w:tcMar>
              <w:top w:w="65" w:type="dxa"/>
              <w:start w:w="100" w:type="dxa"/>
              <w:bottom w:w="65" w:type="dxa"/>
              <w:end w:w="100" w:type="dxa"/>
            </w:tcMar>
          </w:tcPr>
          <w:p>
            <w:pPr>
              <w:spacing w:after="0" w:line="240" w:lineRule="auto"/>
            </w:pPr>
            <w:r>
              <w:rPr>
                <w:b w:val="0"/>
                <w:color w:val="222B32"/>
                <w:sz w:val="15"/>
              </w:rPr>
              <w:t>Nov</w:t>
            </w:r>
          </w:p>
        </w:tc>
        <w:tc>
          <w:tcPr>
            <w:tcW w:type="dxa" w:w="1480"/>
            <w:vAlign w:val="center"/>
            <w:tcMar>
              <w:top w:w="65" w:type="dxa"/>
              <w:start w:w="100" w:type="dxa"/>
              <w:bottom w:w="65" w:type="dxa"/>
              <w:end w:w="100" w:type="dxa"/>
            </w:tcMar>
          </w:tcPr>
          <w:p>
            <w:pPr>
              <w:spacing w:after="0" w:line="240" w:lineRule="auto"/>
            </w:pPr>
            <w:r>
              <w:rPr>
                <w:b w:val="0"/>
                <w:color w:val="222B32"/>
                <w:sz w:val="15"/>
              </w:rPr>
              <w:t>29.03</w:t>
            </w:r>
          </w:p>
        </w:tc>
        <w:tc>
          <w:tcPr>
            <w:tcW w:type="dxa" w:w="1480"/>
            <w:vAlign w:val="center"/>
            <w:tcMar>
              <w:top w:w="65" w:type="dxa"/>
              <w:start w:w="100" w:type="dxa"/>
              <w:bottom w:w="65" w:type="dxa"/>
              <w:end w:w="100" w:type="dxa"/>
            </w:tcMar>
          </w:tcPr>
          <w:p>
            <w:pPr>
              <w:spacing w:after="0" w:line="240" w:lineRule="auto"/>
            </w:pPr>
            <w:r>
              <w:rPr>
                <w:b w:val="0"/>
                <w:color w:val="222B32"/>
                <w:sz w:val="15"/>
              </w:rPr>
              <w:t>40.29</w:t>
            </w:r>
          </w:p>
        </w:tc>
        <w:tc>
          <w:tcPr>
            <w:tcW w:type="dxa" w:w="1480"/>
            <w:vAlign w:val="center"/>
            <w:tcMar>
              <w:top w:w="65" w:type="dxa"/>
              <w:start w:w="100" w:type="dxa"/>
              <w:bottom w:w="65" w:type="dxa"/>
              <w:end w:w="100" w:type="dxa"/>
            </w:tcMar>
          </w:tcPr>
          <w:p>
            <w:pPr>
              <w:spacing w:after="0" w:line="240" w:lineRule="auto"/>
            </w:pPr>
            <w:r>
              <w:rPr>
                <w:b w:val="0"/>
                <w:color w:val="222B32"/>
                <w:sz w:val="15"/>
              </w:rPr>
              <w:t>68.07</w:t>
            </w:r>
          </w:p>
        </w:tc>
        <w:tc>
          <w:tcPr>
            <w:tcW w:type="dxa" w:w="1480"/>
            <w:vAlign w:val="center"/>
            <w:tcMar>
              <w:top w:w="65" w:type="dxa"/>
              <w:start w:w="100" w:type="dxa"/>
              <w:bottom w:w="65" w:type="dxa"/>
              <w:end w:w="100" w:type="dxa"/>
            </w:tcMar>
          </w:tcPr>
          <w:p>
            <w:pPr>
              <w:spacing w:after="0" w:line="240" w:lineRule="auto"/>
            </w:pPr>
            <w:r>
              <w:rPr>
                <w:b w:val="0"/>
                <w:color w:val="222B32"/>
                <w:sz w:val="15"/>
              </w:rPr>
              <w:t>2.035</w:t>
            </w:r>
          </w:p>
        </w:tc>
        <w:tc>
          <w:tcPr>
            <w:tcW w:type="dxa" w:w="1480"/>
            <w:vAlign w:val="center"/>
            <w:tcMar>
              <w:top w:w="65" w:type="dxa"/>
              <w:start w:w="100" w:type="dxa"/>
              <w:bottom w:w="65" w:type="dxa"/>
              <w:end w:w="100" w:type="dxa"/>
            </w:tcMar>
          </w:tcPr>
          <w:p>
            <w:pPr>
              <w:spacing w:after="0" w:line="240" w:lineRule="auto"/>
            </w:pPr>
            <w:r>
              <w:rPr>
                <w:b w:val="0"/>
                <w:color w:val="222B32"/>
                <w:sz w:val="15"/>
              </w:rPr>
              <w:t>0.4027</w:t>
            </w:r>
          </w:p>
        </w:tc>
      </w:tr>
      <w:tr>
        <w:trPr>
          <w:cantSplit/>
        </w:trPr>
        <w:tc>
          <w:tcPr>
            <w:tcW w:type="dxa" w:w="2600"/>
            <w:vAlign w:val="center"/>
            <w:tcMar>
              <w:top w:w="65" w:type="dxa"/>
              <w:start w:w="100" w:type="dxa"/>
              <w:bottom w:w="65" w:type="dxa"/>
              <w:end w:w="100" w:type="dxa"/>
            </w:tcMar>
            <w:shd w:fill="F4F8FA"/>
          </w:tcPr>
          <w:p>
            <w:pPr>
              <w:spacing w:after="0" w:line="240" w:lineRule="auto"/>
            </w:pPr>
            <w:r>
              <w:rPr>
                <w:b w:val="0"/>
                <w:color w:val="222B32"/>
                <w:sz w:val="15"/>
              </w:rPr>
              <w:t>Dec</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4.78</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13.23</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19.66</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0.685</w:t>
            </w:r>
          </w:p>
        </w:tc>
        <w:tc>
          <w:tcPr>
            <w:tcW w:type="dxa" w:w="1480"/>
            <w:vAlign w:val="center"/>
            <w:tcMar>
              <w:top w:w="65" w:type="dxa"/>
              <w:start w:w="100" w:type="dxa"/>
              <w:bottom w:w="65" w:type="dxa"/>
              <w:end w:w="100" w:type="dxa"/>
            </w:tcMar>
            <w:shd w:fill="F4F8FA"/>
          </w:tcPr>
          <w:p>
            <w:pPr>
              <w:spacing w:after="0" w:line="240" w:lineRule="auto"/>
            </w:pPr>
            <w:r>
              <w:rPr>
                <w:b w:val="0"/>
                <w:color w:val="222B32"/>
                <w:sz w:val="15"/>
              </w:rPr>
              <w:t>0.1639</w:t>
            </w:r>
          </w:p>
        </w:tc>
      </w:tr>
    </w:tbl>
    <w:p>
      <w:pPr>
        <w:spacing w:after="0"/>
      </w:pPr>
    </w:p>
    <w:p>
      <w:r>
        <w:rPr>
          <w:b w:val="0"/>
        </w:rPr>
        <w:t>Wet-day share is the fraction of historical days with precipitation above 0.5 mm. It is displayed for context and is not used in the future path formula.</w:t>
      </w:r>
    </w:p>
    <w:p>
      <w:pPr>
        <w:pStyle w:val="Heading2"/>
        <w:pageBreakBefore w:val="0"/>
      </w:pPr>
      <w:r>
        <w:rPr>
          <w:b/>
        </w:rPr>
        <w:t>14.2 Scenario rainfall by date</w:t>
      </w:r>
    </w:p>
    <w:p>
      <w:r>
        <w:rPr>
          <w:b w:val="0"/>
        </w:rPr>
        <w:t>For each future date, choose the month’s q25, median, or q75 total and spread it uniformly across the number of days in that month:</w:t>
      </w:r>
    </w:p>
    <w:p>
      <w:pPr>
        <w:pStyle w:val="EquationDisplay"/>
      </w:pPr>
      <w:r>
        <w:drawing>
          <wp:inline xmlns:a="http://schemas.openxmlformats.org/drawingml/2006/main" xmlns:pic="http://schemas.openxmlformats.org/drawingml/2006/picture">
            <wp:extent cx="2097277" cy="400147"/>
            <wp:docPr id="60" name="Picture 60" descr="p_d^{scenario}=\frac{MonthlyTotal_{month(d)}^{scenario}}{DaysInMonth(d)}."/>
            <wp:cNvGraphicFramePr>
              <a:graphicFrameLocks noChangeAspect="1"/>
            </wp:cNvGraphicFramePr>
            <a:graphic>
              <a:graphicData uri="http://schemas.openxmlformats.org/drawingml/2006/picture">
                <pic:pic>
                  <pic:nvPicPr>
                    <pic:cNvPr id="0" name="242ff4df47a6f77a.png"/>
                    <pic:cNvPicPr/>
                  </pic:nvPicPr>
                  <pic:blipFill>
                    <a:blip r:embed="rId76"/>
                    <a:stretch>
                      <a:fillRect/>
                    </a:stretch>
                  </pic:blipFill>
                  <pic:spPr>
                    <a:xfrm>
                      <a:off x="0" y="0"/>
                      <a:ext cx="2097277" cy="400147"/>
                    </a:xfrm>
                    <a:prstGeom prst="rect"/>
                  </pic:spPr>
                </pic:pic>
              </a:graphicData>
            </a:graphic>
          </wp:inline>
        </w:drawing>
      </w:r>
    </w:p>
    <w:p>
      <w:r>
        <w:rPr>
          <w:b w:val="0"/>
        </w:rPr>
        <w:t>The typical annual daily reference is</w:t>
      </w:r>
    </w:p>
    <w:p>
      <w:pPr>
        <w:pStyle w:val="EquationDisplay"/>
      </w:pPr>
      <w:r>
        <w:drawing>
          <wp:inline xmlns:a="http://schemas.openxmlformats.org/drawingml/2006/main" xmlns:pic="http://schemas.openxmlformats.org/drawingml/2006/picture">
            <wp:extent cx="2254631" cy="353120"/>
            <wp:docPr id="61" name="Picture 61" descr="\bar p=\frac{\sum_{m=1}^{12}MedianMonthlyRain_m}{365.25}."/>
            <wp:cNvGraphicFramePr>
              <a:graphicFrameLocks noChangeAspect="1"/>
            </wp:cNvGraphicFramePr>
            <a:graphic>
              <a:graphicData uri="http://schemas.openxmlformats.org/drawingml/2006/picture">
                <pic:pic>
                  <pic:nvPicPr>
                    <pic:cNvPr id="0" name="0dbd5ac502b2ee0a.png"/>
                    <pic:cNvPicPr/>
                  </pic:nvPicPr>
                  <pic:blipFill>
                    <a:blip r:embed="rId77"/>
                    <a:stretch>
                      <a:fillRect/>
                    </a:stretch>
                  </pic:blipFill>
                  <pic:spPr>
                    <a:xfrm>
                      <a:off x="0" y="0"/>
                      <a:ext cx="2254631" cy="353120"/>
                    </a:xfrm>
                    <a:prstGeom prst="rect"/>
                  </pic:spPr>
                </pic:pic>
              </a:graphicData>
            </a:graphic>
          </wp:inline>
        </w:drawing>
      </w:r>
    </w:p>
    <w:p>
      <w:r>
        <w:rPr>
          <w:b w:val="0"/>
        </w:rPr>
        <w:t>For the current climatology, bar(p)=2.07112936 mm/day. The scaling constant is</w:t>
      </w:r>
    </w:p>
    <w:p>
      <w:pPr>
        <w:pStyle w:val="EquationDisplay"/>
      </w:pPr>
      <w:r>
        <w:drawing>
          <wp:inline xmlns:a="http://schemas.openxmlformats.org/drawingml/2006/main" xmlns:pic="http://schemas.openxmlformats.org/drawingml/2006/picture">
            <wp:extent cx="2371026" cy="143506"/>
            <wp:docPr id="62" name="Picture 62" descr="p_{scale}=\max(1.6\bar p,2.25)=3.31380698."/>
            <wp:cNvGraphicFramePr>
              <a:graphicFrameLocks noChangeAspect="1"/>
            </wp:cNvGraphicFramePr>
            <a:graphic>
              <a:graphicData uri="http://schemas.openxmlformats.org/drawingml/2006/picture">
                <pic:pic>
                  <pic:nvPicPr>
                    <pic:cNvPr id="0" name="ec0d37bb2fdde249.png"/>
                    <pic:cNvPicPr/>
                  </pic:nvPicPr>
                  <pic:blipFill>
                    <a:blip r:embed="rId78"/>
                    <a:stretch>
                      <a:fillRect/>
                    </a:stretch>
                  </pic:blipFill>
                  <pic:spPr>
                    <a:xfrm>
                      <a:off x="0" y="0"/>
                      <a:ext cx="2371026" cy="143506"/>
                    </a:xfrm>
                    <a:prstGeom prst="rect"/>
                  </pic:spPr>
                </pic:pic>
              </a:graphicData>
            </a:graphic>
          </wp:inline>
        </w:drawing>
      </w:r>
    </w:p>
    <w:p>
      <w:r>
        <w:rPr>
          <w:b w:val="0"/>
        </w:rPr>
        <w:t>The bounded daily rainfall signal is</w:t>
      </w:r>
    </w:p>
    <w:p>
      <w:pPr>
        <w:pStyle w:val="EquationDisplay"/>
      </w:pPr>
      <w:r>
        <w:drawing>
          <wp:inline xmlns:a="http://schemas.openxmlformats.org/drawingml/2006/main" xmlns:pic="http://schemas.openxmlformats.org/drawingml/2006/picture">
            <wp:extent cx="2300795" cy="430446"/>
            <wp:docPr id="63" name="Picture 63" descr="g_d=clip\left(\frac{p_d^{scenario}-\bar p}{p_{scale}},-0.9,1.25\right)."/>
            <wp:cNvGraphicFramePr>
              <a:graphicFrameLocks noChangeAspect="1"/>
            </wp:cNvGraphicFramePr>
            <a:graphic>
              <a:graphicData uri="http://schemas.openxmlformats.org/drawingml/2006/picture">
                <pic:pic>
                  <pic:nvPicPr>
                    <pic:cNvPr id="0" name="a7ee4aff7ae7688c.png"/>
                    <pic:cNvPicPr/>
                  </pic:nvPicPr>
                  <pic:blipFill>
                    <a:blip r:embed="rId79"/>
                    <a:stretch>
                      <a:fillRect/>
                    </a:stretch>
                  </pic:blipFill>
                  <pic:spPr>
                    <a:xfrm>
                      <a:off x="0" y="0"/>
                      <a:ext cx="2300795" cy="430446"/>
                    </a:xfrm>
                    <a:prstGeom prst="rect"/>
                  </pic:spPr>
                </pic:pic>
              </a:graphicData>
            </a:graphic>
          </wp:inline>
        </w:drawing>
      </w:r>
    </w:p>
    <w:p>
      <w:pPr>
        <w:pStyle w:val="Heading2"/>
        <w:pageBreakBefore w:val="0"/>
      </w:pPr>
      <w:r>
        <w:rPr>
          <w:b/>
        </w:rPr>
        <w:t>14.3 Daily decayed update</w:t>
      </w:r>
    </w:p>
    <w:p>
      <w:r>
        <w:rPr>
          <w:b w:val="0"/>
        </w:rPr>
        <w:t>On future day d, the effective trend is</w:t>
      </w:r>
    </w:p>
    <w:p>
      <w:pPr>
        <w:pStyle w:val="EquationDisplay"/>
      </w:pPr>
      <w:r>
        <w:drawing>
          <wp:inline xmlns:a="http://schemas.openxmlformats.org/drawingml/2006/main" xmlns:pic="http://schemas.openxmlformats.org/drawingml/2006/picture">
            <wp:extent cx="2174621" cy="171480"/>
            <wp:docPr id="64" name="Picture 64" descr="s_d=s_0+f_{pump}S^{pump}-g_dS^{recharge}."/>
            <wp:cNvGraphicFramePr>
              <a:graphicFrameLocks noChangeAspect="1"/>
            </wp:cNvGraphicFramePr>
            <a:graphic>
              <a:graphicData uri="http://schemas.openxmlformats.org/drawingml/2006/picture">
                <pic:pic>
                  <pic:nvPicPr>
                    <pic:cNvPr id="0" name="e2d078db9c7a9362.png"/>
                    <pic:cNvPicPr/>
                  </pic:nvPicPr>
                  <pic:blipFill>
                    <a:blip r:embed="rId80"/>
                    <a:stretch>
                      <a:fillRect/>
                    </a:stretch>
                  </pic:blipFill>
                  <pic:spPr>
                    <a:xfrm>
                      <a:off x="0" y="0"/>
                      <a:ext cx="2174621" cy="171480"/>
                    </a:xfrm>
                    <a:prstGeom prst="rect"/>
                  </pic:spPr>
                </pic:pic>
              </a:graphicData>
            </a:graphic>
          </wp:inline>
        </w:drawing>
      </w:r>
    </w:p>
    <w:p>
      <w:r>
        <w:rPr>
          <w:b w:val="0"/>
        </w:rPr>
        <w:t>Starting with cumulative change C_0=0:</w:t>
      </w:r>
    </w:p>
    <w:p>
      <w:pPr>
        <w:pStyle w:val="EquationDisplay"/>
      </w:pPr>
      <w:r>
        <w:drawing>
          <wp:inline xmlns:a="http://schemas.openxmlformats.org/drawingml/2006/main" xmlns:pic="http://schemas.openxmlformats.org/drawingml/2006/picture">
            <wp:extent cx="1472755" cy="298360"/>
            <wp:docPr id="65" name="Picture 65" descr="C_d=C_{d-1}+\frac{s_d}{1+d/30}."/>
            <wp:cNvGraphicFramePr>
              <a:graphicFrameLocks noChangeAspect="1"/>
            </wp:cNvGraphicFramePr>
            <a:graphic>
              <a:graphicData uri="http://schemas.openxmlformats.org/drawingml/2006/picture">
                <pic:pic>
                  <pic:nvPicPr>
                    <pic:cNvPr id="0" name="b0abedaacbe109a7.png"/>
                    <pic:cNvPicPr/>
                  </pic:nvPicPr>
                  <pic:blipFill>
                    <a:blip r:embed="rId81"/>
                    <a:stretch>
                      <a:fillRect/>
                    </a:stretch>
                  </pic:blipFill>
                  <pic:spPr>
                    <a:xfrm>
                      <a:off x="0" y="0"/>
                      <a:ext cx="1472755" cy="298360"/>
                    </a:xfrm>
                    <a:prstGeom prst="rect"/>
                  </pic:spPr>
                </pic:pic>
              </a:graphicData>
            </a:graphic>
          </wp:inline>
        </w:drawing>
      </w:r>
    </w:p>
    <w:p>
      <w:r>
        <w:rPr>
          <w:b w:val="0"/>
        </w:rPr>
        <w:t>The displayed mean is</w:t>
      </w:r>
    </w:p>
    <w:p>
      <w:pPr>
        <w:pStyle w:val="EquationDisplay"/>
      </w:pPr>
      <w:r>
        <w:drawing>
          <wp:inline xmlns:a="http://schemas.openxmlformats.org/drawingml/2006/main" xmlns:pic="http://schemas.openxmlformats.org/drawingml/2006/picture">
            <wp:extent cx="1822831" cy="187999"/>
            <wp:docPr id="66" name="Picture 66" descr="\hat h_d=clip(h^{latest}+C_d,0,500)."/>
            <wp:cNvGraphicFramePr>
              <a:graphicFrameLocks noChangeAspect="1"/>
            </wp:cNvGraphicFramePr>
            <a:graphic>
              <a:graphicData uri="http://schemas.openxmlformats.org/drawingml/2006/picture">
                <pic:pic>
                  <pic:nvPicPr>
                    <pic:cNvPr id="0" name="4deeaf14f1693ba5.png"/>
                    <pic:cNvPicPr/>
                  </pic:nvPicPr>
                  <pic:blipFill>
                    <a:blip r:embed="rId82"/>
                    <a:stretch>
                      <a:fillRect/>
                    </a:stretch>
                  </pic:blipFill>
                  <pic:spPr>
                    <a:xfrm>
                      <a:off x="0" y="0"/>
                      <a:ext cx="1822831" cy="187999"/>
                    </a:xfrm>
                    <a:prstGeom prst="rect"/>
                  </pic:spPr>
                </pic:pic>
              </a:graphicData>
            </a:graphic>
          </wp:inline>
        </w:drawing>
      </w:r>
    </w:p>
    <w:p>
      <w:r>
        <w:rPr>
          <w:b w:val="0"/>
        </w:rPr>
        <w:t>For a fractional final day, cumulative change is linearly interpolated between the adjacent integer days.</w:t>
      </w:r>
    </w:p>
    <w:p>
      <w:r>
        <w:rPr>
          <w:b w:val="0"/>
        </w:rPr>
        <w:t>This future scenario assumes rainfall is spread evenly within each month and applies an immediate same-day effect through a sensitivity derived from observed recovery. It is an exploratory seasonal scenario, not a weather forecast and not a calibrated recharge-routing model.</w:t>
      </w:r>
    </w:p>
    <w:p>
      <w:pPr>
        <w:pStyle w:val="Heading2"/>
        <w:pageBreakBefore w:val="0"/>
      </w:pPr>
      <w:r>
        <w:rPr>
          <w:b/>
        </w:rPr>
        <w:t>14.4 Rainfall-page uncertainty</w:t>
      </w:r>
    </w:p>
    <w:p>
      <w:r>
        <w:rPr>
          <w:b w:val="0"/>
        </w:rPr>
        <w:t>The same website uncertainty function is multiplied by two factors:</w:t>
      </w:r>
    </w:p>
    <w:p>
      <w:pPr>
        <w:pStyle w:val="EquationDisplay"/>
      </w:pPr>
      <w:r>
        <w:drawing>
          <wp:inline xmlns:a="http://schemas.openxmlformats.org/drawingml/2006/main" xmlns:pic="http://schemas.openxmlformats.org/drawingml/2006/picture">
            <wp:extent cx="2099246" cy="294631"/>
            <wp:docPr id="67" name="Picture 67" descr="ratio=\frac{8.131628}{8.134227}=0.999680486,"/>
            <wp:cNvGraphicFramePr>
              <a:graphicFrameLocks noChangeAspect="1"/>
            </wp:cNvGraphicFramePr>
            <a:graphic>
              <a:graphicData uri="http://schemas.openxmlformats.org/drawingml/2006/picture">
                <pic:pic>
                  <pic:nvPicPr>
                    <pic:cNvPr id="0" name="5399751d07783fd2.png"/>
                    <pic:cNvPicPr/>
                  </pic:nvPicPr>
                  <pic:blipFill>
                    <a:blip r:embed="rId83"/>
                    <a:stretch>
                      <a:fillRect/>
                    </a:stretch>
                  </pic:blipFill>
                  <pic:spPr>
                    <a:xfrm>
                      <a:off x="0" y="0"/>
                      <a:ext cx="2099246" cy="294631"/>
                    </a:xfrm>
                    <a:prstGeom prst="rect"/>
                  </pic:spPr>
                </pic:pic>
              </a:graphicData>
            </a:graphic>
          </wp:inline>
        </w:drawing>
      </w:r>
    </w:p>
    <w:p>
      <w:r>
        <w:rPr>
          <w:b w:val="0"/>
        </w:rPr>
        <w:t>and</w:t>
      </w:r>
    </w:p>
    <w:p>
      <w:pPr>
        <w:pStyle w:val="EquationDisplay"/>
      </w:pPr>
      <w:r>
        <w:drawing>
          <wp:inline xmlns:a="http://schemas.openxmlformats.org/drawingml/2006/main" xmlns:pic="http://schemas.openxmlformats.org/drawingml/2006/picture">
            <wp:extent cx="2395854" cy="344261"/>
            <wp:docPr id="68" name="Picture 68" descr="penalty=\begin{cases}1 &amp; typical\ rainfall\\1.06 &amp; dry\ or\ wet\ rainfall.\end{cases}"/>
            <wp:cNvGraphicFramePr>
              <a:graphicFrameLocks noChangeAspect="1"/>
            </wp:cNvGraphicFramePr>
            <a:graphic>
              <a:graphicData uri="http://schemas.openxmlformats.org/drawingml/2006/picture">
                <pic:pic>
                  <pic:nvPicPr>
                    <pic:cNvPr id="0" name="e86d9ccbc724eeef.png"/>
                    <pic:cNvPicPr/>
                  </pic:nvPicPr>
                  <pic:blipFill>
                    <a:blip r:embed="rId84"/>
                    <a:stretch>
                      <a:fillRect/>
                    </a:stretch>
                  </pic:blipFill>
                  <pic:spPr>
                    <a:xfrm>
                      <a:off x="0" y="0"/>
                      <a:ext cx="2395854" cy="344261"/>
                    </a:xfrm>
                    <a:prstGeom prst="rect"/>
                  </pic:spPr>
                </pic:pic>
              </a:graphicData>
            </a:graphic>
          </wp:inline>
        </w:drawing>
      </w:r>
    </w:p>
    <w:p>
      <w:r>
        <w:rPr>
          <w:b w:val="0"/>
        </w:rPr>
        <w:t>Thus</w:t>
      </w:r>
    </w:p>
    <w:p>
      <w:pPr>
        <w:pStyle w:val="EquationDisplay"/>
      </w:pPr>
      <w:r>
        <w:drawing>
          <wp:inline xmlns:a="http://schemas.openxmlformats.org/drawingml/2006/main" xmlns:pic="http://schemas.openxmlformats.org/drawingml/2006/picture">
            <wp:extent cx="2152586" cy="143506"/>
            <wp:docPr id="69" name="Picture 69" descr="\sigma_{rain}(d)=\sigma_i(d)\times ratio\times penalty."/>
            <wp:cNvGraphicFramePr>
              <a:graphicFrameLocks noChangeAspect="1"/>
            </wp:cNvGraphicFramePr>
            <a:graphic>
              <a:graphicData uri="http://schemas.openxmlformats.org/drawingml/2006/picture">
                <pic:pic>
                  <pic:nvPicPr>
                    <pic:cNvPr id="0" name="4d0b6193c496bf26.png"/>
                    <pic:cNvPicPr/>
                  </pic:nvPicPr>
                  <pic:blipFill>
                    <a:blip r:embed="rId85"/>
                    <a:stretch>
                      <a:fillRect/>
                    </a:stretch>
                  </pic:blipFill>
                  <pic:spPr>
                    <a:xfrm>
                      <a:off x="0" y="0"/>
                      <a:ext cx="2152586" cy="143506"/>
                    </a:xfrm>
                    <a:prstGeom prst="rect"/>
                  </pic:spPr>
                </pic:pic>
              </a:graphicData>
            </a:graphic>
          </wp:inline>
        </w:drawing>
      </w:r>
    </w:p>
    <w:p>
      <w:r>
        <w:rPr>
          <w:b w:val="0"/>
        </w:rPr>
        <w:t>Because validation improved by only 0.032%, the uncertainty is almost unchanged. The dry and wet scenario penalty makes it slightly wider.</w:t>
      </w:r>
    </w:p>
    <w:p>
      <w:pPr>
        <w:pStyle w:val="Heading1"/>
        <w:pageBreakBefore w:val="0"/>
      </w:pPr>
      <w:r>
        <w:rPr>
          <w:b/>
        </w:rPr>
        <w:t>15. Worked example: well BW046</w:t>
      </w:r>
    </w:p>
    <w:p>
      <w:r>
        <w:rPr>
          <w:b w:val="0"/>
        </w:rPr>
        <w:t>BW046 was used as a concrete website example because it has comparatively strong evidence in the supplied record.</w:t>
      </w:r>
    </w:p>
    <w:p>
      <w:pPr>
        <w:pStyle w:val="Heading2"/>
        <w:pageBreakBefore w:val="0"/>
      </w:pPr>
      <w:r>
        <w:rPr>
          <w:b/>
        </w:rPr>
        <w:t>15.1 Observed summary</w:t>
      </w:r>
    </w:p>
    <w:tbl>
      <w:tblPr>
        <w:tblStyle w:val="TableGrid"/>
        <w:tblW w:type="auto" w:w="0"/>
        <w:jc w:val="center"/>
        <w:tblLayout w:type="fixed"/>
        <w:tblLook w:firstColumn="1" w:firstRow="1" w:lastColumn="0" w:lastRow="0" w:noHBand="0" w:noVBand="1" w:val="04A0"/>
        <w:tblBorders>
          <w:top w:val="single" w:sz="4" w:color="D8E0E5"/>
          <w:left w:val="single" w:sz="4" w:color="D8E0E5"/>
          <w:bottom w:val="single" w:sz="4" w:color="D8E0E5"/>
          <w:right w:val="single" w:sz="4" w:color="D8E0E5"/>
          <w:insideH w:val="single" w:sz="4" w:color="D8E0E5"/>
          <w:insideV w:val="single" w:sz="4" w:color="D8E0E5"/>
        </w:tblBorders>
      </w:tblPr>
      <w:tblGrid>
        <w:gridCol w:w="5046"/>
        <w:gridCol w:w="5046"/>
      </w:tblGrid>
      <w:tr>
        <w:trPr>
          <w:cantSplit/>
          <w:tblHeader w:val="true"/>
        </w:trPr>
        <w:tc>
          <w:tcPr>
            <w:tcW w:type="dxa" w:w="3600"/>
            <w:vAlign w:val="center"/>
            <w:tcMar>
              <w:top w:w="65" w:type="dxa"/>
              <w:start w:w="100" w:type="dxa"/>
              <w:bottom w:w="65" w:type="dxa"/>
              <w:end w:w="100" w:type="dxa"/>
            </w:tcMar>
            <w:shd w:fill="17324D"/>
          </w:tcPr>
          <w:p>
            <w:pPr>
              <w:spacing w:after="0" w:line="240" w:lineRule="auto"/>
            </w:pPr>
            <w:r>
              <w:rPr>
                <w:b/>
                <w:color w:val="FFFFFF"/>
                <w:sz w:val="16"/>
              </w:rPr>
              <w:t>Quantity</w:t>
            </w:r>
          </w:p>
        </w:tc>
        <w:tc>
          <w:tcPr>
            <w:tcW w:type="dxa" w:w="6400"/>
            <w:vAlign w:val="center"/>
            <w:tcMar>
              <w:top w:w="65" w:type="dxa"/>
              <w:start w:w="100" w:type="dxa"/>
              <w:bottom w:w="65" w:type="dxa"/>
              <w:end w:w="100" w:type="dxa"/>
            </w:tcMar>
            <w:shd w:fill="17324D"/>
          </w:tcPr>
          <w:p>
            <w:pPr>
              <w:spacing w:after="0" w:line="240" w:lineRule="auto"/>
            </w:pPr>
            <w:r>
              <w:rPr>
                <w:b/>
                <w:color w:val="FFFFFF"/>
                <w:sz w:val="16"/>
              </w:rPr>
              <w:t>Value</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Sessions</w:t>
            </w:r>
          </w:p>
        </w:tc>
        <w:tc>
          <w:tcPr>
            <w:tcW w:type="dxa" w:w="6400"/>
            <w:vAlign w:val="center"/>
            <w:tcMar>
              <w:top w:w="65" w:type="dxa"/>
              <w:start w:w="100" w:type="dxa"/>
              <w:bottom w:w="65" w:type="dxa"/>
              <w:end w:w="100" w:type="dxa"/>
            </w:tcMar>
          </w:tcPr>
          <w:p>
            <w:pPr>
              <w:spacing w:after="0" w:line="240" w:lineRule="auto"/>
            </w:pPr>
            <w:r>
              <w:rPr>
                <w:b w:val="0"/>
                <w:color w:val="222B32"/>
                <w:sz w:val="16"/>
              </w:rPr>
              <w:t>38</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Usable sessions</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31</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Usable cycle transitions</w:t>
            </w:r>
          </w:p>
        </w:tc>
        <w:tc>
          <w:tcPr>
            <w:tcW w:type="dxa" w:w="6400"/>
            <w:vAlign w:val="center"/>
            <w:tcMar>
              <w:top w:w="65" w:type="dxa"/>
              <w:start w:w="100" w:type="dxa"/>
              <w:bottom w:w="65" w:type="dxa"/>
              <w:end w:w="100" w:type="dxa"/>
            </w:tcMar>
          </w:tcPr>
          <w:p>
            <w:pPr>
              <w:spacing w:after="0" w:line="240" w:lineRule="auto"/>
            </w:pPr>
            <w:r>
              <w:rPr>
                <w:b w:val="0"/>
                <w:color w:val="222B32"/>
                <w:sz w:val="16"/>
              </w:rPr>
              <w:t>25</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Active usable days</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14</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Latest start level</w:t>
            </w:r>
          </w:p>
        </w:tc>
        <w:tc>
          <w:tcPr>
            <w:tcW w:type="dxa" w:w="6400"/>
            <w:vAlign w:val="center"/>
            <w:tcMar>
              <w:top w:w="65" w:type="dxa"/>
              <w:start w:w="100" w:type="dxa"/>
              <w:bottom w:w="65" w:type="dxa"/>
              <w:end w:w="100" w:type="dxa"/>
            </w:tcMar>
          </w:tcPr>
          <w:p>
            <w:pPr>
              <w:spacing w:after="0" w:line="240" w:lineRule="auto"/>
            </w:pPr>
            <w:r>
              <w:rPr>
                <w:b w:val="0"/>
                <w:color w:val="222B32"/>
                <w:sz w:val="16"/>
              </w:rPr>
              <w:t>76.41 m bgs</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Median pumping change</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+11.40 m</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Median off-period change</w:t>
            </w:r>
          </w:p>
        </w:tc>
        <w:tc>
          <w:tcPr>
            <w:tcW w:type="dxa" w:w="6400"/>
            <w:vAlign w:val="center"/>
            <w:tcMar>
              <w:top w:w="65" w:type="dxa"/>
              <w:start w:w="100" w:type="dxa"/>
              <w:bottom w:w="65" w:type="dxa"/>
              <w:end w:w="100" w:type="dxa"/>
            </w:tcMar>
          </w:tcPr>
          <w:p>
            <w:pPr>
              <w:spacing w:after="0" w:line="240" w:lineRule="auto"/>
            </w:pPr>
            <w:r>
              <w:rPr>
                <w:b w:val="0"/>
                <w:color w:val="222B32"/>
                <w:sz w:val="16"/>
              </w:rPr>
              <w:t>-13.13 m</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Median full-cycle change</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-1.40 m</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Share fully recovered</w:t>
            </w:r>
          </w:p>
        </w:tc>
        <w:tc>
          <w:tcPr>
            <w:tcW w:type="dxa" w:w="6400"/>
            <w:vAlign w:val="center"/>
            <w:tcMar>
              <w:top w:w="65" w:type="dxa"/>
              <w:start w:w="100" w:type="dxa"/>
              <w:bottom w:w="65" w:type="dxa"/>
              <w:end w:w="100" w:type="dxa"/>
            </w:tcMar>
          </w:tcPr>
          <w:p>
            <w:pPr>
              <w:spacing w:after="0" w:line="240" w:lineRule="auto"/>
            </w:pPr>
            <w:r>
              <w:rPr>
                <w:b w:val="0"/>
                <w:color w:val="222B32"/>
                <w:sz w:val="16"/>
              </w:rPr>
              <w:t>0.56</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Raw Theil–Sen trend</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-0.1200 m/day</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Shrunken trend</w:t>
            </w:r>
          </w:p>
        </w:tc>
        <w:tc>
          <w:tcPr>
            <w:tcW w:type="dxa" w:w="6400"/>
            <w:vAlign w:val="center"/>
            <w:tcMar>
              <w:top w:w="65" w:type="dxa"/>
              <w:start w:w="100" w:type="dxa"/>
              <w:bottom w:w="65" w:type="dxa"/>
              <w:end w:w="100" w:type="dxa"/>
            </w:tcMar>
          </w:tcPr>
          <w:p>
            <w:pPr>
              <w:spacing w:after="0" w:line="240" w:lineRule="auto"/>
            </w:pPr>
            <w:r>
              <w:rPr>
                <w:b w:val="0"/>
                <w:color w:val="222B32"/>
                <w:sz w:val="16"/>
              </w:rPr>
              <w:t>-0.072631579 m/day</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Stability label</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Stable or recovering</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Website evidence tier</w:t>
            </w:r>
          </w:p>
        </w:tc>
        <w:tc>
          <w:tcPr>
            <w:tcW w:type="dxa" w:w="6400"/>
            <w:vAlign w:val="center"/>
            <w:tcMar>
              <w:top w:w="65" w:type="dxa"/>
              <w:start w:w="100" w:type="dxa"/>
              <w:bottom w:w="65" w:type="dxa"/>
              <w:end w:w="100" w:type="dxa"/>
            </w:tcMar>
          </w:tcPr>
          <w:p>
            <w:pPr>
              <w:spacing w:after="0" w:line="240" w:lineRule="auto"/>
            </w:pPr>
            <w:r>
              <w:rPr>
                <w:b w:val="0"/>
                <w:color w:val="222B32"/>
                <w:sz w:val="16"/>
              </w:rPr>
              <w:t>Higher</w:t>
            </w:r>
          </w:p>
        </w:tc>
      </w:tr>
    </w:tbl>
    <w:p>
      <w:pPr>
        <w:spacing w:after="0"/>
      </w:pPr>
    </w:p>
    <w:p>
      <w:pPr>
        <w:pStyle w:val="Heading2"/>
        <w:pageBreakBefore w:val="0"/>
      </w:pPr>
      <w:r>
        <w:rPr>
          <w:b/>
        </w:rPr>
        <w:t>15.2 Scenario sensitivities</w:t>
      </w:r>
    </w:p>
    <w:p>
      <w:r>
        <w:rPr>
          <w:b w:val="0"/>
        </w:rPr>
        <w:t>Cycles per day:</w:t>
      </w:r>
    </w:p>
    <w:p>
      <w:pPr>
        <w:pStyle w:val="EquationDisplay"/>
      </w:pPr>
      <w:r>
        <w:drawing>
          <wp:inline xmlns:a="http://schemas.openxmlformats.org/drawingml/2006/main" xmlns:pic="http://schemas.openxmlformats.org/drawingml/2006/picture">
            <wp:extent cx="1387221" cy="143549"/>
            <wp:docPr id="70" name="Picture 70" descr="c=25/14=1.785714."/>
            <wp:cNvGraphicFramePr>
              <a:graphicFrameLocks noChangeAspect="1"/>
            </wp:cNvGraphicFramePr>
            <a:graphic>
              <a:graphicData uri="http://schemas.openxmlformats.org/drawingml/2006/picture">
                <pic:pic>
                  <pic:nvPicPr>
                    <pic:cNvPr id="0" name="02e8801d49fd22a2.png"/>
                    <pic:cNvPicPr/>
                  </pic:nvPicPr>
                  <pic:blipFill>
                    <a:blip r:embed="rId86"/>
                    <a:stretch>
                      <a:fillRect/>
                    </a:stretch>
                  </pic:blipFill>
                  <pic:spPr>
                    <a:xfrm>
                      <a:off x="0" y="0"/>
                      <a:ext cx="1387221" cy="143549"/>
                    </a:xfrm>
                    <a:prstGeom prst="rect"/>
                  </pic:spPr>
                </pic:pic>
              </a:graphicData>
            </a:graphic>
          </wp:inline>
        </w:drawing>
      </w:r>
    </w:p>
    <w:p>
      <w:r>
        <w:rPr>
          <w:b w:val="0"/>
        </w:rPr>
        <w:t>Pump sensitivity:</w:t>
      </w:r>
    </w:p>
    <w:p>
      <w:pPr>
        <w:pStyle w:val="EquationDisplay"/>
      </w:pPr>
      <w:r>
        <w:drawing>
          <wp:inline xmlns:a="http://schemas.openxmlformats.org/drawingml/2006/main" xmlns:pic="http://schemas.openxmlformats.org/drawingml/2006/picture">
            <wp:extent cx="3853179" cy="143510"/>
            <wp:docPr id="71" name="Picture 71" descr="S^{pump}=clip(11.4\times1.785714\times0.02,0.02,0.5)=0.407142857."/>
            <wp:cNvGraphicFramePr>
              <a:graphicFrameLocks noChangeAspect="1"/>
            </wp:cNvGraphicFramePr>
            <a:graphic>
              <a:graphicData uri="http://schemas.openxmlformats.org/drawingml/2006/picture">
                <pic:pic>
                  <pic:nvPicPr>
                    <pic:cNvPr id="0" name="dc98b87ae3f97944.png"/>
                    <pic:cNvPicPr/>
                  </pic:nvPicPr>
                  <pic:blipFill>
                    <a:blip r:embed="rId87"/>
                    <a:stretch>
                      <a:fillRect/>
                    </a:stretch>
                  </pic:blipFill>
                  <pic:spPr>
                    <a:xfrm>
                      <a:off x="0" y="0"/>
                      <a:ext cx="3853179" cy="143510"/>
                    </a:xfrm>
                    <a:prstGeom prst="rect"/>
                  </pic:spPr>
                </pic:pic>
              </a:graphicData>
            </a:graphic>
          </wp:inline>
        </w:drawing>
      </w:r>
    </w:p>
    <w:p>
      <w:r>
        <w:rPr>
          <w:b w:val="0"/>
        </w:rPr>
        <w:t>Recovery sensitivity:</w:t>
      </w:r>
    </w:p>
    <w:p>
      <w:pPr>
        <w:pStyle w:val="EquationDisplay"/>
      </w:pPr>
      <w:r>
        <w:drawing>
          <wp:inline xmlns:a="http://schemas.openxmlformats.org/drawingml/2006/main" xmlns:pic="http://schemas.openxmlformats.org/drawingml/2006/picture">
            <wp:extent cx="4066540" cy="165100"/>
            <wp:docPr id="72" name="Picture 72" descr="S^{recharge}=clip(13.13\times1.785714\times0.02,0.02,0.5)=0.468928571."/>
            <wp:cNvGraphicFramePr>
              <a:graphicFrameLocks noChangeAspect="1"/>
            </wp:cNvGraphicFramePr>
            <a:graphic>
              <a:graphicData uri="http://schemas.openxmlformats.org/drawingml/2006/picture">
                <pic:pic>
                  <pic:nvPicPr>
                    <pic:cNvPr id="0" name="edf5f6dc4b68c099.png"/>
                    <pic:cNvPicPr/>
                  </pic:nvPicPr>
                  <pic:blipFill>
                    <a:blip r:embed="rId88"/>
                    <a:stretch>
                      <a:fillRect/>
                    </a:stretch>
                  </pic:blipFill>
                  <pic:spPr>
                    <a:xfrm>
                      <a:off x="0" y="0"/>
                      <a:ext cx="4066540" cy="165100"/>
                    </a:xfrm>
                    <a:prstGeom prst="rect"/>
                  </pic:spPr>
                </pic:pic>
              </a:graphicData>
            </a:graphic>
          </wp:inline>
        </w:drawing>
      </w:r>
    </w:p>
    <w:p>
      <w:r>
        <w:rPr>
          <w:b w:val="0"/>
        </w:rPr>
        <w:t>Under typical pumping and typical recharge on the root page, s_(eff)=-0.072631579 m/day.</w:t>
      </w:r>
    </w:p>
    <w:p>
      <w:r>
        <w:rPr>
          <w:b w:val="0"/>
        </w:rPr>
        <w:t>At 30 days:</w:t>
      </w:r>
    </w:p>
    <w:p>
      <w:pPr>
        <w:pStyle w:val="EquationDisplay"/>
      </w:pPr>
      <w:r>
        <w:drawing>
          <wp:inline xmlns:a="http://schemas.openxmlformats.org/drawingml/2006/main" xmlns:pic="http://schemas.openxmlformats.org/drawingml/2006/picture">
            <wp:extent cx="3204845" cy="143482"/>
            <wp:docPr id="73" name="Picture 73" descr="\Delta(30)=30(-0.072631579)\ln(2)=-1.51033123\text{ m},"/>
            <wp:cNvGraphicFramePr>
              <a:graphicFrameLocks noChangeAspect="1"/>
            </wp:cNvGraphicFramePr>
            <a:graphic>
              <a:graphicData uri="http://schemas.openxmlformats.org/drawingml/2006/picture">
                <pic:pic>
                  <pic:nvPicPr>
                    <pic:cNvPr id="0" name="53bac2f1d305d72d.png"/>
                    <pic:cNvPicPr/>
                  </pic:nvPicPr>
                  <pic:blipFill>
                    <a:blip r:embed="rId89"/>
                    <a:stretch>
                      <a:fillRect/>
                    </a:stretch>
                  </pic:blipFill>
                  <pic:spPr>
                    <a:xfrm>
                      <a:off x="0" y="0"/>
                      <a:ext cx="3204845" cy="143482"/>
                    </a:xfrm>
                    <a:prstGeom prst="rect"/>
                  </pic:spPr>
                </pic:pic>
              </a:graphicData>
            </a:graphic>
          </wp:inline>
        </w:drawing>
      </w:r>
    </w:p>
    <w:p>
      <w:r>
        <w:rPr>
          <w:b w:val="0"/>
        </w:rPr>
        <w:t>so</w:t>
      </w:r>
    </w:p>
    <w:p>
      <w:pPr>
        <w:pStyle w:val="EquationDisplay"/>
      </w:pPr>
      <w:r>
        <w:drawing>
          <wp:inline xmlns:a="http://schemas.openxmlformats.org/drawingml/2006/main" xmlns:pic="http://schemas.openxmlformats.org/drawingml/2006/picture">
            <wp:extent cx="3108706" cy="187945"/>
            <wp:docPr id="74" name="Picture 74" descr="\hat h(30)=76.41-1.51033123=74.89966877\text{ m bgs}."/>
            <wp:cNvGraphicFramePr>
              <a:graphicFrameLocks noChangeAspect="1"/>
            </wp:cNvGraphicFramePr>
            <a:graphic>
              <a:graphicData uri="http://schemas.openxmlformats.org/drawingml/2006/picture">
                <pic:pic>
                  <pic:nvPicPr>
                    <pic:cNvPr id="0" name="76d8387dfaefccac.png"/>
                    <pic:cNvPicPr/>
                  </pic:nvPicPr>
                  <pic:blipFill>
                    <a:blip r:embed="rId90"/>
                    <a:stretch>
                      <a:fillRect/>
                    </a:stretch>
                  </pic:blipFill>
                  <pic:spPr>
                    <a:xfrm>
                      <a:off x="0" y="0"/>
                      <a:ext cx="3108706" cy="187945"/>
                    </a:xfrm>
                    <a:prstGeom prst="rect"/>
                  </pic:spPr>
                </pic:pic>
              </a:graphicData>
            </a:graphic>
          </wp:inline>
        </w:drawing>
      </w:r>
    </w:p>
    <w:p>
      <w:r>
        <w:rPr>
          <w:b w:val="0"/>
        </w:rPr>
        <w:t>For an 80% range, with higher-tier M=11.5 and zero scenario shift:</w:t>
      </w:r>
    </w:p>
    <w:p>
      <w:pPr>
        <w:pStyle w:val="EquationDisplay"/>
      </w:pPr>
      <w:r>
        <w:drawing>
          <wp:inline xmlns:a="http://schemas.openxmlformats.org/drawingml/2006/main" xmlns:pic="http://schemas.openxmlformats.org/drawingml/2006/picture">
            <wp:extent cx="3146043" cy="266722"/>
            <wp:docPr id="75" name="Picture 75" descr="\sigma(30)=11.5\times1.253\times\sqrt{1+30/15}=24.95799\text{ m},"/>
            <wp:cNvGraphicFramePr>
              <a:graphicFrameLocks noChangeAspect="1"/>
            </wp:cNvGraphicFramePr>
            <a:graphic>
              <a:graphicData uri="http://schemas.openxmlformats.org/drawingml/2006/picture">
                <pic:pic>
                  <pic:nvPicPr>
                    <pic:cNvPr id="0" name="d27bd27d1cba86f5.png"/>
                    <pic:cNvPicPr/>
                  </pic:nvPicPr>
                  <pic:blipFill>
                    <a:blip r:embed="rId91"/>
                    <a:stretch>
                      <a:fillRect/>
                    </a:stretch>
                  </pic:blipFill>
                  <pic:spPr>
                    <a:xfrm>
                      <a:off x="0" y="0"/>
                      <a:ext cx="3146043" cy="266722"/>
                    </a:xfrm>
                    <a:prstGeom prst="rect"/>
                  </pic:spPr>
                </pic:pic>
              </a:graphicData>
            </a:graphic>
          </wp:inline>
        </w:drawing>
      </w:r>
    </w:p>
    <w:p>
      <w:pPr>
        <w:pStyle w:val="EquationDisplay"/>
      </w:pPr>
      <w:r>
        <w:drawing>
          <wp:inline xmlns:a="http://schemas.openxmlformats.org/drawingml/2006/main" xmlns:pic="http://schemas.openxmlformats.org/drawingml/2006/picture">
            <wp:extent cx="2172271" cy="109249"/>
            <wp:docPr id="76" name="Picture 76" descr="z\sigma=1.282\times24.95799=31.997\text{ m}."/>
            <wp:cNvGraphicFramePr>
              <a:graphicFrameLocks noChangeAspect="1"/>
            </wp:cNvGraphicFramePr>
            <a:graphic>
              <a:graphicData uri="http://schemas.openxmlformats.org/drawingml/2006/picture">
                <pic:pic>
                  <pic:nvPicPr>
                    <pic:cNvPr id="0" name="a8d792e9a2cd93c6.png"/>
                    <pic:cNvPicPr/>
                  </pic:nvPicPr>
                  <pic:blipFill>
                    <a:blip r:embed="rId92"/>
                    <a:stretch>
                      <a:fillRect/>
                    </a:stretch>
                  </pic:blipFill>
                  <pic:spPr>
                    <a:xfrm>
                      <a:off x="0" y="0"/>
                      <a:ext cx="2172271" cy="109249"/>
                    </a:xfrm>
                    <a:prstGeom prst="rect"/>
                  </pic:spPr>
                </pic:pic>
              </a:graphicData>
            </a:graphic>
          </wp:inline>
        </w:drawing>
      </w:r>
    </w:p>
    <w:p>
      <w:r>
        <w:rPr>
          <w:b w:val="0"/>
        </w:rPr>
        <w:t>The large interval is a visual reminder that the short record does not support a precise one-month forecast.</w:t>
      </w:r>
    </w:p>
    <w:p>
      <w:r>
        <w:rPr>
          <w:b w:val="0"/>
        </w:rPr>
        <w:t>At six nominal months, d=6×30.4375=182.625 days. The root-page typical projection change is</w:t>
      </w:r>
    </w:p>
    <w:p>
      <w:pPr>
        <w:pStyle w:val="EquationDisplay"/>
      </w:pPr>
      <w:r>
        <w:drawing>
          <wp:inline xmlns:a="http://schemas.openxmlformats.org/drawingml/2006/main" xmlns:pic="http://schemas.openxmlformats.org/drawingml/2006/picture">
            <wp:extent cx="1887728" cy="143549"/>
            <wp:docPr id="77" name="Picture 77" descr="\Delta(182.625)=-4.26710382\text{ m},"/>
            <wp:cNvGraphicFramePr>
              <a:graphicFrameLocks noChangeAspect="1"/>
            </wp:cNvGraphicFramePr>
            <a:graphic>
              <a:graphicData uri="http://schemas.openxmlformats.org/drawingml/2006/picture">
                <pic:pic>
                  <pic:nvPicPr>
                    <pic:cNvPr id="0" name="07062291e5c1b33d.png"/>
                    <pic:cNvPicPr/>
                  </pic:nvPicPr>
                  <pic:blipFill>
                    <a:blip r:embed="rId93"/>
                    <a:stretch>
                      <a:fillRect/>
                    </a:stretch>
                  </pic:blipFill>
                  <pic:spPr>
                    <a:xfrm>
                      <a:off x="0" y="0"/>
                      <a:ext cx="1887728" cy="143549"/>
                    </a:xfrm>
                    <a:prstGeom prst="rect"/>
                  </pic:spPr>
                </pic:pic>
              </a:graphicData>
            </a:graphic>
          </wp:inline>
        </w:drawing>
      </w:r>
    </w:p>
    <w:p>
      <w:r>
        <w:rPr>
          <w:b w:val="0"/>
        </w:rPr>
        <w:t>which gives 72.14289618 m bgs before interval clipping. The typical-rainfall seasonal scenario accumulates approximately -12.73318627 m, giving approximately 63.67681373 m bgs. These two long-horizon means are scenario outputs, not validated forecasts.</w:t>
      </w:r>
    </w:p>
    <w:p>
      <w:pPr>
        <w:pStyle w:val="Heading1"/>
        <w:pageBreakBefore w:val="0"/>
      </w:pPr>
      <w:r>
        <w:rPr>
          <w:b/>
        </w:rPr>
        <w:t>16. Exact fitted baseline coefficients</w:t>
      </w:r>
    </w:p>
    <w:p>
      <w:r>
        <w:rPr>
          <w:b w:val="0"/>
        </w:rPr>
        <w:t>The coefficient multiplies the standardized feature, not the raw feature. For a feature j, its contribution is</w:t>
      </w:r>
    </w:p>
    <w:p>
      <w:pPr>
        <w:pStyle w:val="EquationDisplay"/>
      </w:pPr>
      <w:r>
        <w:drawing>
          <wp:inline xmlns:a="http://schemas.openxmlformats.org/drawingml/2006/main" xmlns:pic="http://schemas.openxmlformats.org/drawingml/2006/picture">
            <wp:extent cx="690244" cy="333046"/>
            <wp:docPr id="78" name="Picture 78" descr="\beta_j\frac{x_j-\mu_j}{s_j}."/>
            <wp:cNvGraphicFramePr>
              <a:graphicFrameLocks noChangeAspect="1"/>
            </wp:cNvGraphicFramePr>
            <a:graphic>
              <a:graphicData uri="http://schemas.openxmlformats.org/drawingml/2006/picture">
                <pic:pic>
                  <pic:nvPicPr>
                    <pic:cNvPr id="0" name="24a1be07108652ee.png"/>
                    <pic:cNvPicPr/>
                  </pic:nvPicPr>
                  <pic:blipFill>
                    <a:blip r:embed="rId94"/>
                    <a:stretch>
                      <a:fillRect/>
                    </a:stretch>
                  </pic:blipFill>
                  <pic:spPr>
                    <a:xfrm>
                      <a:off x="0" y="0"/>
                      <a:ext cx="690244" cy="333046"/>
                    </a:xfrm>
                    <a:prstGeom prst="rect"/>
                  </pic:spPr>
                </pic:pic>
              </a:graphicData>
            </a:graphic>
          </wp:inline>
        </w:drawing>
      </w:r>
    </w:p>
    <w:p>
      <w:pPr>
        <w:pStyle w:val="Heading2"/>
        <w:pageBreakBefore w:val="0"/>
      </w:pPr>
      <w:r>
        <w:rPr>
          <w:b/>
        </w:rPr>
        <w:t>16.1 Pump-transition baseline</w:t>
      </w:r>
    </w:p>
    <w:p>
      <w:r>
        <w:rPr>
          <w:b w:val="0"/>
        </w:rPr>
        <w:t xml:space="preserve">Intercept: </w:t>
      </w:r>
      <w:r>
        <w:rPr>
          <w:b/>
        </w:rPr>
        <w:t>2.2389521863</w:t>
      </w:r>
      <w:r>
        <w:rPr>
          <w:b w:val="0"/>
        </w:rPr>
        <w:t xml:space="preserve">. Global target median: </w:t>
      </w:r>
      <w:r>
        <w:rPr>
          <w:b/>
        </w:rPr>
        <w:t>1.56 m</w:t>
      </w:r>
      <w:r>
        <w:rPr>
          <w:b w:val="0"/>
        </w:rPr>
        <w:t xml:space="preserve">. Number of fitted well effects: </w:t>
      </w:r>
      <w:r>
        <w:rPr>
          <w:b/>
        </w:rPr>
        <w:t>516</w:t>
      </w:r>
      <w:r>
        <w:rPr>
          <w:b w:val="0"/>
        </w:rPr>
        <w:t xml:space="preserve">. Effect range: </w:t>
      </w:r>
      <w:r>
        <w:rPr>
          <w:b/>
        </w:rPr>
        <w:t>-26.2359 to 21.9913 m</w:t>
      </w:r>
      <w:r>
        <w:rPr>
          <w:b w:val="0"/>
        </w:rPr>
        <w:t xml:space="preserve">. Shrunken well-median range: </w:t>
      </w:r>
      <w:r>
        <w:rPr>
          <w:b/>
        </w:rPr>
        <w:t>-25.51375 to 25.01212 m</w:t>
      </w:r>
      <w:r>
        <w:rPr>
          <w:b w:val="0"/>
        </w:rPr>
        <w:t>.</w:t>
      </w:r>
    </w:p>
    <w:tbl>
      <w:tblPr>
        <w:tblStyle w:val="TableGrid"/>
        <w:tblW w:type="auto" w:w="0"/>
        <w:jc w:val="center"/>
        <w:tblLayout w:type="fixed"/>
        <w:tblLook w:firstColumn="1" w:firstRow="1" w:lastColumn="0" w:lastRow="0" w:noHBand="0" w:noVBand="1" w:val="04A0"/>
        <w:tblBorders>
          <w:top w:val="single" w:sz="4" w:color="D8E0E5"/>
          <w:left w:val="single" w:sz="4" w:color="D8E0E5"/>
          <w:bottom w:val="single" w:sz="4" w:color="D8E0E5"/>
          <w:right w:val="single" w:sz="4" w:color="D8E0E5"/>
          <w:insideH w:val="single" w:sz="4" w:color="D8E0E5"/>
          <w:insideV w:val="single" w:sz="4" w:color="D8E0E5"/>
        </w:tblBorders>
      </w:tblPr>
      <w:tblGrid>
        <w:gridCol w:w="2523"/>
        <w:gridCol w:w="2523"/>
        <w:gridCol w:w="2523"/>
        <w:gridCol w:w="2523"/>
      </w:tblGrid>
      <w:tr>
        <w:trPr>
          <w:cantSplit/>
          <w:tblHeader w:val="true"/>
        </w:trPr>
        <w:tc>
          <w:tcPr>
            <w:tcW w:type="dxa" w:w="4000"/>
            <w:vAlign w:val="center"/>
            <w:tcMar>
              <w:top w:w="65" w:type="dxa"/>
              <w:start w:w="100" w:type="dxa"/>
              <w:bottom w:w="65" w:type="dxa"/>
              <w:end w:w="100" w:type="dxa"/>
            </w:tcMar>
            <w:shd w:fill="17324D"/>
          </w:tcPr>
          <w:p>
            <w:pPr>
              <w:spacing w:after="0" w:line="240" w:lineRule="auto"/>
            </w:pPr>
            <w:r>
              <w:rPr>
                <w:b/>
                <w:color w:val="FFFFFF"/>
                <w:sz w:val="16"/>
              </w:rPr>
              <w:t>Feature</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Training mean μ</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Training scale s</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Coefficient β</w:t>
            </w:r>
          </w:p>
        </w:tc>
      </w:tr>
      <w:tr>
        <w:trPr>
          <w:cantSplit/>
        </w:trPr>
        <w:tc>
          <w:tcPr>
            <w:tcW w:type="dxa" w:w="4000"/>
            <w:vAlign w:val="center"/>
            <w:tcMar>
              <w:top w:w="65" w:type="dxa"/>
              <w:start w:w="100" w:type="dxa"/>
              <w:bottom w:w="65" w:type="dxa"/>
              <w:end w:w="100" w:type="dxa"/>
            </w:tcMar>
          </w:tcPr>
          <w:p>
            <w:pPr>
              <w:spacing w:after="0" w:line="240" w:lineRule="auto"/>
            </w:pPr>
            <w:r>
              <w:rPr>
                <w:b w:val="0"/>
                <w:color w:val="222B32"/>
                <w:sz w:val="16"/>
              </w:rPr>
              <w:t>Start level, m bgs</w:t>
            </w:r>
          </w:p>
        </w:tc>
        <w:tc>
          <w:tcPr>
            <w:tcW w:type="dxa" w:w="2000"/>
            <w:vAlign w:val="center"/>
            <w:tcMar>
              <w:top w:w="65" w:type="dxa"/>
              <w:start w:w="100" w:type="dxa"/>
              <w:bottom w:w="65" w:type="dxa"/>
              <w:end w:w="100" w:type="dxa"/>
            </w:tcMar>
          </w:tcPr>
          <w:p>
            <w:pPr>
              <w:spacing w:after="0" w:line="240" w:lineRule="auto"/>
            </w:pPr>
            <w:r>
              <w:rPr>
                <w:b w:val="0"/>
                <w:color w:val="222B32"/>
                <w:sz w:val="16"/>
              </w:rPr>
              <w:t>67.6473752462</w:t>
            </w:r>
          </w:p>
        </w:tc>
        <w:tc>
          <w:tcPr>
            <w:tcW w:type="dxa" w:w="2000"/>
            <w:vAlign w:val="center"/>
            <w:tcMar>
              <w:top w:w="65" w:type="dxa"/>
              <w:start w:w="100" w:type="dxa"/>
              <w:bottom w:w="65" w:type="dxa"/>
              <w:end w:w="100" w:type="dxa"/>
            </w:tcMar>
          </w:tcPr>
          <w:p>
            <w:pPr>
              <w:spacing w:after="0" w:line="240" w:lineRule="auto"/>
            </w:pPr>
            <w:r>
              <w:rPr>
                <w:b w:val="0"/>
                <w:color w:val="222B32"/>
                <w:sz w:val="16"/>
              </w:rPr>
              <w:t>54.6181462771</w:t>
            </w:r>
          </w:p>
        </w:tc>
        <w:tc>
          <w:tcPr>
            <w:tcW w:type="dxa" w:w="2000"/>
            <w:vAlign w:val="center"/>
            <w:tcMar>
              <w:top w:w="65" w:type="dxa"/>
              <w:start w:w="100" w:type="dxa"/>
              <w:bottom w:w="65" w:type="dxa"/>
              <w:end w:w="100" w:type="dxa"/>
            </w:tcMar>
          </w:tcPr>
          <w:p>
            <w:pPr>
              <w:spacing w:after="0" w:line="240" w:lineRule="auto"/>
            </w:pPr>
            <w:r>
              <w:rPr>
                <w:b w:val="0"/>
                <w:color w:val="222B32"/>
                <w:sz w:val="16"/>
              </w:rPr>
              <w:t>-1.0953862510</w:t>
            </w:r>
          </w:p>
        </w:tc>
      </w:tr>
      <w:tr>
        <w:trPr>
          <w:cantSplit/>
        </w:trPr>
        <w:tc>
          <w:tcPr>
            <w:tcW w:type="dxa" w:w="4000"/>
            <w:vAlign w:val="center"/>
            <w:tcMar>
              <w:top w:w="65" w:type="dxa"/>
              <w:start w:w="100" w:type="dxa"/>
              <w:bottom w:w="65" w:type="dxa"/>
              <w:end w:w="100" w:type="dxa"/>
            </w:tcMar>
            <w:shd w:fill="F4F8FA"/>
          </w:tcPr>
          <w:p>
            <w:pPr>
              <w:spacing w:after="0" w:line="240" w:lineRule="auto"/>
            </w:pPr>
            <w:r>
              <w:rPr>
                <w:b w:val="0"/>
                <w:color w:val="222B32"/>
                <w:sz w:val="16"/>
              </w:rPr>
              <w:t>Log duration</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4.7905054463</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1.1782018378</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-7.2228280436</w:t>
            </w:r>
          </w:p>
        </w:tc>
      </w:tr>
      <w:tr>
        <w:trPr>
          <w:cantSplit/>
        </w:trPr>
        <w:tc>
          <w:tcPr>
            <w:tcW w:type="dxa" w:w="4000"/>
            <w:vAlign w:val="center"/>
            <w:tcMar>
              <w:top w:w="65" w:type="dxa"/>
              <w:start w:w="100" w:type="dxa"/>
              <w:bottom w:w="65" w:type="dxa"/>
              <w:end w:w="100" w:type="dxa"/>
            </w:tcMar>
          </w:tcPr>
          <w:p>
            <w:pPr>
              <w:spacing w:after="0" w:line="240" w:lineRule="auto"/>
            </w:pPr>
            <w:r>
              <w:rPr>
                <w:b w:val="0"/>
                <w:color w:val="222B32"/>
                <w:sz w:val="16"/>
              </w:rPr>
              <w:t>Log volume</w:t>
            </w:r>
          </w:p>
        </w:tc>
        <w:tc>
          <w:tcPr>
            <w:tcW w:type="dxa" w:w="2000"/>
            <w:vAlign w:val="center"/>
            <w:tcMar>
              <w:top w:w="65" w:type="dxa"/>
              <w:start w:w="100" w:type="dxa"/>
              <w:bottom w:w="65" w:type="dxa"/>
              <w:end w:w="100" w:type="dxa"/>
            </w:tcMar>
          </w:tcPr>
          <w:p>
            <w:pPr>
              <w:spacing w:after="0" w:line="240" w:lineRule="auto"/>
            </w:pPr>
            <w:r>
              <w:rPr>
                <w:b w:val="0"/>
                <w:color w:val="222B32"/>
                <w:sz w:val="16"/>
              </w:rPr>
              <w:t>9.2553027408</w:t>
            </w:r>
          </w:p>
        </w:tc>
        <w:tc>
          <w:tcPr>
            <w:tcW w:type="dxa" w:w="2000"/>
            <w:vAlign w:val="center"/>
            <w:tcMar>
              <w:top w:w="65" w:type="dxa"/>
              <w:start w:w="100" w:type="dxa"/>
              <w:bottom w:w="65" w:type="dxa"/>
              <w:end w:w="100" w:type="dxa"/>
            </w:tcMar>
          </w:tcPr>
          <w:p>
            <w:pPr>
              <w:spacing w:after="0" w:line="240" w:lineRule="auto"/>
            </w:pPr>
            <w:r>
              <w:rPr>
                <w:b w:val="0"/>
                <w:color w:val="222B32"/>
                <w:sz w:val="16"/>
              </w:rPr>
              <w:t>1.1102396130</w:t>
            </w:r>
          </w:p>
        </w:tc>
        <w:tc>
          <w:tcPr>
            <w:tcW w:type="dxa" w:w="2000"/>
            <w:vAlign w:val="center"/>
            <w:tcMar>
              <w:top w:w="65" w:type="dxa"/>
              <w:start w:w="100" w:type="dxa"/>
              <w:bottom w:w="65" w:type="dxa"/>
              <w:end w:w="100" w:type="dxa"/>
            </w:tcMar>
          </w:tcPr>
          <w:p>
            <w:pPr>
              <w:spacing w:after="0" w:line="240" w:lineRule="auto"/>
            </w:pPr>
            <w:r>
              <w:rPr>
                <w:b w:val="0"/>
                <w:color w:val="222B32"/>
                <w:sz w:val="16"/>
              </w:rPr>
              <w:t>7.4996334923</w:t>
            </w:r>
          </w:p>
        </w:tc>
      </w:tr>
      <w:tr>
        <w:trPr>
          <w:cantSplit/>
        </w:trPr>
        <w:tc>
          <w:tcPr>
            <w:tcW w:type="dxa" w:w="4000"/>
            <w:vAlign w:val="center"/>
            <w:tcMar>
              <w:top w:w="65" w:type="dxa"/>
              <w:start w:w="100" w:type="dxa"/>
              <w:bottom w:w="65" w:type="dxa"/>
              <w:end w:w="100" w:type="dxa"/>
            </w:tcMar>
            <w:shd w:fill="F4F8FA"/>
          </w:tcPr>
          <w:p>
            <w:pPr>
              <w:spacing w:after="0" w:line="240" w:lineRule="auto"/>
            </w:pPr>
            <w:r>
              <w:rPr>
                <w:b w:val="0"/>
                <w:color w:val="222B32"/>
                <w:sz w:val="16"/>
              </w:rPr>
              <w:t>Log energy</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2.3557754988</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1.0680987279</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-0.2985217988</w:t>
            </w:r>
          </w:p>
        </w:tc>
      </w:tr>
      <w:tr>
        <w:trPr>
          <w:cantSplit/>
        </w:trPr>
        <w:tc>
          <w:tcPr>
            <w:tcW w:type="dxa" w:w="4000"/>
            <w:vAlign w:val="center"/>
            <w:tcMar>
              <w:top w:w="65" w:type="dxa"/>
              <w:start w:w="100" w:type="dxa"/>
              <w:bottom w:w="65" w:type="dxa"/>
              <w:end w:w="100" w:type="dxa"/>
            </w:tcMar>
          </w:tcPr>
          <w:p>
            <w:pPr>
              <w:spacing w:after="0" w:line="240" w:lineRule="auto"/>
            </w:pPr>
            <w:r>
              <w:rPr>
                <w:b w:val="0"/>
                <w:color w:val="222B32"/>
                <w:sz w:val="16"/>
              </w:rPr>
              <w:t>Mean discharge</w:t>
            </w:r>
          </w:p>
        </w:tc>
        <w:tc>
          <w:tcPr>
            <w:tcW w:type="dxa" w:w="2000"/>
            <w:vAlign w:val="center"/>
            <w:tcMar>
              <w:top w:w="65" w:type="dxa"/>
              <w:start w:w="100" w:type="dxa"/>
              <w:bottom w:w="65" w:type="dxa"/>
              <w:end w:w="100" w:type="dxa"/>
            </w:tcMar>
          </w:tcPr>
          <w:p>
            <w:pPr>
              <w:spacing w:after="0" w:line="240" w:lineRule="auto"/>
            </w:pPr>
            <w:r>
              <w:rPr>
                <w:b w:val="0"/>
                <w:color w:val="222B32"/>
                <w:sz w:val="16"/>
              </w:rPr>
              <w:t>97.0816542677</w:t>
            </w:r>
          </w:p>
        </w:tc>
        <w:tc>
          <w:tcPr>
            <w:tcW w:type="dxa" w:w="2000"/>
            <w:vAlign w:val="center"/>
            <w:tcMar>
              <w:top w:w="65" w:type="dxa"/>
              <w:start w:w="100" w:type="dxa"/>
              <w:bottom w:w="65" w:type="dxa"/>
              <w:end w:w="100" w:type="dxa"/>
            </w:tcMar>
          </w:tcPr>
          <w:p>
            <w:pPr>
              <w:spacing w:after="0" w:line="240" w:lineRule="auto"/>
            </w:pPr>
            <w:r>
              <w:rPr>
                <w:b w:val="0"/>
                <w:color w:val="222B32"/>
                <w:sz w:val="16"/>
              </w:rPr>
              <w:t>39.9596003928</w:t>
            </w:r>
          </w:p>
        </w:tc>
        <w:tc>
          <w:tcPr>
            <w:tcW w:type="dxa" w:w="2000"/>
            <w:vAlign w:val="center"/>
            <w:tcMar>
              <w:top w:w="65" w:type="dxa"/>
              <w:start w:w="100" w:type="dxa"/>
              <w:bottom w:w="65" w:type="dxa"/>
              <w:end w:w="100" w:type="dxa"/>
            </w:tcMar>
          </w:tcPr>
          <w:p>
            <w:pPr>
              <w:spacing w:after="0" w:line="240" w:lineRule="auto"/>
            </w:pPr>
            <w:r>
              <w:rPr>
                <w:b w:val="0"/>
                <w:color w:val="222B32"/>
                <w:sz w:val="16"/>
              </w:rPr>
              <w:t>-1.7904223663</w:t>
            </w:r>
          </w:p>
        </w:tc>
      </w:tr>
      <w:tr>
        <w:trPr>
          <w:cantSplit/>
        </w:trPr>
        <w:tc>
          <w:tcPr>
            <w:tcW w:type="dxa" w:w="4000"/>
            <w:vAlign w:val="center"/>
            <w:tcMar>
              <w:top w:w="65" w:type="dxa"/>
              <w:start w:w="100" w:type="dxa"/>
              <w:bottom w:w="65" w:type="dxa"/>
              <w:end w:w="100" w:type="dxa"/>
            </w:tcMar>
            <w:shd w:fill="F4F8FA"/>
          </w:tcPr>
          <w:p>
            <w:pPr>
              <w:spacing w:after="0" w:line="240" w:lineRule="auto"/>
            </w:pPr>
            <w:r>
              <w:rPr>
                <w:b w:val="0"/>
                <w:color w:val="222B32"/>
                <w:sz w:val="16"/>
              </w:rPr>
              <w:t>Mean power</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4.7505253812</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2.0255607679</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0.3976216646</w:t>
            </w:r>
          </w:p>
        </w:tc>
      </w:tr>
      <w:tr>
        <w:trPr>
          <w:cantSplit/>
        </w:trPr>
        <w:tc>
          <w:tcPr>
            <w:tcW w:type="dxa" w:w="4000"/>
            <w:vAlign w:val="center"/>
            <w:tcMar>
              <w:top w:w="65" w:type="dxa"/>
              <w:start w:w="100" w:type="dxa"/>
              <w:bottom w:w="65" w:type="dxa"/>
              <w:end w:w="100" w:type="dxa"/>
            </w:tcMar>
          </w:tcPr>
          <w:p>
            <w:pPr>
              <w:spacing w:after="0" w:line="240" w:lineRule="auto"/>
            </w:pPr>
            <w:r>
              <w:rPr>
                <w:b w:val="0"/>
                <w:color w:val="222B32"/>
                <w:sz w:val="16"/>
              </w:rPr>
              <w:t>Hour sine</w:t>
            </w:r>
          </w:p>
        </w:tc>
        <w:tc>
          <w:tcPr>
            <w:tcW w:type="dxa" w:w="2000"/>
            <w:vAlign w:val="center"/>
            <w:tcMar>
              <w:top w:w="65" w:type="dxa"/>
              <w:start w:w="100" w:type="dxa"/>
              <w:bottom w:w="65" w:type="dxa"/>
              <w:end w:w="100" w:type="dxa"/>
            </w:tcMar>
          </w:tcPr>
          <w:p>
            <w:pPr>
              <w:spacing w:after="0" w:line="240" w:lineRule="auto"/>
            </w:pPr>
            <w:r>
              <w:rPr>
                <w:b w:val="0"/>
                <w:color w:val="222B32"/>
                <w:sz w:val="16"/>
              </w:rPr>
              <w:t>0.1140209363</w:t>
            </w:r>
          </w:p>
        </w:tc>
        <w:tc>
          <w:tcPr>
            <w:tcW w:type="dxa" w:w="2000"/>
            <w:vAlign w:val="center"/>
            <w:tcMar>
              <w:top w:w="65" w:type="dxa"/>
              <w:start w:w="100" w:type="dxa"/>
              <w:bottom w:w="65" w:type="dxa"/>
              <w:end w:w="100" w:type="dxa"/>
            </w:tcMar>
          </w:tcPr>
          <w:p>
            <w:pPr>
              <w:spacing w:after="0" w:line="240" w:lineRule="auto"/>
            </w:pPr>
            <w:r>
              <w:rPr>
                <w:b w:val="0"/>
                <w:color w:val="222B32"/>
                <w:sz w:val="16"/>
              </w:rPr>
              <w:t>0.8091907994</w:t>
            </w:r>
          </w:p>
        </w:tc>
        <w:tc>
          <w:tcPr>
            <w:tcW w:type="dxa" w:w="2000"/>
            <w:vAlign w:val="center"/>
            <w:tcMar>
              <w:top w:w="65" w:type="dxa"/>
              <w:start w:w="100" w:type="dxa"/>
              <w:bottom w:w="65" w:type="dxa"/>
              <w:end w:w="100" w:type="dxa"/>
            </w:tcMar>
          </w:tcPr>
          <w:p>
            <w:pPr>
              <w:spacing w:after="0" w:line="240" w:lineRule="auto"/>
            </w:pPr>
            <w:r>
              <w:rPr>
                <w:b w:val="0"/>
                <w:color w:val="222B32"/>
                <w:sz w:val="16"/>
              </w:rPr>
              <w:t>1.7536377227</w:t>
            </w:r>
          </w:p>
        </w:tc>
      </w:tr>
      <w:tr>
        <w:trPr>
          <w:cantSplit/>
        </w:trPr>
        <w:tc>
          <w:tcPr>
            <w:tcW w:type="dxa" w:w="4000"/>
            <w:vAlign w:val="center"/>
            <w:tcMar>
              <w:top w:w="65" w:type="dxa"/>
              <w:start w:w="100" w:type="dxa"/>
              <w:bottom w:w="65" w:type="dxa"/>
              <w:end w:w="100" w:type="dxa"/>
            </w:tcMar>
            <w:shd w:fill="F4F8FA"/>
          </w:tcPr>
          <w:p>
            <w:pPr>
              <w:spacing w:after="0" w:line="240" w:lineRule="auto"/>
            </w:pPr>
            <w:r>
              <w:rPr>
                <w:b w:val="0"/>
                <w:color w:val="222B32"/>
                <w:sz w:val="16"/>
              </w:rPr>
              <w:t>Hour cosine</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-0.2238971928</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0.5311115921</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0.7806737528</w:t>
            </w:r>
          </w:p>
        </w:tc>
      </w:tr>
      <w:tr>
        <w:trPr>
          <w:cantSplit/>
        </w:trPr>
        <w:tc>
          <w:tcPr>
            <w:tcW w:type="dxa" w:w="4000"/>
            <w:vAlign w:val="center"/>
            <w:tcMar>
              <w:top w:w="65" w:type="dxa"/>
              <w:start w:w="100" w:type="dxa"/>
              <w:bottom w:w="65" w:type="dxa"/>
              <w:end w:w="100" w:type="dxa"/>
            </w:tcMar>
          </w:tcPr>
          <w:p>
            <w:pPr>
              <w:spacing w:after="0" w:line="240" w:lineRule="auto"/>
            </w:pPr>
            <w:r>
              <w:rPr>
                <w:b w:val="0"/>
                <w:color w:val="222B32"/>
                <w:sz w:val="16"/>
              </w:rPr>
              <w:t>Day index</w:t>
            </w:r>
          </w:p>
        </w:tc>
        <w:tc>
          <w:tcPr>
            <w:tcW w:type="dxa" w:w="2000"/>
            <w:vAlign w:val="center"/>
            <w:tcMar>
              <w:top w:w="65" w:type="dxa"/>
              <w:start w:w="100" w:type="dxa"/>
              <w:bottom w:w="65" w:type="dxa"/>
              <w:end w:w="100" w:type="dxa"/>
            </w:tcMar>
          </w:tcPr>
          <w:p>
            <w:pPr>
              <w:spacing w:after="0" w:line="240" w:lineRule="auto"/>
            </w:pPr>
            <w:r>
              <w:rPr>
                <w:b w:val="0"/>
                <w:color w:val="222B32"/>
                <w:sz w:val="16"/>
              </w:rPr>
              <w:t>5.5306774500</w:t>
            </w:r>
          </w:p>
        </w:tc>
        <w:tc>
          <w:tcPr>
            <w:tcW w:type="dxa" w:w="2000"/>
            <w:vAlign w:val="center"/>
            <w:tcMar>
              <w:top w:w="65" w:type="dxa"/>
              <w:start w:w="100" w:type="dxa"/>
              <w:bottom w:w="65" w:type="dxa"/>
              <w:end w:w="100" w:type="dxa"/>
            </w:tcMar>
          </w:tcPr>
          <w:p>
            <w:pPr>
              <w:spacing w:after="0" w:line="240" w:lineRule="auto"/>
            </w:pPr>
            <w:r>
              <w:rPr>
                <w:b w:val="0"/>
                <w:color w:val="222B32"/>
                <w:sz w:val="16"/>
              </w:rPr>
              <w:t>3.1823736492</w:t>
            </w:r>
          </w:p>
        </w:tc>
        <w:tc>
          <w:tcPr>
            <w:tcW w:type="dxa" w:w="2000"/>
            <w:vAlign w:val="center"/>
            <w:tcMar>
              <w:top w:w="65" w:type="dxa"/>
              <w:start w:w="100" w:type="dxa"/>
              <w:bottom w:w="65" w:type="dxa"/>
              <w:end w:w="100" w:type="dxa"/>
            </w:tcMar>
          </w:tcPr>
          <w:p>
            <w:pPr>
              <w:spacing w:after="0" w:line="240" w:lineRule="auto"/>
            </w:pPr>
            <w:r>
              <w:rPr>
                <w:b w:val="0"/>
                <w:color w:val="222B32"/>
                <w:sz w:val="16"/>
              </w:rPr>
              <w:t>-0.2393416299</w:t>
            </w:r>
          </w:p>
        </w:tc>
      </w:tr>
    </w:tbl>
    <w:p>
      <w:pPr>
        <w:spacing w:after="0"/>
      </w:pPr>
    </w:p>
    <w:p>
      <w:r>
        <w:rPr>
          <w:b w:val="0"/>
        </w:rPr>
        <w:t>Inner-validation MAE by empirical weight:</w:t>
      </w:r>
    </w:p>
    <w:tbl>
      <w:tblPr>
        <w:tblStyle w:val="TableGrid"/>
        <w:tblW w:type="auto" w:w="0"/>
        <w:jc w:val="center"/>
        <w:tblLayout w:type="fixed"/>
        <w:tblLook w:firstColumn="1" w:firstRow="1" w:lastColumn="0" w:lastRow="0" w:noHBand="0" w:noVBand="1" w:val="04A0"/>
        <w:tblBorders>
          <w:top w:val="single" w:sz="4" w:color="D8E0E5"/>
          <w:left w:val="single" w:sz="4" w:color="D8E0E5"/>
          <w:bottom w:val="single" w:sz="4" w:color="D8E0E5"/>
          <w:right w:val="single" w:sz="4" w:color="D8E0E5"/>
          <w:insideH w:val="single" w:sz="4" w:color="D8E0E5"/>
          <w:insideV w:val="single" w:sz="4" w:color="D8E0E5"/>
        </w:tblBorders>
      </w:tblPr>
      <w:tblGrid>
        <w:gridCol w:w="2523"/>
        <w:gridCol w:w="2523"/>
        <w:gridCol w:w="2523"/>
        <w:gridCol w:w="2523"/>
      </w:tblGrid>
      <w:tr>
        <w:trPr>
          <w:cantSplit/>
          <w:tblHeader w:val="true"/>
        </w:trPr>
        <w:tc>
          <w:tcPr>
            <w:tcW w:type="dxa" w:w="4000"/>
            <w:vAlign w:val="center"/>
            <w:tcMar>
              <w:top w:w="65" w:type="dxa"/>
              <w:start w:w="100" w:type="dxa"/>
              <w:bottom w:w="65" w:type="dxa"/>
              <w:end w:w="100" w:type="dxa"/>
            </w:tcMar>
            <w:shd w:fill="17324D"/>
          </w:tcPr>
          <w:p>
            <w:pPr>
              <w:spacing w:after="0" w:line="240" w:lineRule="auto"/>
            </w:pPr>
            <w:r>
              <w:rPr>
                <w:b/>
                <w:color w:val="FFFFFF"/>
                <w:sz w:val="16"/>
              </w:rPr>
              <w:t>Weight</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MAE, m</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Weight</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MAE, m</w:t>
            </w:r>
          </w:p>
        </w:tc>
      </w:tr>
      <w:tr>
        <w:trPr>
          <w:cantSplit/>
        </w:trPr>
        <w:tc>
          <w:tcPr>
            <w:tcW w:type="dxa" w:w="4000"/>
            <w:vAlign w:val="center"/>
            <w:tcMar>
              <w:top w:w="65" w:type="dxa"/>
              <w:start w:w="100" w:type="dxa"/>
              <w:bottom w:w="65" w:type="dxa"/>
              <w:end w:w="100" w:type="dxa"/>
            </w:tcMar>
          </w:tcPr>
          <w:p>
            <w:pPr>
              <w:spacing w:after="0" w:line="240" w:lineRule="auto"/>
            </w:pPr>
            <w:r>
              <w:rPr>
                <w:b w:val="0"/>
                <w:color w:val="222B32"/>
                <w:sz w:val="16"/>
              </w:rPr>
              <w:t>0.0</w:t>
            </w:r>
          </w:p>
        </w:tc>
        <w:tc>
          <w:tcPr>
            <w:tcW w:type="dxa" w:w="2000"/>
            <w:vAlign w:val="center"/>
            <w:tcMar>
              <w:top w:w="65" w:type="dxa"/>
              <w:start w:w="100" w:type="dxa"/>
              <w:bottom w:w="65" w:type="dxa"/>
              <w:end w:w="100" w:type="dxa"/>
            </w:tcMar>
          </w:tcPr>
          <w:p>
            <w:pPr>
              <w:spacing w:after="0" w:line="240" w:lineRule="auto"/>
            </w:pPr>
            <w:r>
              <w:rPr>
                <w:b w:val="0"/>
                <w:color w:val="222B32"/>
                <w:sz w:val="16"/>
              </w:rPr>
              <w:t>8.653289</w:t>
            </w:r>
          </w:p>
        </w:tc>
        <w:tc>
          <w:tcPr>
            <w:tcW w:type="dxa" w:w="2000"/>
            <w:vAlign w:val="center"/>
            <w:tcMar>
              <w:top w:w="65" w:type="dxa"/>
              <w:start w:w="100" w:type="dxa"/>
              <w:bottom w:w="65" w:type="dxa"/>
              <w:end w:w="100" w:type="dxa"/>
            </w:tcMar>
          </w:tcPr>
          <w:p>
            <w:pPr>
              <w:spacing w:after="0" w:line="240" w:lineRule="auto"/>
            </w:pPr>
            <w:r>
              <w:rPr>
                <w:b w:val="0"/>
                <w:color w:val="222B32"/>
                <w:sz w:val="16"/>
              </w:rPr>
              <w:t>0.6</w:t>
            </w:r>
          </w:p>
        </w:tc>
        <w:tc>
          <w:tcPr>
            <w:tcW w:type="dxa" w:w="2000"/>
            <w:vAlign w:val="center"/>
            <w:tcMar>
              <w:top w:w="65" w:type="dxa"/>
              <w:start w:w="100" w:type="dxa"/>
              <w:bottom w:w="65" w:type="dxa"/>
              <w:end w:w="100" w:type="dxa"/>
            </w:tcMar>
          </w:tcPr>
          <w:p>
            <w:pPr>
              <w:spacing w:after="0" w:line="240" w:lineRule="auto"/>
            </w:pPr>
            <w:r>
              <w:rPr>
                <w:b w:val="0"/>
                <w:color w:val="222B32"/>
                <w:sz w:val="16"/>
              </w:rPr>
              <w:t>8.607774</w:t>
            </w:r>
          </w:p>
        </w:tc>
      </w:tr>
      <w:tr>
        <w:trPr>
          <w:cantSplit/>
        </w:trPr>
        <w:tc>
          <w:tcPr>
            <w:tcW w:type="dxa" w:w="4000"/>
            <w:vAlign w:val="center"/>
            <w:tcMar>
              <w:top w:w="65" w:type="dxa"/>
              <w:start w:w="100" w:type="dxa"/>
              <w:bottom w:w="65" w:type="dxa"/>
              <w:end w:w="100" w:type="dxa"/>
            </w:tcMar>
            <w:shd w:fill="F4F8FA"/>
          </w:tcPr>
          <w:p>
            <w:pPr>
              <w:spacing w:after="0" w:line="240" w:lineRule="auto"/>
            </w:pPr>
            <w:r>
              <w:rPr>
                <w:b w:val="0"/>
                <w:color w:val="222B32"/>
                <w:sz w:val="16"/>
              </w:rPr>
              <w:t>0.1</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8.632365</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0.7</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8.627864</w:t>
            </w:r>
          </w:p>
        </w:tc>
      </w:tr>
      <w:tr>
        <w:trPr>
          <w:cantSplit/>
        </w:trPr>
        <w:tc>
          <w:tcPr>
            <w:tcW w:type="dxa" w:w="4000"/>
            <w:vAlign w:val="center"/>
            <w:tcMar>
              <w:top w:w="65" w:type="dxa"/>
              <w:start w:w="100" w:type="dxa"/>
              <w:bottom w:w="65" w:type="dxa"/>
              <w:end w:w="100" w:type="dxa"/>
            </w:tcMar>
          </w:tcPr>
          <w:p>
            <w:pPr>
              <w:spacing w:after="0" w:line="240" w:lineRule="auto"/>
            </w:pPr>
            <w:r>
              <w:rPr>
                <w:b w:val="0"/>
                <w:color w:val="222B32"/>
                <w:sz w:val="16"/>
              </w:rPr>
              <w:t>0.2</w:t>
            </w:r>
          </w:p>
        </w:tc>
        <w:tc>
          <w:tcPr>
            <w:tcW w:type="dxa" w:w="2000"/>
            <w:vAlign w:val="center"/>
            <w:tcMar>
              <w:top w:w="65" w:type="dxa"/>
              <w:start w:w="100" w:type="dxa"/>
              <w:bottom w:w="65" w:type="dxa"/>
              <w:end w:w="100" w:type="dxa"/>
            </w:tcMar>
          </w:tcPr>
          <w:p>
            <w:pPr>
              <w:spacing w:after="0" w:line="240" w:lineRule="auto"/>
            </w:pPr>
            <w:r>
              <w:rPr>
                <w:b w:val="0"/>
                <w:color w:val="222B32"/>
                <w:sz w:val="16"/>
              </w:rPr>
              <w:t>8.614709</w:t>
            </w:r>
          </w:p>
        </w:tc>
        <w:tc>
          <w:tcPr>
            <w:tcW w:type="dxa" w:w="2000"/>
            <w:vAlign w:val="center"/>
            <w:tcMar>
              <w:top w:w="65" w:type="dxa"/>
              <w:start w:w="100" w:type="dxa"/>
              <w:bottom w:w="65" w:type="dxa"/>
              <w:end w:w="100" w:type="dxa"/>
            </w:tcMar>
          </w:tcPr>
          <w:p>
            <w:pPr>
              <w:spacing w:after="0" w:line="240" w:lineRule="auto"/>
            </w:pPr>
            <w:r>
              <w:rPr>
                <w:b w:val="0"/>
                <w:color w:val="222B32"/>
                <w:sz w:val="16"/>
              </w:rPr>
              <w:t>0.8</w:t>
            </w:r>
          </w:p>
        </w:tc>
        <w:tc>
          <w:tcPr>
            <w:tcW w:type="dxa" w:w="2000"/>
            <w:vAlign w:val="center"/>
            <w:tcMar>
              <w:top w:w="65" w:type="dxa"/>
              <w:start w:w="100" w:type="dxa"/>
              <w:bottom w:w="65" w:type="dxa"/>
              <w:end w:w="100" w:type="dxa"/>
            </w:tcMar>
          </w:tcPr>
          <w:p>
            <w:pPr>
              <w:spacing w:after="0" w:line="240" w:lineRule="auto"/>
            </w:pPr>
            <w:r>
              <w:rPr>
                <w:b w:val="0"/>
                <w:color w:val="222B32"/>
                <w:sz w:val="16"/>
              </w:rPr>
              <w:t>8.656497</w:t>
            </w:r>
          </w:p>
        </w:tc>
      </w:tr>
      <w:tr>
        <w:trPr>
          <w:cantSplit/>
        </w:trPr>
        <w:tc>
          <w:tcPr>
            <w:tcW w:type="dxa" w:w="4000"/>
            <w:vAlign w:val="center"/>
            <w:tcMar>
              <w:top w:w="65" w:type="dxa"/>
              <w:start w:w="100" w:type="dxa"/>
              <w:bottom w:w="65" w:type="dxa"/>
              <w:end w:w="100" w:type="dxa"/>
            </w:tcMar>
            <w:shd w:fill="F4F8FA"/>
          </w:tcPr>
          <w:p>
            <w:pPr>
              <w:spacing w:after="0" w:line="240" w:lineRule="auto"/>
            </w:pPr>
            <w:r>
              <w:rPr>
                <w:b w:val="0"/>
                <w:color w:val="222B32"/>
                <w:sz w:val="16"/>
              </w:rPr>
              <w:t>0.3</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8.601568</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0.9</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8.694435</w:t>
            </w:r>
          </w:p>
        </w:tc>
      </w:tr>
      <w:tr>
        <w:trPr>
          <w:cantSplit/>
        </w:trPr>
        <w:tc>
          <w:tcPr>
            <w:tcW w:type="dxa" w:w="4000"/>
            <w:vAlign w:val="center"/>
            <w:tcMar>
              <w:top w:w="65" w:type="dxa"/>
              <w:start w:w="100" w:type="dxa"/>
              <w:bottom w:w="65" w:type="dxa"/>
              <w:end w:w="100" w:type="dxa"/>
            </w:tcMar>
          </w:tcPr>
          <w:p>
            <w:pPr>
              <w:spacing w:after="0" w:line="240" w:lineRule="auto"/>
            </w:pPr>
            <w:r>
              <w:rPr>
                <w:b w:val="0"/>
                <w:color w:val="222B32"/>
                <w:sz w:val="16"/>
              </w:rPr>
              <w:t>0.4</w:t>
            </w:r>
          </w:p>
        </w:tc>
        <w:tc>
          <w:tcPr>
            <w:tcW w:type="dxa" w:w="2000"/>
            <w:vAlign w:val="center"/>
            <w:tcMar>
              <w:top w:w="65" w:type="dxa"/>
              <w:start w:w="100" w:type="dxa"/>
              <w:bottom w:w="65" w:type="dxa"/>
              <w:end w:w="100" w:type="dxa"/>
            </w:tcMar>
          </w:tcPr>
          <w:p>
            <w:pPr>
              <w:spacing w:after="0" w:line="240" w:lineRule="auto"/>
            </w:pPr>
            <w:r>
              <w:rPr>
                <w:b/>
                <w:color w:val="222B32"/>
                <w:sz w:val="16"/>
              </w:rPr>
              <w:t>8.596912</w:t>
            </w:r>
          </w:p>
        </w:tc>
        <w:tc>
          <w:tcPr>
            <w:tcW w:type="dxa" w:w="2000"/>
            <w:vAlign w:val="center"/>
            <w:tcMar>
              <w:top w:w="65" w:type="dxa"/>
              <w:start w:w="100" w:type="dxa"/>
              <w:bottom w:w="65" w:type="dxa"/>
              <w:end w:w="100" w:type="dxa"/>
            </w:tcMar>
          </w:tcPr>
          <w:p>
            <w:pPr>
              <w:spacing w:after="0" w:line="240" w:lineRule="auto"/>
            </w:pPr>
            <w:r>
              <w:rPr>
                <w:b w:val="0"/>
                <w:color w:val="222B32"/>
                <w:sz w:val="16"/>
              </w:rPr>
              <w:t>1.0</w:t>
            </w:r>
          </w:p>
        </w:tc>
        <w:tc>
          <w:tcPr>
            <w:tcW w:type="dxa" w:w="2000"/>
            <w:vAlign w:val="center"/>
            <w:tcMar>
              <w:top w:w="65" w:type="dxa"/>
              <w:start w:w="100" w:type="dxa"/>
              <w:bottom w:w="65" w:type="dxa"/>
              <w:end w:w="100" w:type="dxa"/>
            </w:tcMar>
          </w:tcPr>
          <w:p>
            <w:pPr>
              <w:spacing w:after="0" w:line="240" w:lineRule="auto"/>
            </w:pPr>
            <w:r>
              <w:rPr>
                <w:b w:val="0"/>
                <w:color w:val="222B32"/>
                <w:sz w:val="16"/>
              </w:rPr>
              <w:t>8.741223</w:t>
            </w:r>
          </w:p>
        </w:tc>
      </w:tr>
      <w:tr>
        <w:trPr>
          <w:cantSplit/>
        </w:trPr>
        <w:tc>
          <w:tcPr>
            <w:tcW w:type="dxa" w:w="4000"/>
            <w:vAlign w:val="center"/>
            <w:tcMar>
              <w:top w:w="65" w:type="dxa"/>
              <w:start w:w="100" w:type="dxa"/>
              <w:bottom w:w="65" w:type="dxa"/>
              <w:end w:w="100" w:type="dxa"/>
            </w:tcMar>
            <w:shd w:fill="F4F8FA"/>
          </w:tcPr>
          <w:p>
            <w:pPr>
              <w:spacing w:after="0" w:line="240" w:lineRule="auto"/>
            </w:pPr>
            <w:r>
              <w:rPr>
                <w:b w:val="0"/>
                <w:color w:val="222B32"/>
                <w:sz w:val="16"/>
              </w:rPr>
              <w:t>0.5</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8.597601</w:t>
            </w:r>
          </w:p>
        </w:tc>
        <w:tc>
          <w:tcPr>
            <w:tcW w:type="dxa" w:w="2000"/>
            <w:vAlign w:val="center"/>
            <w:tcMar>
              <w:top w:w="65" w:type="dxa"/>
              <w:start w:w="100" w:type="dxa"/>
              <w:bottom w:w="65" w:type="dxa"/>
              <w:end w:w="100" w:type="dxa"/>
            </w:tcMar>
            <w:shd w:fill="F4F8FA"/>
          </w:tcPr>
          <w:p>
            <w:pPr>
              <w:spacing w:after="0" w:line="240" w:lineRule="auto"/>
            </w:pPr>
          </w:p>
        </w:tc>
        <w:tc>
          <w:tcPr>
            <w:tcW w:type="dxa" w:w="2000"/>
            <w:vAlign w:val="center"/>
            <w:tcMar>
              <w:top w:w="65" w:type="dxa"/>
              <w:start w:w="100" w:type="dxa"/>
              <w:bottom w:w="65" w:type="dxa"/>
              <w:end w:w="100" w:type="dxa"/>
            </w:tcMar>
            <w:shd w:fill="F4F8FA"/>
          </w:tcPr>
          <w:p>
            <w:pPr>
              <w:spacing w:after="0" w:line="240" w:lineRule="auto"/>
            </w:pPr>
          </w:p>
        </w:tc>
      </w:tr>
    </w:tbl>
    <w:p>
      <w:pPr>
        <w:spacing w:after="0"/>
      </w:pPr>
    </w:p>
    <w:p>
      <w:pPr>
        <w:pStyle w:val="Heading2"/>
        <w:pageBreakBefore w:val="0"/>
      </w:pPr>
      <w:r>
        <w:rPr>
          <w:b/>
        </w:rPr>
        <w:t>16.2 Recovery-transition baseline</w:t>
      </w:r>
    </w:p>
    <w:p>
      <w:r>
        <w:rPr>
          <w:b w:val="0"/>
        </w:rPr>
        <w:t xml:space="preserve">Intercept: </w:t>
      </w:r>
      <w:r>
        <w:rPr>
          <w:b/>
        </w:rPr>
        <w:t>-2.3244518082</w:t>
      </w:r>
      <w:r>
        <w:rPr>
          <w:b w:val="0"/>
        </w:rPr>
        <w:t xml:space="preserve">. Global target median: </w:t>
      </w:r>
      <w:r>
        <w:rPr>
          <w:b/>
        </w:rPr>
        <w:t>-1.65 m</w:t>
      </w:r>
      <w:r>
        <w:rPr>
          <w:b w:val="0"/>
        </w:rPr>
        <w:t xml:space="preserve">. Number of fitted well effects: </w:t>
      </w:r>
      <w:r>
        <w:rPr>
          <w:b/>
        </w:rPr>
        <w:t>443</w:t>
      </w:r>
      <w:r>
        <w:rPr>
          <w:b w:val="0"/>
        </w:rPr>
        <w:t xml:space="preserve">. Effect range: </w:t>
      </w:r>
      <w:r>
        <w:rPr>
          <w:b/>
        </w:rPr>
        <w:t>-11.1787 to 21.6543 m</w:t>
      </w:r>
      <w:r>
        <w:rPr>
          <w:b w:val="0"/>
        </w:rPr>
        <w:t xml:space="preserve">. Shrunken well-median range: </w:t>
      </w:r>
      <w:r>
        <w:rPr>
          <w:b/>
        </w:rPr>
        <w:t>-22.8850 to 27.2071 m</w:t>
      </w:r>
      <w:r>
        <w:rPr>
          <w:b w:val="0"/>
        </w:rPr>
        <w:t>.</w:t>
      </w:r>
    </w:p>
    <w:tbl>
      <w:tblPr>
        <w:tblStyle w:val="TableGrid"/>
        <w:tblW w:type="auto" w:w="0"/>
        <w:jc w:val="center"/>
        <w:tblLayout w:type="fixed"/>
        <w:tblLook w:firstColumn="1" w:firstRow="1" w:lastColumn="0" w:lastRow="0" w:noHBand="0" w:noVBand="1" w:val="04A0"/>
        <w:tblBorders>
          <w:top w:val="single" w:sz="4" w:color="D8E0E5"/>
          <w:left w:val="single" w:sz="4" w:color="D8E0E5"/>
          <w:bottom w:val="single" w:sz="4" w:color="D8E0E5"/>
          <w:right w:val="single" w:sz="4" w:color="D8E0E5"/>
          <w:insideH w:val="single" w:sz="4" w:color="D8E0E5"/>
          <w:insideV w:val="single" w:sz="4" w:color="D8E0E5"/>
        </w:tblBorders>
      </w:tblPr>
      <w:tblGrid>
        <w:gridCol w:w="2523"/>
        <w:gridCol w:w="2523"/>
        <w:gridCol w:w="2523"/>
        <w:gridCol w:w="2523"/>
      </w:tblGrid>
      <w:tr>
        <w:trPr>
          <w:cantSplit/>
          <w:tblHeader w:val="true"/>
        </w:trPr>
        <w:tc>
          <w:tcPr>
            <w:tcW w:type="dxa" w:w="4000"/>
            <w:vAlign w:val="center"/>
            <w:tcMar>
              <w:top w:w="65" w:type="dxa"/>
              <w:start w:w="100" w:type="dxa"/>
              <w:bottom w:w="65" w:type="dxa"/>
              <w:end w:w="100" w:type="dxa"/>
            </w:tcMar>
            <w:shd w:fill="17324D"/>
          </w:tcPr>
          <w:p>
            <w:pPr>
              <w:spacing w:after="0" w:line="240" w:lineRule="auto"/>
            </w:pPr>
            <w:r>
              <w:rPr>
                <w:b/>
                <w:color w:val="FFFFFF"/>
                <w:sz w:val="16"/>
              </w:rPr>
              <w:t>Feature</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Training mean μ</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Training scale s</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Coefficient β</w:t>
            </w:r>
          </w:p>
        </w:tc>
      </w:tr>
      <w:tr>
        <w:trPr>
          <w:cantSplit/>
        </w:trPr>
        <w:tc>
          <w:tcPr>
            <w:tcW w:type="dxa" w:w="4000"/>
            <w:vAlign w:val="center"/>
            <w:tcMar>
              <w:top w:w="65" w:type="dxa"/>
              <w:start w:w="100" w:type="dxa"/>
              <w:bottom w:w="65" w:type="dxa"/>
              <w:end w:w="100" w:type="dxa"/>
            </w:tcMar>
          </w:tcPr>
          <w:p>
            <w:pPr>
              <w:spacing w:after="0" w:line="240" w:lineRule="auto"/>
            </w:pPr>
            <w:r>
              <w:rPr>
                <w:b w:val="0"/>
                <w:color w:val="222B32"/>
                <w:sz w:val="16"/>
              </w:rPr>
              <w:t>Previous stop level</w:t>
            </w:r>
          </w:p>
        </w:tc>
        <w:tc>
          <w:tcPr>
            <w:tcW w:type="dxa" w:w="2000"/>
            <w:vAlign w:val="center"/>
            <w:tcMar>
              <w:top w:w="65" w:type="dxa"/>
              <w:start w:w="100" w:type="dxa"/>
              <w:bottom w:w="65" w:type="dxa"/>
              <w:end w:w="100" w:type="dxa"/>
            </w:tcMar>
          </w:tcPr>
          <w:p>
            <w:pPr>
              <w:spacing w:after="0" w:line="240" w:lineRule="auto"/>
            </w:pPr>
            <w:r>
              <w:rPr>
                <w:b w:val="0"/>
                <w:color w:val="222B32"/>
                <w:sz w:val="16"/>
              </w:rPr>
              <w:t>62.7343345656</w:t>
            </w:r>
          </w:p>
        </w:tc>
        <w:tc>
          <w:tcPr>
            <w:tcW w:type="dxa" w:w="2000"/>
            <w:vAlign w:val="center"/>
            <w:tcMar>
              <w:top w:w="65" w:type="dxa"/>
              <w:start w:w="100" w:type="dxa"/>
              <w:bottom w:w="65" w:type="dxa"/>
              <w:end w:w="100" w:type="dxa"/>
            </w:tcMar>
          </w:tcPr>
          <w:p>
            <w:pPr>
              <w:spacing w:after="0" w:line="240" w:lineRule="auto"/>
            </w:pPr>
            <w:r>
              <w:rPr>
                <w:b w:val="0"/>
                <w:color w:val="222B32"/>
                <w:sz w:val="16"/>
              </w:rPr>
              <w:t>46.5669684202</w:t>
            </w:r>
          </w:p>
        </w:tc>
        <w:tc>
          <w:tcPr>
            <w:tcW w:type="dxa" w:w="2000"/>
            <w:vAlign w:val="center"/>
            <w:tcMar>
              <w:top w:w="65" w:type="dxa"/>
              <w:start w:w="100" w:type="dxa"/>
              <w:bottom w:w="65" w:type="dxa"/>
              <w:end w:w="100" w:type="dxa"/>
            </w:tcMar>
          </w:tcPr>
          <w:p>
            <w:pPr>
              <w:spacing w:after="0" w:line="240" w:lineRule="auto"/>
            </w:pPr>
            <w:r>
              <w:rPr>
                <w:b w:val="0"/>
                <w:color w:val="222B32"/>
                <w:sz w:val="16"/>
              </w:rPr>
              <w:t>-2.0507682865</w:t>
            </w:r>
          </w:p>
        </w:tc>
      </w:tr>
      <w:tr>
        <w:trPr>
          <w:cantSplit/>
        </w:trPr>
        <w:tc>
          <w:tcPr>
            <w:tcW w:type="dxa" w:w="4000"/>
            <w:vAlign w:val="center"/>
            <w:tcMar>
              <w:top w:w="65" w:type="dxa"/>
              <w:start w:w="100" w:type="dxa"/>
              <w:bottom w:w="65" w:type="dxa"/>
              <w:end w:w="100" w:type="dxa"/>
            </w:tcMar>
            <w:shd w:fill="F4F8FA"/>
          </w:tcPr>
          <w:p>
            <w:pPr>
              <w:spacing w:after="0" w:line="240" w:lineRule="auto"/>
            </w:pPr>
            <w:r>
              <w:rPr>
                <w:b w:val="0"/>
                <w:color w:val="222B32"/>
                <w:sz w:val="16"/>
              </w:rPr>
              <w:t>Previous start level</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60.8638562847</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45.7879752292</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0.2011652537</w:t>
            </w:r>
          </w:p>
        </w:tc>
      </w:tr>
      <w:tr>
        <w:trPr>
          <w:cantSplit/>
        </w:trPr>
        <w:tc>
          <w:tcPr>
            <w:tcW w:type="dxa" w:w="4000"/>
            <w:vAlign w:val="center"/>
            <w:tcMar>
              <w:top w:w="65" w:type="dxa"/>
              <w:start w:w="100" w:type="dxa"/>
              <w:bottom w:w="65" w:type="dxa"/>
              <w:end w:w="100" w:type="dxa"/>
            </w:tcMar>
          </w:tcPr>
          <w:p>
            <w:pPr>
              <w:spacing w:after="0" w:line="240" w:lineRule="auto"/>
            </w:pPr>
            <w:r>
              <w:rPr>
                <w:b w:val="0"/>
                <w:color w:val="222B32"/>
                <w:sz w:val="16"/>
              </w:rPr>
              <w:t>Previous drawdown</w:t>
            </w:r>
          </w:p>
        </w:tc>
        <w:tc>
          <w:tcPr>
            <w:tcW w:type="dxa" w:w="2000"/>
            <w:vAlign w:val="center"/>
            <w:tcMar>
              <w:top w:w="65" w:type="dxa"/>
              <w:start w:w="100" w:type="dxa"/>
              <w:bottom w:w="65" w:type="dxa"/>
              <w:end w:w="100" w:type="dxa"/>
            </w:tcMar>
          </w:tcPr>
          <w:p>
            <w:pPr>
              <w:spacing w:after="0" w:line="240" w:lineRule="auto"/>
            </w:pPr>
            <w:r>
              <w:rPr>
                <w:b w:val="0"/>
                <w:color w:val="222B32"/>
                <w:sz w:val="16"/>
              </w:rPr>
              <w:t>1.8704782810</w:t>
            </w:r>
          </w:p>
        </w:tc>
        <w:tc>
          <w:tcPr>
            <w:tcW w:type="dxa" w:w="2000"/>
            <w:vAlign w:val="center"/>
            <w:tcMar>
              <w:top w:w="65" w:type="dxa"/>
              <w:start w:w="100" w:type="dxa"/>
              <w:bottom w:w="65" w:type="dxa"/>
              <w:end w:w="100" w:type="dxa"/>
            </w:tcMar>
          </w:tcPr>
          <w:p>
            <w:pPr>
              <w:spacing w:after="0" w:line="240" w:lineRule="auto"/>
            </w:pPr>
            <w:r>
              <w:rPr>
                <w:b w:val="0"/>
                <w:color w:val="222B32"/>
                <w:sz w:val="16"/>
              </w:rPr>
              <w:t>14.6720190783</w:t>
            </w:r>
          </w:p>
        </w:tc>
        <w:tc>
          <w:tcPr>
            <w:tcW w:type="dxa" w:w="2000"/>
            <w:vAlign w:val="center"/>
            <w:tcMar>
              <w:top w:w="65" w:type="dxa"/>
              <w:start w:w="100" w:type="dxa"/>
              <w:bottom w:w="65" w:type="dxa"/>
              <w:end w:w="100" w:type="dxa"/>
            </w:tcMar>
          </w:tcPr>
          <w:p>
            <w:pPr>
              <w:spacing w:after="0" w:line="240" w:lineRule="auto"/>
            </w:pPr>
            <w:r>
              <w:rPr>
                <w:b w:val="0"/>
                <w:color w:val="222B32"/>
                <w:sz w:val="16"/>
              </w:rPr>
              <w:t>-7.1366463696</w:t>
            </w:r>
          </w:p>
        </w:tc>
      </w:tr>
      <w:tr>
        <w:trPr>
          <w:cantSplit/>
        </w:trPr>
        <w:tc>
          <w:tcPr>
            <w:tcW w:type="dxa" w:w="4000"/>
            <w:vAlign w:val="center"/>
            <w:tcMar>
              <w:top w:w="65" w:type="dxa"/>
              <w:start w:w="100" w:type="dxa"/>
              <w:bottom w:w="65" w:type="dxa"/>
              <w:end w:w="100" w:type="dxa"/>
            </w:tcMar>
            <w:shd w:fill="F4F8FA"/>
          </w:tcPr>
          <w:p>
            <w:pPr>
              <w:spacing w:after="0" w:line="240" w:lineRule="auto"/>
            </w:pPr>
            <w:r>
              <w:rPr>
                <w:b w:val="0"/>
                <w:color w:val="222B32"/>
                <w:sz w:val="16"/>
              </w:rPr>
              <w:t>Previous log duration</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4.7985021747</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1.1542536141</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1.5558102109</w:t>
            </w:r>
          </w:p>
        </w:tc>
      </w:tr>
      <w:tr>
        <w:trPr>
          <w:cantSplit/>
        </w:trPr>
        <w:tc>
          <w:tcPr>
            <w:tcW w:type="dxa" w:w="4000"/>
            <w:vAlign w:val="center"/>
            <w:tcMar>
              <w:top w:w="65" w:type="dxa"/>
              <w:start w:w="100" w:type="dxa"/>
              <w:bottom w:w="65" w:type="dxa"/>
              <w:end w:w="100" w:type="dxa"/>
            </w:tcMar>
          </w:tcPr>
          <w:p>
            <w:pPr>
              <w:spacing w:after="0" w:line="240" w:lineRule="auto"/>
            </w:pPr>
            <w:r>
              <w:rPr>
                <w:b w:val="0"/>
                <w:color w:val="222B32"/>
                <w:sz w:val="16"/>
              </w:rPr>
              <w:t>Previous log volume</w:t>
            </w:r>
          </w:p>
        </w:tc>
        <w:tc>
          <w:tcPr>
            <w:tcW w:type="dxa" w:w="2000"/>
            <w:vAlign w:val="center"/>
            <w:tcMar>
              <w:top w:w="65" w:type="dxa"/>
              <w:start w:w="100" w:type="dxa"/>
              <w:bottom w:w="65" w:type="dxa"/>
              <w:end w:w="100" w:type="dxa"/>
            </w:tcMar>
          </w:tcPr>
          <w:p>
            <w:pPr>
              <w:spacing w:after="0" w:line="240" w:lineRule="auto"/>
            </w:pPr>
            <w:r>
              <w:rPr>
                <w:b w:val="0"/>
                <w:color w:val="222B32"/>
                <w:sz w:val="16"/>
              </w:rPr>
              <w:t>9.2406017713</w:t>
            </w:r>
          </w:p>
        </w:tc>
        <w:tc>
          <w:tcPr>
            <w:tcW w:type="dxa" w:w="2000"/>
            <w:vAlign w:val="center"/>
            <w:tcMar>
              <w:top w:w="65" w:type="dxa"/>
              <w:start w:w="100" w:type="dxa"/>
              <w:bottom w:w="65" w:type="dxa"/>
              <w:end w:w="100" w:type="dxa"/>
            </w:tcMar>
          </w:tcPr>
          <w:p>
            <w:pPr>
              <w:spacing w:after="0" w:line="240" w:lineRule="auto"/>
            </w:pPr>
            <w:r>
              <w:rPr>
                <w:b w:val="0"/>
                <w:color w:val="222B32"/>
                <w:sz w:val="16"/>
              </w:rPr>
              <w:t>1.0847585990</w:t>
            </w:r>
          </w:p>
        </w:tc>
        <w:tc>
          <w:tcPr>
            <w:tcW w:type="dxa" w:w="2000"/>
            <w:vAlign w:val="center"/>
            <w:tcMar>
              <w:top w:w="65" w:type="dxa"/>
              <w:start w:w="100" w:type="dxa"/>
              <w:bottom w:w="65" w:type="dxa"/>
              <w:end w:w="100" w:type="dxa"/>
            </w:tcMar>
          </w:tcPr>
          <w:p>
            <w:pPr>
              <w:spacing w:after="0" w:line="240" w:lineRule="auto"/>
            </w:pPr>
            <w:r>
              <w:rPr>
                <w:b w:val="0"/>
                <w:color w:val="222B32"/>
                <w:sz w:val="16"/>
              </w:rPr>
              <w:t>-1.6167479958</w:t>
            </w:r>
          </w:p>
        </w:tc>
      </w:tr>
      <w:tr>
        <w:trPr>
          <w:cantSplit/>
        </w:trPr>
        <w:tc>
          <w:tcPr>
            <w:tcW w:type="dxa" w:w="4000"/>
            <w:vAlign w:val="center"/>
            <w:tcMar>
              <w:top w:w="65" w:type="dxa"/>
              <w:start w:w="100" w:type="dxa"/>
              <w:bottom w:w="65" w:type="dxa"/>
              <w:end w:w="100" w:type="dxa"/>
            </w:tcMar>
            <w:shd w:fill="F4F8FA"/>
          </w:tcPr>
          <w:p>
            <w:pPr>
              <w:spacing w:after="0" w:line="240" w:lineRule="auto"/>
            </w:pPr>
            <w:r>
              <w:rPr>
                <w:b w:val="0"/>
                <w:color w:val="222B32"/>
                <w:sz w:val="16"/>
              </w:rPr>
              <w:t>Previous mean discharge</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95.1964226830</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40.1231653288</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0.9461421610</w:t>
            </w:r>
          </w:p>
        </w:tc>
      </w:tr>
      <w:tr>
        <w:trPr>
          <w:cantSplit/>
        </w:trPr>
        <w:tc>
          <w:tcPr>
            <w:tcW w:type="dxa" w:w="4000"/>
            <w:vAlign w:val="center"/>
            <w:tcMar>
              <w:top w:w="65" w:type="dxa"/>
              <w:start w:w="100" w:type="dxa"/>
              <w:bottom w:w="65" w:type="dxa"/>
              <w:end w:w="100" w:type="dxa"/>
            </w:tcMar>
          </w:tcPr>
          <w:p>
            <w:pPr>
              <w:spacing w:after="0" w:line="240" w:lineRule="auto"/>
            </w:pPr>
            <w:r>
              <w:rPr>
                <w:b w:val="0"/>
                <w:color w:val="222B32"/>
                <w:sz w:val="16"/>
              </w:rPr>
              <w:t>Previous mean power</w:t>
            </w:r>
          </w:p>
        </w:tc>
        <w:tc>
          <w:tcPr>
            <w:tcW w:type="dxa" w:w="2000"/>
            <w:vAlign w:val="center"/>
            <w:tcMar>
              <w:top w:w="65" w:type="dxa"/>
              <w:start w:w="100" w:type="dxa"/>
              <w:bottom w:w="65" w:type="dxa"/>
              <w:end w:w="100" w:type="dxa"/>
            </w:tcMar>
          </w:tcPr>
          <w:p>
            <w:pPr>
              <w:spacing w:after="0" w:line="240" w:lineRule="auto"/>
            </w:pPr>
            <w:r>
              <w:rPr>
                <w:b w:val="0"/>
                <w:color w:val="222B32"/>
                <w:sz w:val="16"/>
              </w:rPr>
              <w:t>4.6737327594</w:t>
            </w:r>
          </w:p>
        </w:tc>
        <w:tc>
          <w:tcPr>
            <w:tcW w:type="dxa" w:w="2000"/>
            <w:vAlign w:val="center"/>
            <w:tcMar>
              <w:top w:w="65" w:type="dxa"/>
              <w:start w:w="100" w:type="dxa"/>
              <w:bottom w:w="65" w:type="dxa"/>
              <w:end w:w="100" w:type="dxa"/>
            </w:tcMar>
          </w:tcPr>
          <w:p>
            <w:pPr>
              <w:spacing w:after="0" w:line="240" w:lineRule="auto"/>
            </w:pPr>
            <w:r>
              <w:rPr>
                <w:b w:val="0"/>
                <w:color w:val="222B32"/>
                <w:sz w:val="16"/>
              </w:rPr>
              <w:t>1.9565892660</w:t>
            </w:r>
          </w:p>
        </w:tc>
        <w:tc>
          <w:tcPr>
            <w:tcW w:type="dxa" w:w="2000"/>
            <w:vAlign w:val="center"/>
            <w:tcMar>
              <w:top w:w="65" w:type="dxa"/>
              <w:start w:w="100" w:type="dxa"/>
              <w:bottom w:w="65" w:type="dxa"/>
              <w:end w:w="100" w:type="dxa"/>
            </w:tcMar>
          </w:tcPr>
          <w:p>
            <w:pPr>
              <w:spacing w:after="0" w:line="240" w:lineRule="auto"/>
            </w:pPr>
            <w:r>
              <w:rPr>
                <w:b w:val="0"/>
                <w:color w:val="222B32"/>
                <w:sz w:val="16"/>
              </w:rPr>
              <w:t>0.8927268611</w:t>
            </w:r>
          </w:p>
        </w:tc>
      </w:tr>
      <w:tr>
        <w:trPr>
          <w:cantSplit/>
        </w:trPr>
        <w:tc>
          <w:tcPr>
            <w:tcW w:type="dxa" w:w="4000"/>
            <w:vAlign w:val="center"/>
            <w:tcMar>
              <w:top w:w="65" w:type="dxa"/>
              <w:start w:w="100" w:type="dxa"/>
              <w:bottom w:w="65" w:type="dxa"/>
              <w:end w:w="100" w:type="dxa"/>
            </w:tcMar>
            <w:shd w:fill="F4F8FA"/>
          </w:tcPr>
          <w:p>
            <w:pPr>
              <w:spacing w:after="0" w:line="240" w:lineRule="auto"/>
            </w:pPr>
            <w:r>
              <w:rPr>
                <w:b w:val="0"/>
                <w:color w:val="222B32"/>
                <w:sz w:val="16"/>
              </w:rPr>
              <w:t>Log off gap</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5.7412569856</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1.2950174320</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-0.5836993664</w:t>
            </w:r>
          </w:p>
        </w:tc>
      </w:tr>
      <w:tr>
        <w:trPr>
          <w:cantSplit/>
        </w:trPr>
        <w:tc>
          <w:tcPr>
            <w:tcW w:type="dxa" w:w="4000"/>
            <w:vAlign w:val="center"/>
            <w:tcMar>
              <w:top w:w="65" w:type="dxa"/>
              <w:start w:w="100" w:type="dxa"/>
              <w:bottom w:w="65" w:type="dxa"/>
              <w:end w:w="100" w:type="dxa"/>
            </w:tcMar>
          </w:tcPr>
          <w:p>
            <w:pPr>
              <w:spacing w:after="0" w:line="240" w:lineRule="auto"/>
            </w:pPr>
            <w:r>
              <w:rPr>
                <w:b w:val="0"/>
                <w:color w:val="222B32"/>
                <w:sz w:val="16"/>
              </w:rPr>
              <w:t>Next-hour sine</w:t>
            </w:r>
          </w:p>
        </w:tc>
        <w:tc>
          <w:tcPr>
            <w:tcW w:type="dxa" w:w="2000"/>
            <w:vAlign w:val="center"/>
            <w:tcMar>
              <w:top w:w="65" w:type="dxa"/>
              <w:start w:w="100" w:type="dxa"/>
              <w:bottom w:w="65" w:type="dxa"/>
              <w:end w:w="100" w:type="dxa"/>
            </w:tcMar>
          </w:tcPr>
          <w:p>
            <w:pPr>
              <w:spacing w:after="0" w:line="240" w:lineRule="auto"/>
            </w:pPr>
            <w:r>
              <w:rPr>
                <w:b w:val="0"/>
                <w:color w:val="222B32"/>
                <w:sz w:val="16"/>
              </w:rPr>
              <w:t>0.1476930595</w:t>
            </w:r>
          </w:p>
        </w:tc>
        <w:tc>
          <w:tcPr>
            <w:tcW w:type="dxa" w:w="2000"/>
            <w:vAlign w:val="center"/>
            <w:tcMar>
              <w:top w:w="65" w:type="dxa"/>
              <w:start w:w="100" w:type="dxa"/>
              <w:bottom w:w="65" w:type="dxa"/>
              <w:end w:w="100" w:type="dxa"/>
            </w:tcMar>
          </w:tcPr>
          <w:p>
            <w:pPr>
              <w:spacing w:after="0" w:line="240" w:lineRule="auto"/>
            </w:pPr>
            <w:r>
              <w:rPr>
                <w:b w:val="0"/>
                <w:color w:val="222B32"/>
                <w:sz w:val="16"/>
              </w:rPr>
              <w:t>0.8094905560</w:t>
            </w:r>
          </w:p>
        </w:tc>
        <w:tc>
          <w:tcPr>
            <w:tcW w:type="dxa" w:w="2000"/>
            <w:vAlign w:val="center"/>
            <w:tcMar>
              <w:top w:w="65" w:type="dxa"/>
              <w:start w:w="100" w:type="dxa"/>
              <w:bottom w:w="65" w:type="dxa"/>
              <w:end w:w="100" w:type="dxa"/>
            </w:tcMar>
          </w:tcPr>
          <w:p>
            <w:pPr>
              <w:spacing w:after="0" w:line="240" w:lineRule="auto"/>
            </w:pPr>
            <w:r>
              <w:rPr>
                <w:b w:val="0"/>
                <w:color w:val="222B32"/>
                <w:sz w:val="16"/>
              </w:rPr>
              <w:t>0.0276491531</w:t>
            </w:r>
          </w:p>
        </w:tc>
      </w:tr>
      <w:tr>
        <w:trPr>
          <w:cantSplit/>
        </w:trPr>
        <w:tc>
          <w:tcPr>
            <w:tcW w:type="dxa" w:w="4000"/>
            <w:vAlign w:val="center"/>
            <w:tcMar>
              <w:top w:w="65" w:type="dxa"/>
              <w:start w:w="100" w:type="dxa"/>
              <w:bottom w:w="65" w:type="dxa"/>
              <w:end w:w="100" w:type="dxa"/>
            </w:tcMar>
            <w:shd w:fill="F4F8FA"/>
          </w:tcPr>
          <w:p>
            <w:pPr>
              <w:spacing w:after="0" w:line="240" w:lineRule="auto"/>
            </w:pPr>
            <w:r>
              <w:rPr>
                <w:b w:val="0"/>
                <w:color w:val="222B32"/>
                <w:sz w:val="16"/>
              </w:rPr>
              <w:t>Next-hour cosine</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-0.2120830768</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0.5271931037</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-0.5755040999</w:t>
            </w:r>
          </w:p>
        </w:tc>
      </w:tr>
    </w:tbl>
    <w:p>
      <w:pPr>
        <w:spacing w:after="0"/>
      </w:pPr>
    </w:p>
    <w:p>
      <w:r>
        <w:rPr>
          <w:b w:val="0"/>
        </w:rPr>
        <w:t>Inner-validation MAE by empirical weight:</w:t>
      </w:r>
    </w:p>
    <w:tbl>
      <w:tblPr>
        <w:tblStyle w:val="TableGrid"/>
        <w:tblW w:type="auto" w:w="0"/>
        <w:jc w:val="center"/>
        <w:tblLayout w:type="fixed"/>
        <w:tblLook w:firstColumn="1" w:firstRow="1" w:lastColumn="0" w:lastRow="0" w:noHBand="0" w:noVBand="1" w:val="04A0"/>
        <w:tblBorders>
          <w:top w:val="single" w:sz="4" w:color="D8E0E5"/>
          <w:left w:val="single" w:sz="4" w:color="D8E0E5"/>
          <w:bottom w:val="single" w:sz="4" w:color="D8E0E5"/>
          <w:right w:val="single" w:sz="4" w:color="D8E0E5"/>
          <w:insideH w:val="single" w:sz="4" w:color="D8E0E5"/>
          <w:insideV w:val="single" w:sz="4" w:color="D8E0E5"/>
        </w:tblBorders>
      </w:tblPr>
      <w:tblGrid>
        <w:gridCol w:w="2523"/>
        <w:gridCol w:w="2523"/>
        <w:gridCol w:w="2523"/>
        <w:gridCol w:w="2523"/>
      </w:tblGrid>
      <w:tr>
        <w:trPr>
          <w:cantSplit/>
          <w:tblHeader w:val="true"/>
        </w:trPr>
        <w:tc>
          <w:tcPr>
            <w:tcW w:type="dxa" w:w="4000"/>
            <w:vAlign w:val="center"/>
            <w:tcMar>
              <w:top w:w="65" w:type="dxa"/>
              <w:start w:w="100" w:type="dxa"/>
              <w:bottom w:w="65" w:type="dxa"/>
              <w:end w:w="100" w:type="dxa"/>
            </w:tcMar>
            <w:shd w:fill="17324D"/>
          </w:tcPr>
          <w:p>
            <w:pPr>
              <w:spacing w:after="0" w:line="240" w:lineRule="auto"/>
            </w:pPr>
            <w:r>
              <w:rPr>
                <w:b/>
                <w:color w:val="FFFFFF"/>
                <w:sz w:val="16"/>
              </w:rPr>
              <w:t>Weight</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MAE, m</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Weight</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MAE, m</w:t>
            </w:r>
          </w:p>
        </w:tc>
      </w:tr>
      <w:tr>
        <w:trPr>
          <w:cantSplit/>
        </w:trPr>
        <w:tc>
          <w:tcPr>
            <w:tcW w:type="dxa" w:w="4000"/>
            <w:vAlign w:val="center"/>
            <w:tcMar>
              <w:top w:w="65" w:type="dxa"/>
              <w:start w:w="100" w:type="dxa"/>
              <w:bottom w:w="65" w:type="dxa"/>
              <w:end w:w="100" w:type="dxa"/>
            </w:tcMar>
          </w:tcPr>
          <w:p>
            <w:pPr>
              <w:spacing w:after="0" w:line="240" w:lineRule="auto"/>
            </w:pPr>
            <w:r>
              <w:rPr>
                <w:b w:val="0"/>
                <w:color w:val="222B32"/>
                <w:sz w:val="16"/>
              </w:rPr>
              <w:t>0.0</w:t>
            </w:r>
          </w:p>
        </w:tc>
        <w:tc>
          <w:tcPr>
            <w:tcW w:type="dxa" w:w="2000"/>
            <w:vAlign w:val="center"/>
            <w:tcMar>
              <w:top w:w="65" w:type="dxa"/>
              <w:start w:w="100" w:type="dxa"/>
              <w:bottom w:w="65" w:type="dxa"/>
              <w:end w:w="100" w:type="dxa"/>
            </w:tcMar>
          </w:tcPr>
          <w:p>
            <w:pPr>
              <w:spacing w:after="0" w:line="240" w:lineRule="auto"/>
            </w:pPr>
            <w:r>
              <w:rPr>
                <w:b w:val="0"/>
                <w:color w:val="222B32"/>
                <w:sz w:val="16"/>
              </w:rPr>
              <w:t>7.316087</w:t>
            </w:r>
          </w:p>
        </w:tc>
        <w:tc>
          <w:tcPr>
            <w:tcW w:type="dxa" w:w="2000"/>
            <w:vAlign w:val="center"/>
            <w:tcMar>
              <w:top w:w="65" w:type="dxa"/>
              <w:start w:w="100" w:type="dxa"/>
              <w:bottom w:w="65" w:type="dxa"/>
              <w:end w:w="100" w:type="dxa"/>
            </w:tcMar>
          </w:tcPr>
          <w:p>
            <w:pPr>
              <w:spacing w:after="0" w:line="240" w:lineRule="auto"/>
            </w:pPr>
            <w:r>
              <w:rPr>
                <w:b w:val="0"/>
                <w:color w:val="222B32"/>
                <w:sz w:val="16"/>
              </w:rPr>
              <w:t>0.6</w:t>
            </w:r>
          </w:p>
        </w:tc>
        <w:tc>
          <w:tcPr>
            <w:tcW w:type="dxa" w:w="2000"/>
            <w:vAlign w:val="center"/>
            <w:tcMar>
              <w:top w:w="65" w:type="dxa"/>
              <w:start w:w="100" w:type="dxa"/>
              <w:bottom w:w="65" w:type="dxa"/>
              <w:end w:w="100" w:type="dxa"/>
            </w:tcMar>
          </w:tcPr>
          <w:p>
            <w:pPr>
              <w:spacing w:after="0" w:line="240" w:lineRule="auto"/>
            </w:pPr>
            <w:r>
              <w:rPr>
                <w:b w:val="0"/>
                <w:color w:val="222B32"/>
                <w:sz w:val="16"/>
              </w:rPr>
              <w:t>7.165806</w:t>
            </w:r>
          </w:p>
        </w:tc>
      </w:tr>
      <w:tr>
        <w:trPr>
          <w:cantSplit/>
        </w:trPr>
        <w:tc>
          <w:tcPr>
            <w:tcW w:type="dxa" w:w="4000"/>
            <w:vAlign w:val="center"/>
            <w:tcMar>
              <w:top w:w="65" w:type="dxa"/>
              <w:start w:w="100" w:type="dxa"/>
              <w:bottom w:w="65" w:type="dxa"/>
              <w:end w:w="100" w:type="dxa"/>
            </w:tcMar>
            <w:shd w:fill="F4F8FA"/>
          </w:tcPr>
          <w:p>
            <w:pPr>
              <w:spacing w:after="0" w:line="240" w:lineRule="auto"/>
            </w:pPr>
            <w:r>
              <w:rPr>
                <w:b w:val="0"/>
                <w:color w:val="222B32"/>
                <w:sz w:val="16"/>
              </w:rPr>
              <w:t>0.1</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7.238699</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0.7</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7.232774</w:t>
            </w:r>
          </w:p>
        </w:tc>
      </w:tr>
      <w:tr>
        <w:trPr>
          <w:cantSplit/>
        </w:trPr>
        <w:tc>
          <w:tcPr>
            <w:tcW w:type="dxa" w:w="4000"/>
            <w:vAlign w:val="center"/>
            <w:tcMar>
              <w:top w:w="65" w:type="dxa"/>
              <w:start w:w="100" w:type="dxa"/>
              <w:bottom w:w="65" w:type="dxa"/>
              <w:end w:w="100" w:type="dxa"/>
            </w:tcMar>
          </w:tcPr>
          <w:p>
            <w:pPr>
              <w:spacing w:after="0" w:line="240" w:lineRule="auto"/>
            </w:pPr>
            <w:r>
              <w:rPr>
                <w:b w:val="0"/>
                <w:color w:val="222B32"/>
                <w:sz w:val="16"/>
              </w:rPr>
              <w:t>0.2</w:t>
            </w:r>
          </w:p>
        </w:tc>
        <w:tc>
          <w:tcPr>
            <w:tcW w:type="dxa" w:w="2000"/>
            <w:vAlign w:val="center"/>
            <w:tcMar>
              <w:top w:w="65" w:type="dxa"/>
              <w:start w:w="100" w:type="dxa"/>
              <w:bottom w:w="65" w:type="dxa"/>
              <w:end w:w="100" w:type="dxa"/>
            </w:tcMar>
          </w:tcPr>
          <w:p>
            <w:pPr>
              <w:spacing w:after="0" w:line="240" w:lineRule="auto"/>
            </w:pPr>
            <w:r>
              <w:rPr>
                <w:b w:val="0"/>
                <w:color w:val="222B32"/>
                <w:sz w:val="16"/>
              </w:rPr>
              <w:t>7.183277</w:t>
            </w:r>
          </w:p>
        </w:tc>
        <w:tc>
          <w:tcPr>
            <w:tcW w:type="dxa" w:w="2000"/>
            <w:vAlign w:val="center"/>
            <w:tcMar>
              <w:top w:w="65" w:type="dxa"/>
              <w:start w:w="100" w:type="dxa"/>
              <w:bottom w:w="65" w:type="dxa"/>
              <w:end w:w="100" w:type="dxa"/>
            </w:tcMar>
          </w:tcPr>
          <w:p>
            <w:pPr>
              <w:spacing w:after="0" w:line="240" w:lineRule="auto"/>
            </w:pPr>
            <w:r>
              <w:rPr>
                <w:b w:val="0"/>
                <w:color w:val="222B32"/>
                <w:sz w:val="16"/>
              </w:rPr>
              <w:t>0.8</w:t>
            </w:r>
          </w:p>
        </w:tc>
        <w:tc>
          <w:tcPr>
            <w:tcW w:type="dxa" w:w="2000"/>
            <w:vAlign w:val="center"/>
            <w:tcMar>
              <w:top w:w="65" w:type="dxa"/>
              <w:start w:w="100" w:type="dxa"/>
              <w:bottom w:w="65" w:type="dxa"/>
              <w:end w:w="100" w:type="dxa"/>
            </w:tcMar>
          </w:tcPr>
          <w:p>
            <w:pPr>
              <w:spacing w:after="0" w:line="240" w:lineRule="auto"/>
            </w:pPr>
            <w:r>
              <w:rPr>
                <w:b w:val="0"/>
                <w:color w:val="222B32"/>
                <w:sz w:val="16"/>
              </w:rPr>
              <w:t>7.320070</w:t>
            </w:r>
          </w:p>
        </w:tc>
      </w:tr>
      <w:tr>
        <w:trPr>
          <w:cantSplit/>
        </w:trPr>
        <w:tc>
          <w:tcPr>
            <w:tcW w:type="dxa" w:w="4000"/>
            <w:vAlign w:val="center"/>
            <w:tcMar>
              <w:top w:w="65" w:type="dxa"/>
              <w:start w:w="100" w:type="dxa"/>
              <w:bottom w:w="65" w:type="dxa"/>
              <w:end w:w="100" w:type="dxa"/>
            </w:tcMar>
            <w:shd w:fill="F4F8FA"/>
          </w:tcPr>
          <w:p>
            <w:pPr>
              <w:spacing w:after="0" w:line="240" w:lineRule="auto"/>
            </w:pPr>
            <w:r>
              <w:rPr>
                <w:b w:val="0"/>
                <w:color w:val="222B32"/>
                <w:sz w:val="16"/>
              </w:rPr>
              <w:t>0.3</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7.143315</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0.9</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7.437094</w:t>
            </w:r>
          </w:p>
        </w:tc>
      </w:tr>
      <w:tr>
        <w:trPr>
          <w:cantSplit/>
        </w:trPr>
        <w:tc>
          <w:tcPr>
            <w:tcW w:type="dxa" w:w="4000"/>
            <w:vAlign w:val="center"/>
            <w:tcMar>
              <w:top w:w="65" w:type="dxa"/>
              <w:start w:w="100" w:type="dxa"/>
              <w:bottom w:w="65" w:type="dxa"/>
              <w:end w:w="100" w:type="dxa"/>
            </w:tcMar>
          </w:tcPr>
          <w:p>
            <w:pPr>
              <w:spacing w:after="0" w:line="240" w:lineRule="auto"/>
            </w:pPr>
            <w:r>
              <w:rPr>
                <w:b w:val="0"/>
                <w:color w:val="222B32"/>
                <w:sz w:val="16"/>
              </w:rPr>
              <w:t>0.4</w:t>
            </w:r>
          </w:p>
        </w:tc>
        <w:tc>
          <w:tcPr>
            <w:tcW w:type="dxa" w:w="2000"/>
            <w:vAlign w:val="center"/>
            <w:tcMar>
              <w:top w:w="65" w:type="dxa"/>
              <w:start w:w="100" w:type="dxa"/>
              <w:bottom w:w="65" w:type="dxa"/>
              <w:end w:w="100" w:type="dxa"/>
            </w:tcMar>
          </w:tcPr>
          <w:p>
            <w:pPr>
              <w:spacing w:after="0" w:line="240" w:lineRule="auto"/>
            </w:pPr>
            <w:r>
              <w:rPr>
                <w:b/>
                <w:color w:val="222B32"/>
                <w:sz w:val="16"/>
              </w:rPr>
              <w:t>7.121661</w:t>
            </w:r>
          </w:p>
        </w:tc>
        <w:tc>
          <w:tcPr>
            <w:tcW w:type="dxa" w:w="2000"/>
            <w:vAlign w:val="center"/>
            <w:tcMar>
              <w:top w:w="65" w:type="dxa"/>
              <w:start w:w="100" w:type="dxa"/>
              <w:bottom w:w="65" w:type="dxa"/>
              <w:end w:w="100" w:type="dxa"/>
            </w:tcMar>
          </w:tcPr>
          <w:p>
            <w:pPr>
              <w:spacing w:after="0" w:line="240" w:lineRule="auto"/>
            </w:pPr>
            <w:r>
              <w:rPr>
                <w:b w:val="0"/>
                <w:color w:val="222B32"/>
                <w:sz w:val="16"/>
              </w:rPr>
              <w:t>1.0</w:t>
            </w:r>
          </w:p>
        </w:tc>
        <w:tc>
          <w:tcPr>
            <w:tcW w:type="dxa" w:w="2000"/>
            <w:vAlign w:val="center"/>
            <w:tcMar>
              <w:top w:w="65" w:type="dxa"/>
              <w:start w:w="100" w:type="dxa"/>
              <w:bottom w:w="65" w:type="dxa"/>
              <w:end w:w="100" w:type="dxa"/>
            </w:tcMar>
          </w:tcPr>
          <w:p>
            <w:pPr>
              <w:spacing w:after="0" w:line="240" w:lineRule="auto"/>
            </w:pPr>
            <w:r>
              <w:rPr>
                <w:b w:val="0"/>
                <w:color w:val="222B32"/>
                <w:sz w:val="16"/>
              </w:rPr>
              <w:t>7.584689</w:t>
            </w:r>
          </w:p>
        </w:tc>
      </w:tr>
      <w:tr>
        <w:trPr>
          <w:cantSplit/>
        </w:trPr>
        <w:tc>
          <w:tcPr>
            <w:tcW w:type="dxa" w:w="4000"/>
            <w:vAlign w:val="center"/>
            <w:tcMar>
              <w:top w:w="65" w:type="dxa"/>
              <w:start w:w="100" w:type="dxa"/>
              <w:bottom w:w="65" w:type="dxa"/>
              <w:end w:w="100" w:type="dxa"/>
            </w:tcMar>
            <w:shd w:fill="F4F8FA"/>
          </w:tcPr>
          <w:p>
            <w:pPr>
              <w:spacing w:after="0" w:line="240" w:lineRule="auto"/>
            </w:pPr>
            <w:r>
              <w:rPr>
                <w:b w:val="0"/>
                <w:color w:val="222B32"/>
                <w:sz w:val="16"/>
              </w:rPr>
              <w:t>0.5</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7.130155</w:t>
            </w:r>
          </w:p>
        </w:tc>
        <w:tc>
          <w:tcPr>
            <w:tcW w:type="dxa" w:w="2000"/>
            <w:vAlign w:val="center"/>
            <w:tcMar>
              <w:top w:w="65" w:type="dxa"/>
              <w:start w:w="100" w:type="dxa"/>
              <w:bottom w:w="65" w:type="dxa"/>
              <w:end w:w="100" w:type="dxa"/>
            </w:tcMar>
            <w:shd w:fill="F4F8FA"/>
          </w:tcPr>
          <w:p>
            <w:pPr>
              <w:spacing w:after="0" w:line="240" w:lineRule="auto"/>
            </w:pPr>
          </w:p>
        </w:tc>
        <w:tc>
          <w:tcPr>
            <w:tcW w:type="dxa" w:w="2000"/>
            <w:vAlign w:val="center"/>
            <w:tcMar>
              <w:top w:w="65" w:type="dxa"/>
              <w:start w:w="100" w:type="dxa"/>
              <w:bottom w:w="65" w:type="dxa"/>
              <w:end w:w="100" w:type="dxa"/>
            </w:tcMar>
            <w:shd w:fill="F4F8FA"/>
          </w:tcPr>
          <w:p>
            <w:pPr>
              <w:spacing w:after="0" w:line="240" w:lineRule="auto"/>
            </w:pPr>
          </w:p>
        </w:tc>
      </w:tr>
    </w:tbl>
    <w:p>
      <w:pPr>
        <w:spacing w:after="0"/>
      </w:pPr>
    </w:p>
    <w:p>
      <w:pPr>
        <w:pStyle w:val="Heading1"/>
        <w:pageBreakBefore w:val="0"/>
      </w:pPr>
      <w:r>
        <w:rPr>
          <w:b/>
        </w:rPr>
        <w:t>17. Exact rainfall-enhanced coefficients and selection</w:t>
      </w:r>
    </w:p>
    <w:p>
      <w:pPr>
        <w:pStyle w:val="Heading2"/>
        <w:pageBreakBefore w:val="0"/>
      </w:pPr>
      <w:r>
        <w:rPr>
          <w:b/>
        </w:rPr>
        <w:t>17.1 Pump rainfall candidates</w:t>
      </w:r>
    </w:p>
    <w:tbl>
      <w:tblPr>
        <w:tblStyle w:val="TableGrid"/>
        <w:tblW w:type="auto" w:w="0"/>
        <w:jc w:val="center"/>
        <w:tblLayout w:type="fixed"/>
        <w:tblLook w:firstColumn="1" w:firstRow="1" w:lastColumn="0" w:lastRow="0" w:noHBand="0" w:noVBand="1" w:val="04A0"/>
        <w:tblBorders>
          <w:top w:val="single" w:sz="4" w:color="D8E0E5"/>
          <w:left w:val="single" w:sz="4" w:color="D8E0E5"/>
          <w:bottom w:val="single" w:sz="4" w:color="D8E0E5"/>
          <w:right w:val="single" w:sz="4" w:color="D8E0E5"/>
          <w:insideH w:val="single" w:sz="4" w:color="D8E0E5"/>
          <w:insideV w:val="single" w:sz="4" w:color="D8E0E5"/>
        </w:tblBorders>
      </w:tblPr>
      <w:tblGrid>
        <w:gridCol w:w="5046"/>
        <w:gridCol w:w="5046"/>
      </w:tblGrid>
      <w:tr>
        <w:trPr>
          <w:cantSplit/>
          <w:tblHeader w:val="true"/>
        </w:trPr>
        <w:tc>
          <w:tcPr>
            <w:tcW w:type="dxa" w:w="3600"/>
            <w:vAlign w:val="center"/>
            <w:tcMar>
              <w:top w:w="65" w:type="dxa"/>
              <w:start w:w="100" w:type="dxa"/>
              <w:bottom w:w="65" w:type="dxa"/>
              <w:end w:w="100" w:type="dxa"/>
            </w:tcMar>
            <w:shd w:fill="17324D"/>
          </w:tcPr>
          <w:p>
            <w:pPr>
              <w:spacing w:after="0" w:line="240" w:lineRule="auto"/>
            </w:pPr>
            <w:r>
              <w:rPr>
                <w:b/>
                <w:color w:val="FFFFFF"/>
                <w:sz w:val="16"/>
              </w:rPr>
              <w:t>Candidate lag set</w:t>
            </w:r>
          </w:p>
        </w:tc>
        <w:tc>
          <w:tcPr>
            <w:tcW w:type="dxa" w:w="6400"/>
            <w:vAlign w:val="center"/>
            <w:tcMar>
              <w:top w:w="65" w:type="dxa"/>
              <w:start w:w="100" w:type="dxa"/>
              <w:bottom w:w="65" w:type="dxa"/>
              <w:end w:w="100" w:type="dxa"/>
            </w:tcMar>
            <w:shd w:fill="17324D"/>
          </w:tcPr>
          <w:p>
            <w:pPr>
              <w:spacing w:after="0" w:line="240" w:lineRule="auto"/>
            </w:pPr>
            <w:r>
              <w:rPr>
                <w:b/>
                <w:color w:val="FFFFFF"/>
                <w:sz w:val="16"/>
              </w:rPr>
              <w:t>Inner-validation MAE, m</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Prior 1 and 3 days</w:t>
            </w:r>
          </w:p>
        </w:tc>
        <w:tc>
          <w:tcPr>
            <w:tcW w:type="dxa" w:w="6400"/>
            <w:vAlign w:val="center"/>
            <w:tcMar>
              <w:top w:w="65" w:type="dxa"/>
              <w:start w:w="100" w:type="dxa"/>
              <w:bottom w:w="65" w:type="dxa"/>
              <w:end w:w="100" w:type="dxa"/>
            </w:tcMar>
          </w:tcPr>
          <w:p>
            <w:pPr>
              <w:spacing w:after="0" w:line="240" w:lineRule="auto"/>
            </w:pPr>
            <w:r>
              <w:rPr>
                <w:b/>
                <w:color w:val="222B32"/>
                <w:sz w:val="16"/>
              </w:rPr>
              <w:t>8.5830285353</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Prior 3 days</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8.5845264222</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Prior 1, 3, and 7 days</w:t>
            </w:r>
          </w:p>
        </w:tc>
        <w:tc>
          <w:tcPr>
            <w:tcW w:type="dxa" w:w="6400"/>
            <w:vAlign w:val="center"/>
            <w:tcMar>
              <w:top w:w="65" w:type="dxa"/>
              <w:start w:w="100" w:type="dxa"/>
              <w:bottom w:w="65" w:type="dxa"/>
              <w:end w:w="100" w:type="dxa"/>
            </w:tcMar>
          </w:tcPr>
          <w:p>
            <w:pPr>
              <w:spacing w:after="0" w:line="240" w:lineRule="auto"/>
            </w:pPr>
            <w:r>
              <w:rPr>
                <w:b w:val="0"/>
                <w:color w:val="222B32"/>
                <w:sz w:val="16"/>
              </w:rPr>
              <w:t>8.5919867953</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Prior 14 days</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8.5922617422</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Prior 3 and 7 days</w:t>
            </w:r>
          </w:p>
        </w:tc>
        <w:tc>
          <w:tcPr>
            <w:tcW w:type="dxa" w:w="6400"/>
            <w:vAlign w:val="center"/>
            <w:tcMar>
              <w:top w:w="65" w:type="dxa"/>
              <w:start w:w="100" w:type="dxa"/>
              <w:bottom w:w="65" w:type="dxa"/>
              <w:end w:w="100" w:type="dxa"/>
            </w:tcMar>
          </w:tcPr>
          <w:p>
            <w:pPr>
              <w:spacing w:after="0" w:line="240" w:lineRule="auto"/>
            </w:pPr>
            <w:r>
              <w:rPr>
                <w:b w:val="0"/>
                <w:color w:val="222B32"/>
                <w:sz w:val="16"/>
              </w:rPr>
              <w:t>8.5927103016</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Prior 7 days</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8.5936100799</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Prior 1 day</w:t>
            </w:r>
          </w:p>
        </w:tc>
        <w:tc>
          <w:tcPr>
            <w:tcW w:type="dxa" w:w="6400"/>
            <w:vAlign w:val="center"/>
            <w:tcMar>
              <w:top w:w="65" w:type="dxa"/>
              <w:start w:w="100" w:type="dxa"/>
              <w:bottom w:w="65" w:type="dxa"/>
              <w:end w:w="100" w:type="dxa"/>
            </w:tcMar>
          </w:tcPr>
          <w:p>
            <w:pPr>
              <w:spacing w:after="0" w:line="240" w:lineRule="auto"/>
            </w:pPr>
            <w:r>
              <w:rPr>
                <w:b w:val="0"/>
                <w:color w:val="222B32"/>
                <w:sz w:val="16"/>
              </w:rPr>
              <w:t>8.5937745989</w:t>
            </w:r>
          </w:p>
        </w:tc>
      </w:tr>
    </w:tbl>
    <w:p>
      <w:pPr>
        <w:spacing w:after="0"/>
      </w:pPr>
    </w:p>
    <w:p>
      <w:r>
        <w:rPr>
          <w:b w:val="0"/>
        </w:rPr>
        <w:t>The selected rainfall pump model used empirical weight 0.3. Its baseline-feature means and scales are the pump values in Section 16.1. Additional rainfall parameters are:</w:t>
      </w:r>
    </w:p>
    <w:tbl>
      <w:tblPr>
        <w:tblStyle w:val="TableGrid"/>
        <w:tblW w:type="auto" w:w="0"/>
        <w:jc w:val="center"/>
        <w:tblLayout w:type="fixed"/>
        <w:tblLook w:firstColumn="1" w:firstRow="1" w:lastColumn="0" w:lastRow="0" w:noHBand="0" w:noVBand="1" w:val="04A0"/>
        <w:tblBorders>
          <w:top w:val="single" w:sz="4" w:color="D8E0E5"/>
          <w:left w:val="single" w:sz="4" w:color="D8E0E5"/>
          <w:bottom w:val="single" w:sz="4" w:color="D8E0E5"/>
          <w:right w:val="single" w:sz="4" w:color="D8E0E5"/>
          <w:insideH w:val="single" w:sz="4" w:color="D8E0E5"/>
          <w:insideV w:val="single" w:sz="4" w:color="D8E0E5"/>
        </w:tblBorders>
      </w:tblPr>
      <w:tblGrid>
        <w:gridCol w:w="2523"/>
        <w:gridCol w:w="2523"/>
        <w:gridCol w:w="2523"/>
        <w:gridCol w:w="2523"/>
      </w:tblGrid>
      <w:tr>
        <w:trPr>
          <w:cantSplit/>
          <w:tblHeader w:val="true"/>
        </w:trPr>
        <w:tc>
          <w:tcPr>
            <w:tcW w:type="dxa" w:w="4000"/>
            <w:vAlign w:val="center"/>
            <w:tcMar>
              <w:top w:w="65" w:type="dxa"/>
              <w:start w:w="100" w:type="dxa"/>
              <w:bottom w:w="65" w:type="dxa"/>
              <w:end w:w="100" w:type="dxa"/>
            </w:tcMar>
            <w:shd w:fill="17324D"/>
          </w:tcPr>
          <w:p>
            <w:pPr>
              <w:spacing w:after="0" w:line="240" w:lineRule="auto"/>
            </w:pPr>
            <w:r>
              <w:rPr>
                <w:b/>
                <w:color w:val="FFFFFF"/>
                <w:sz w:val="16"/>
              </w:rPr>
              <w:t>Feature</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Mean</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Scale</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Coefficient</w:t>
            </w:r>
          </w:p>
        </w:tc>
      </w:tr>
      <w:tr>
        <w:trPr>
          <w:cantSplit/>
        </w:trPr>
        <w:tc>
          <w:tcPr>
            <w:tcW w:type="dxa" w:w="4000"/>
            <w:vAlign w:val="center"/>
            <w:tcMar>
              <w:top w:w="65" w:type="dxa"/>
              <w:start w:w="100" w:type="dxa"/>
              <w:bottom w:w="65" w:type="dxa"/>
              <w:end w:w="100" w:type="dxa"/>
            </w:tcMar>
          </w:tcPr>
          <w:p>
            <w:pPr>
              <w:spacing w:after="0" w:line="240" w:lineRule="auto"/>
            </w:pPr>
            <w:r>
              <w:rPr>
                <w:b w:val="0"/>
                <w:color w:val="222B32"/>
                <w:sz w:val="16"/>
              </w:rPr>
              <w:t>Prior 1-day rain, mm</w:t>
            </w:r>
          </w:p>
        </w:tc>
        <w:tc>
          <w:tcPr>
            <w:tcW w:type="dxa" w:w="2000"/>
            <w:vAlign w:val="center"/>
            <w:tcMar>
              <w:top w:w="65" w:type="dxa"/>
              <w:start w:w="100" w:type="dxa"/>
              <w:bottom w:w="65" w:type="dxa"/>
              <w:end w:w="100" w:type="dxa"/>
            </w:tcMar>
          </w:tcPr>
          <w:p>
            <w:pPr>
              <w:spacing w:after="0" w:line="240" w:lineRule="auto"/>
            </w:pPr>
            <w:r>
              <w:rPr>
                <w:b w:val="0"/>
                <w:color w:val="222B32"/>
                <w:sz w:val="16"/>
              </w:rPr>
              <w:t>1.1258798424</w:t>
            </w:r>
          </w:p>
        </w:tc>
        <w:tc>
          <w:tcPr>
            <w:tcW w:type="dxa" w:w="2000"/>
            <w:vAlign w:val="center"/>
            <w:tcMar>
              <w:top w:w="65" w:type="dxa"/>
              <w:start w:w="100" w:type="dxa"/>
              <w:bottom w:w="65" w:type="dxa"/>
              <w:end w:w="100" w:type="dxa"/>
            </w:tcMar>
          </w:tcPr>
          <w:p>
            <w:pPr>
              <w:spacing w:after="0" w:line="240" w:lineRule="auto"/>
            </w:pPr>
            <w:r>
              <w:rPr>
                <w:b w:val="0"/>
                <w:color w:val="222B32"/>
                <w:sz w:val="16"/>
              </w:rPr>
              <w:t>1.4991534591</w:t>
            </w:r>
          </w:p>
        </w:tc>
        <w:tc>
          <w:tcPr>
            <w:tcW w:type="dxa" w:w="2000"/>
            <w:vAlign w:val="center"/>
            <w:tcMar>
              <w:top w:w="65" w:type="dxa"/>
              <w:start w:w="100" w:type="dxa"/>
              <w:bottom w:w="65" w:type="dxa"/>
              <w:end w:w="100" w:type="dxa"/>
            </w:tcMar>
          </w:tcPr>
          <w:p>
            <w:pPr>
              <w:spacing w:after="0" w:line="240" w:lineRule="auto"/>
            </w:pPr>
            <w:r>
              <w:rPr>
                <w:b w:val="0"/>
                <w:color w:val="222B32"/>
                <w:sz w:val="16"/>
              </w:rPr>
              <w:t>0.1925103355</w:t>
            </w:r>
          </w:p>
        </w:tc>
      </w:tr>
      <w:tr>
        <w:trPr>
          <w:cantSplit/>
        </w:trPr>
        <w:tc>
          <w:tcPr>
            <w:tcW w:type="dxa" w:w="4000"/>
            <w:vAlign w:val="center"/>
            <w:tcMar>
              <w:top w:w="65" w:type="dxa"/>
              <w:start w:w="100" w:type="dxa"/>
              <w:bottom w:w="65" w:type="dxa"/>
              <w:end w:w="100" w:type="dxa"/>
            </w:tcMar>
            <w:shd w:fill="F4F8FA"/>
          </w:tcPr>
          <w:p>
            <w:pPr>
              <w:spacing w:after="0" w:line="240" w:lineRule="auto"/>
            </w:pPr>
            <w:r>
              <w:rPr>
                <w:b w:val="0"/>
                <w:color w:val="222B32"/>
                <w:sz w:val="16"/>
              </w:rPr>
              <w:t>Prior 3-day rain, mm</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3.3050492449</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2.8170300356</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-0.4985436581</w:t>
            </w:r>
          </w:p>
        </w:tc>
      </w:tr>
    </w:tbl>
    <w:p>
      <w:pPr>
        <w:spacing w:after="0"/>
      </w:pPr>
    </w:p>
    <w:p>
      <w:r>
        <w:rPr>
          <w:b w:val="0"/>
        </w:rPr>
        <w:t>Intercept and all coefficients, in exact feature order, are:</w:t>
      </w:r>
    </w:p>
    <w:p>
      <w:r>
        <w:rPr>
          <w:rFonts w:ascii="Aptos Mono" w:hAnsi="Aptos Mono"/>
          <w:color w:val="174554"/>
          <w:sz w:val="18"/>
        </w:rPr>
        <w:t>[2.2419044734, -1.0954106281, -7.2354775164, 7.5164593365, -0.2966279746, -1.7920987221, 0.3973143568, 1.7621863254, 0.7887452206, -0.0324683989, 0.1925103355, -0.4985436581]</w:t>
      </w:r>
    </w:p>
    <w:p>
      <w:r>
        <w:rPr>
          <w:b w:val="0"/>
        </w:rPr>
        <w:t>There are 516 well effects, ranging from -26.36899 to 21.87837 m. The global target median remains 1.56 m.</w:t>
      </w:r>
    </w:p>
    <w:p>
      <w:pPr>
        <w:pStyle w:val="Heading2"/>
        <w:pageBreakBefore w:val="0"/>
      </w:pPr>
      <w:r>
        <w:rPr>
          <w:b/>
        </w:rPr>
        <w:t>17.2 Recovery rainfall candidates</w:t>
      </w:r>
    </w:p>
    <w:tbl>
      <w:tblPr>
        <w:tblStyle w:val="TableGrid"/>
        <w:tblW w:type="auto" w:w="0"/>
        <w:jc w:val="center"/>
        <w:tblLayout w:type="fixed"/>
        <w:tblLook w:firstColumn="1" w:firstRow="1" w:lastColumn="0" w:lastRow="0" w:noHBand="0" w:noVBand="1" w:val="04A0"/>
        <w:tblBorders>
          <w:top w:val="single" w:sz="4" w:color="D8E0E5"/>
          <w:left w:val="single" w:sz="4" w:color="D8E0E5"/>
          <w:bottom w:val="single" w:sz="4" w:color="D8E0E5"/>
          <w:right w:val="single" w:sz="4" w:color="D8E0E5"/>
          <w:insideH w:val="single" w:sz="4" w:color="D8E0E5"/>
          <w:insideV w:val="single" w:sz="4" w:color="D8E0E5"/>
        </w:tblBorders>
      </w:tblPr>
      <w:tblGrid>
        <w:gridCol w:w="5046"/>
        <w:gridCol w:w="5046"/>
      </w:tblGrid>
      <w:tr>
        <w:trPr>
          <w:cantSplit/>
          <w:tblHeader w:val="true"/>
        </w:trPr>
        <w:tc>
          <w:tcPr>
            <w:tcW w:type="dxa" w:w="3600"/>
            <w:vAlign w:val="center"/>
            <w:tcMar>
              <w:top w:w="65" w:type="dxa"/>
              <w:start w:w="100" w:type="dxa"/>
              <w:bottom w:w="65" w:type="dxa"/>
              <w:end w:w="100" w:type="dxa"/>
            </w:tcMar>
            <w:shd w:fill="17324D"/>
          </w:tcPr>
          <w:p>
            <w:pPr>
              <w:spacing w:after="0" w:line="240" w:lineRule="auto"/>
            </w:pPr>
            <w:r>
              <w:rPr>
                <w:b/>
                <w:color w:val="FFFFFF"/>
                <w:sz w:val="16"/>
              </w:rPr>
              <w:t>Candidate lag set</w:t>
            </w:r>
          </w:p>
        </w:tc>
        <w:tc>
          <w:tcPr>
            <w:tcW w:type="dxa" w:w="6400"/>
            <w:vAlign w:val="center"/>
            <w:tcMar>
              <w:top w:w="65" w:type="dxa"/>
              <w:start w:w="100" w:type="dxa"/>
              <w:bottom w:w="65" w:type="dxa"/>
              <w:end w:w="100" w:type="dxa"/>
            </w:tcMar>
            <w:shd w:fill="17324D"/>
          </w:tcPr>
          <w:p>
            <w:pPr>
              <w:spacing w:after="0" w:line="240" w:lineRule="auto"/>
            </w:pPr>
            <w:r>
              <w:rPr>
                <w:b/>
                <w:color w:val="FFFFFF"/>
                <w:sz w:val="16"/>
              </w:rPr>
              <w:t>Inner-validation MAE, m</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Prior 1 day</w:t>
            </w:r>
          </w:p>
        </w:tc>
        <w:tc>
          <w:tcPr>
            <w:tcW w:type="dxa" w:w="6400"/>
            <w:vAlign w:val="center"/>
            <w:tcMar>
              <w:top w:w="65" w:type="dxa"/>
              <w:start w:w="100" w:type="dxa"/>
              <w:bottom w:w="65" w:type="dxa"/>
              <w:end w:w="100" w:type="dxa"/>
            </w:tcMar>
          </w:tcPr>
          <w:p>
            <w:pPr>
              <w:spacing w:after="0" w:line="240" w:lineRule="auto"/>
            </w:pPr>
            <w:r>
              <w:rPr>
                <w:b/>
                <w:color w:val="222B32"/>
                <w:sz w:val="16"/>
              </w:rPr>
              <w:t>7.1215379085</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Prior 3 days</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7.1229536888</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Prior 1 and 3 days</w:t>
            </w:r>
          </w:p>
        </w:tc>
        <w:tc>
          <w:tcPr>
            <w:tcW w:type="dxa" w:w="6400"/>
            <w:vAlign w:val="center"/>
            <w:tcMar>
              <w:top w:w="65" w:type="dxa"/>
              <w:start w:w="100" w:type="dxa"/>
              <w:bottom w:w="65" w:type="dxa"/>
              <w:end w:w="100" w:type="dxa"/>
            </w:tcMar>
          </w:tcPr>
          <w:p>
            <w:pPr>
              <w:spacing w:after="0" w:line="240" w:lineRule="auto"/>
            </w:pPr>
            <w:r>
              <w:rPr>
                <w:b w:val="0"/>
                <w:color w:val="222B32"/>
                <w:sz w:val="16"/>
              </w:rPr>
              <w:t>7.1250778374</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Prior 14 days</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7.1392436293</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Prior 7 days</w:t>
            </w:r>
          </w:p>
        </w:tc>
        <w:tc>
          <w:tcPr>
            <w:tcW w:type="dxa" w:w="6400"/>
            <w:vAlign w:val="center"/>
            <w:tcMar>
              <w:top w:w="65" w:type="dxa"/>
              <w:start w:w="100" w:type="dxa"/>
              <w:bottom w:w="65" w:type="dxa"/>
              <w:end w:w="100" w:type="dxa"/>
            </w:tcMar>
          </w:tcPr>
          <w:p>
            <w:pPr>
              <w:spacing w:after="0" w:line="240" w:lineRule="auto"/>
            </w:pPr>
            <w:r>
              <w:rPr>
                <w:b w:val="0"/>
                <w:color w:val="222B32"/>
                <w:sz w:val="16"/>
              </w:rPr>
              <w:t>7.1409785695</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Prior 1, 3, and 7 days</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7.1459274560</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Prior 3 and 7 days</w:t>
            </w:r>
          </w:p>
        </w:tc>
        <w:tc>
          <w:tcPr>
            <w:tcW w:type="dxa" w:w="6400"/>
            <w:vAlign w:val="center"/>
            <w:tcMar>
              <w:top w:w="65" w:type="dxa"/>
              <w:start w:w="100" w:type="dxa"/>
              <w:bottom w:w="65" w:type="dxa"/>
              <w:end w:w="100" w:type="dxa"/>
            </w:tcMar>
          </w:tcPr>
          <w:p>
            <w:pPr>
              <w:spacing w:after="0" w:line="240" w:lineRule="auto"/>
            </w:pPr>
            <w:r>
              <w:rPr>
                <w:b w:val="0"/>
                <w:color w:val="222B32"/>
                <w:sz w:val="16"/>
              </w:rPr>
              <w:t>7.1463981986</w:t>
            </w:r>
          </w:p>
        </w:tc>
      </w:tr>
    </w:tbl>
    <w:p>
      <w:pPr>
        <w:spacing w:after="0"/>
      </w:pPr>
    </w:p>
    <w:p>
      <w:r>
        <w:rPr>
          <w:b w:val="0"/>
        </w:rPr>
        <w:t>The selected recovery rainfall model used empirical weight 0.4. The additional feature has:</w:t>
      </w:r>
    </w:p>
    <w:tbl>
      <w:tblPr>
        <w:tblStyle w:val="TableGrid"/>
        <w:tblW w:type="auto" w:w="0"/>
        <w:jc w:val="center"/>
        <w:tblLayout w:type="fixed"/>
        <w:tblLook w:firstColumn="1" w:firstRow="1" w:lastColumn="0" w:lastRow="0" w:noHBand="0" w:noVBand="1" w:val="04A0"/>
        <w:tblBorders>
          <w:top w:val="single" w:sz="4" w:color="D8E0E5"/>
          <w:left w:val="single" w:sz="4" w:color="D8E0E5"/>
          <w:bottom w:val="single" w:sz="4" w:color="D8E0E5"/>
          <w:right w:val="single" w:sz="4" w:color="D8E0E5"/>
          <w:insideH w:val="single" w:sz="4" w:color="D8E0E5"/>
          <w:insideV w:val="single" w:sz="4" w:color="D8E0E5"/>
        </w:tblBorders>
      </w:tblPr>
      <w:tblGrid>
        <w:gridCol w:w="2523"/>
        <w:gridCol w:w="2523"/>
        <w:gridCol w:w="2523"/>
        <w:gridCol w:w="2523"/>
      </w:tblGrid>
      <w:tr>
        <w:trPr>
          <w:cantSplit/>
          <w:tblHeader w:val="true"/>
        </w:trPr>
        <w:tc>
          <w:tcPr>
            <w:tcW w:type="dxa" w:w="4000"/>
            <w:vAlign w:val="center"/>
            <w:tcMar>
              <w:top w:w="65" w:type="dxa"/>
              <w:start w:w="100" w:type="dxa"/>
              <w:bottom w:w="65" w:type="dxa"/>
              <w:end w:w="100" w:type="dxa"/>
            </w:tcMar>
            <w:shd w:fill="17324D"/>
          </w:tcPr>
          <w:p>
            <w:pPr>
              <w:spacing w:after="0" w:line="240" w:lineRule="auto"/>
            </w:pPr>
            <w:r>
              <w:rPr>
                <w:b/>
                <w:color w:val="FFFFFF"/>
                <w:sz w:val="16"/>
              </w:rPr>
              <w:t>Feature</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Mean</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Scale</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Coefficient</w:t>
            </w:r>
          </w:p>
        </w:tc>
      </w:tr>
      <w:tr>
        <w:trPr>
          <w:cantSplit/>
        </w:trPr>
        <w:tc>
          <w:tcPr>
            <w:tcW w:type="dxa" w:w="4000"/>
            <w:vAlign w:val="center"/>
            <w:tcMar>
              <w:top w:w="65" w:type="dxa"/>
              <w:start w:w="100" w:type="dxa"/>
              <w:bottom w:w="65" w:type="dxa"/>
              <w:end w:w="100" w:type="dxa"/>
            </w:tcMar>
          </w:tcPr>
          <w:p>
            <w:pPr>
              <w:spacing w:after="0" w:line="240" w:lineRule="auto"/>
            </w:pPr>
            <w:r>
              <w:rPr>
                <w:b w:val="0"/>
                <w:color w:val="222B32"/>
                <w:sz w:val="16"/>
              </w:rPr>
              <w:t>Prior 1-day rain, mm</w:t>
            </w:r>
          </w:p>
        </w:tc>
        <w:tc>
          <w:tcPr>
            <w:tcW w:type="dxa" w:w="2000"/>
            <w:vAlign w:val="center"/>
            <w:tcMar>
              <w:top w:w="65" w:type="dxa"/>
              <w:start w:w="100" w:type="dxa"/>
              <w:bottom w:w="65" w:type="dxa"/>
              <w:end w:w="100" w:type="dxa"/>
            </w:tcMar>
          </w:tcPr>
          <w:p>
            <w:pPr>
              <w:spacing w:after="0" w:line="240" w:lineRule="auto"/>
            </w:pPr>
            <w:r>
              <w:rPr>
                <w:b w:val="0"/>
                <w:color w:val="222B32"/>
                <w:sz w:val="16"/>
              </w:rPr>
              <w:t>1.1867329020</w:t>
            </w:r>
          </w:p>
        </w:tc>
        <w:tc>
          <w:tcPr>
            <w:tcW w:type="dxa" w:w="2000"/>
            <w:vAlign w:val="center"/>
            <w:tcMar>
              <w:top w:w="65" w:type="dxa"/>
              <w:start w:w="100" w:type="dxa"/>
              <w:bottom w:w="65" w:type="dxa"/>
              <w:end w:w="100" w:type="dxa"/>
            </w:tcMar>
          </w:tcPr>
          <w:p>
            <w:pPr>
              <w:spacing w:after="0" w:line="240" w:lineRule="auto"/>
            </w:pPr>
            <w:r>
              <w:rPr>
                <w:b w:val="0"/>
                <w:color w:val="222B32"/>
                <w:sz w:val="16"/>
              </w:rPr>
              <w:t>1.5189349412</w:t>
            </w:r>
          </w:p>
        </w:tc>
        <w:tc>
          <w:tcPr>
            <w:tcW w:type="dxa" w:w="2000"/>
            <w:vAlign w:val="center"/>
            <w:tcMar>
              <w:top w:w="65" w:type="dxa"/>
              <w:start w:w="100" w:type="dxa"/>
              <w:bottom w:w="65" w:type="dxa"/>
              <w:end w:w="100" w:type="dxa"/>
            </w:tcMar>
          </w:tcPr>
          <w:p>
            <w:pPr>
              <w:spacing w:after="0" w:line="240" w:lineRule="auto"/>
            </w:pPr>
            <w:r>
              <w:rPr>
                <w:b w:val="0"/>
                <w:color w:val="222B32"/>
                <w:sz w:val="16"/>
              </w:rPr>
              <w:t>0.0444758095</w:t>
            </w:r>
          </w:p>
        </w:tc>
      </w:tr>
    </w:tbl>
    <w:p>
      <w:pPr>
        <w:spacing w:after="0"/>
      </w:pPr>
    </w:p>
    <w:p>
      <w:r>
        <w:rPr>
          <w:b w:val="0"/>
        </w:rPr>
        <w:t>Intercept and all coefficients, in exact feature order, are:</w:t>
      </w:r>
    </w:p>
    <w:p>
      <w:r>
        <w:rPr>
          <w:rFonts w:ascii="Aptos Mono" w:hAnsi="Aptos Mono"/>
          <w:color w:val="174554"/>
          <w:sz w:val="18"/>
        </w:rPr>
        <w:t>[-2.3226699356, -2.0511218183, 0.2006556130, -7.1361779601, 1.5558864250, -1.6158081967, 0.9473195232, 0.8911230298, -0.5865354554, 0.0272868896, -0.5756416574, 0.0444758095]</w:t>
      </w:r>
    </w:p>
    <w:p>
      <w:r>
        <w:rPr>
          <w:b w:val="0"/>
        </w:rPr>
        <w:t>There are 443 well effects, ranging from -11.15573 to 21.67513 m. The global target median remains -1.65 m.</w:t>
      </w:r>
    </w:p>
    <w:p>
      <w:pPr>
        <w:pStyle w:val="Heading1"/>
        <w:pageBreakBefore/>
      </w:pPr>
      <w:r>
        <w:rPr>
          <w:b/>
        </w:rPr>
        <w:t>18. Data urgently required for a better model</w:t>
      </w:r>
    </w:p>
    <w:p>
      <w:pPr>
        <w:pStyle w:val="Heading2"/>
        <w:pageBreakBefore w:val="0"/>
      </w:pPr>
      <w:r>
        <w:rPr>
          <w:b/>
        </w:rPr>
        <w:t>18.1 Highest-priority requests</w:t>
      </w:r>
    </w:p>
    <w:p>
      <w:pPr>
        <w:spacing w:after="50"/>
        <w:ind w:left="408" w:hanging="238"/>
      </w:pPr>
      <w:r>
        <w:rPr>
          <w:b/>
          <w:color w:val="1F6F8B"/>
        </w:rPr>
        <w:t xml:space="preserve">1.  </w:t>
      </w:r>
      <w:r>
        <w:rPr>
          <w:b w:val="0"/>
        </w:rPr>
        <w:t>A data dictionary defining every field, unit, sign, timestamp convention, status code, and missing-value rule.</w:t>
      </w:r>
    </w:p>
    <w:p>
      <w:pPr>
        <w:spacing w:after="50"/>
        <w:ind w:left="408" w:hanging="238"/>
      </w:pPr>
      <w:r>
        <w:rPr>
          <w:b/>
          <w:color w:val="1F6F8B"/>
        </w:rPr>
        <w:t xml:space="preserve">2.  </w:t>
      </w:r>
      <w:r>
        <w:rPr>
          <w:b w:val="0"/>
        </w:rPr>
        <w:t>Confirmation whether water levels are static, dynamic, or sampled at specific pump-control events.</w:t>
      </w:r>
    </w:p>
    <w:p>
      <w:pPr>
        <w:spacing w:after="50"/>
        <w:ind w:left="408" w:hanging="238"/>
      </w:pPr>
      <w:r>
        <w:rPr>
          <w:b/>
          <w:color w:val="1F6F8B"/>
        </w:rPr>
        <w:t xml:space="preserve">3.  </w:t>
      </w:r>
      <w:r>
        <w:rPr>
          <w:b w:val="0"/>
        </w:rPr>
        <w:t>Confirmation whether anonymization changed numeric values or only identities and locations.</w:t>
      </w:r>
    </w:p>
    <w:p>
      <w:pPr>
        <w:spacing w:after="50"/>
        <w:ind w:left="408" w:hanging="238"/>
      </w:pPr>
      <w:r>
        <w:rPr>
          <w:b/>
          <w:color w:val="1F6F8B"/>
        </w:rPr>
        <w:t xml:space="preserve">4.  </w:t>
      </w:r>
      <w:r>
        <w:rPr>
          <w:b w:val="0"/>
        </w:rPr>
        <w:t>At least one year of continuous history; two to three years is preferred for monsoon seasonality, annual demand, and validation across years.</w:t>
      </w:r>
    </w:p>
    <w:p>
      <w:pPr>
        <w:spacing w:after="50"/>
        <w:ind w:left="408" w:hanging="238"/>
      </w:pPr>
      <w:r>
        <w:rPr>
          <w:b/>
          <w:color w:val="1F6F8B"/>
        </w:rPr>
        <w:t xml:space="preserve">5.  </w:t>
      </w:r>
      <w:r>
        <w:rPr>
          <w:b w:val="0"/>
        </w:rPr>
        <w:t>Latitude and longitude, or a privacy-preserving spatial grid, for local rainfall, elevation, land use, geology, and nearby-well features.</w:t>
      </w:r>
    </w:p>
    <w:p>
      <w:pPr>
        <w:spacing w:after="50"/>
        <w:ind w:left="408" w:hanging="238"/>
      </w:pPr>
      <w:r>
        <w:rPr>
          <w:b/>
          <w:color w:val="1F6F8B"/>
        </w:rPr>
        <w:t xml:space="preserve">6.  </w:t>
      </w:r>
      <w:r>
        <w:rPr>
          <w:b w:val="0"/>
        </w:rPr>
        <w:t>Sensor model, calibration history, accuracy, resolution, installation depth, and known resets or replacements.</w:t>
      </w:r>
    </w:p>
    <w:p>
      <w:pPr>
        <w:spacing w:after="50"/>
        <w:ind w:left="408" w:hanging="238"/>
      </w:pPr>
      <w:r>
        <w:rPr>
          <w:b/>
          <w:color w:val="1F6F8B"/>
        </w:rPr>
        <w:t xml:space="preserve">7.  </w:t>
      </w:r>
      <w:r>
        <w:rPr>
          <w:b w:val="0"/>
        </w:rPr>
        <w:t>Construction depth, casing depth, open-hole or screen intervals, bore diameter, and pump intake depth.</w:t>
      </w:r>
    </w:p>
    <w:p>
      <w:pPr>
        <w:spacing w:after="50"/>
        <w:ind w:left="408" w:hanging="238"/>
      </w:pPr>
      <w:r>
        <w:rPr>
          <w:b/>
          <w:color w:val="1F6F8B"/>
        </w:rPr>
        <w:t xml:space="preserve">8.  </w:t>
      </w:r>
      <w:r>
        <w:rPr>
          <w:b w:val="0"/>
        </w:rPr>
        <w:t>A repeatable static-level or recovery protocol after a known non-pumping interval.</w:t>
      </w:r>
    </w:p>
    <w:p>
      <w:pPr>
        <w:spacing w:after="50"/>
        <w:ind w:left="408" w:hanging="238"/>
      </w:pPr>
      <w:r>
        <w:rPr>
          <w:b/>
          <w:color w:val="1F6F8B"/>
        </w:rPr>
        <w:t xml:space="preserve">9.  </w:t>
      </w:r>
      <w:r>
        <w:rPr>
          <w:b w:val="0"/>
        </w:rPr>
        <w:t>Pump command/status, current, power, discharge, and cumulative abstraction with clear ON/OFF semantics.</w:t>
      </w:r>
    </w:p>
    <w:p>
      <w:pPr>
        <w:spacing w:after="50"/>
        <w:ind w:left="408" w:hanging="238"/>
      </w:pPr>
      <w:r>
        <w:rPr>
          <w:b/>
          <w:color w:val="1F6F8B"/>
        </w:rPr>
        <w:t xml:space="preserve">10.  </w:t>
      </w:r>
      <w:r>
        <w:rPr>
          <w:b w:val="0"/>
        </w:rPr>
        <w:t>Maintenance, pump replacement, deepening, hydrofracturing, cleaning, and recharge-structure events.</w:t>
      </w:r>
    </w:p>
    <w:p>
      <w:pPr>
        <w:pStyle w:val="Heading2"/>
        <w:pageBreakBefore w:val="0"/>
      </w:pPr>
      <w:r>
        <w:rPr>
          <w:b/>
        </w:rPr>
        <w:t>18.2 Environmental and network context</w:t>
      </w:r>
    </w:p>
    <w:p>
      <w:pPr>
        <w:pStyle w:val="ListBullet"/>
      </w:pPr>
      <w:r>
        <w:rPr>
          <w:b w:val="0"/>
        </w:rPr>
        <w:t>local hourly or subdaily rainfall;</w:t>
      </w:r>
    </w:p>
    <w:p>
      <w:pPr>
        <w:pStyle w:val="ListBullet"/>
      </w:pPr>
      <w:r>
        <w:rPr>
          <w:b w:val="0"/>
        </w:rPr>
        <w:t>soil and surface permeability;</w:t>
      </w:r>
    </w:p>
    <w:p>
      <w:pPr>
        <w:pStyle w:val="ListBullet"/>
      </w:pPr>
      <w:r>
        <w:rPr>
          <w:b w:val="0"/>
        </w:rPr>
        <w:t>imperviousness and land-use change;</w:t>
      </w:r>
    </w:p>
    <w:p>
      <w:pPr>
        <w:pStyle w:val="ListBullet"/>
      </w:pPr>
      <w:r>
        <w:rPr>
          <w:b w:val="0"/>
        </w:rPr>
        <w:t>elevation and drainage position;</w:t>
      </w:r>
    </w:p>
    <w:p>
      <w:pPr>
        <w:pStyle w:val="ListBullet"/>
      </w:pPr>
      <w:r>
        <w:rPr>
          <w:b w:val="0"/>
        </w:rPr>
        <w:t>weathered-zone thickness;</w:t>
      </w:r>
    </w:p>
    <w:p>
      <w:pPr>
        <w:pStyle w:val="ListBullet"/>
      </w:pPr>
      <w:r>
        <w:rPr>
          <w:b w:val="0"/>
        </w:rPr>
        <w:t>geology, lineaments, fracture density, and aquifer interpretation;</w:t>
      </w:r>
    </w:p>
    <w:p>
      <w:pPr>
        <w:pStyle w:val="ListBullet"/>
      </w:pPr>
      <w:r>
        <w:rPr>
          <w:b w:val="0"/>
        </w:rPr>
        <w:t>nearby borewell coordinates, depths, pumping schedules, and abstraction;</w:t>
      </w:r>
    </w:p>
    <w:p>
      <w:pPr>
        <w:pStyle w:val="ListBullet"/>
      </w:pPr>
      <w:r>
        <w:rPr>
          <w:b w:val="0"/>
        </w:rPr>
        <w:t>artificial recharge structures and operating history;</w:t>
      </w:r>
    </w:p>
    <w:p>
      <w:pPr>
        <w:pStyle w:val="ListBullet"/>
      </w:pPr>
      <w:r>
        <w:rPr>
          <w:b w:val="0"/>
        </w:rPr>
        <w:t>municipal or Cauvery/BWSSB supply interruptions and availability;</w:t>
      </w:r>
    </w:p>
    <w:p>
      <w:pPr>
        <w:pStyle w:val="ListBullet"/>
      </w:pPr>
      <w:r>
        <w:rPr>
          <w:b w:val="0"/>
        </w:rPr>
        <w:t>local demand proxies such as occupancy, storage, tanker use, or seasonal consumption.</w:t>
      </w:r>
    </w:p>
    <w:p>
      <w:r>
        <w:rPr>
          <w:b w:val="0"/>
        </w:rPr>
        <w:t>Municipal supply should usually enter as a demand or pumping driver. A useful causal chain is:</w:t>
      </w:r>
    </w:p>
    <w:p>
      <w:pPr>
        <w:pStyle w:val="EquationDisplay"/>
      </w:pPr>
      <w:r>
        <w:drawing>
          <wp:inline xmlns:a="http://schemas.openxmlformats.org/drawingml/2006/main" xmlns:pic="http://schemas.openxmlformats.org/drawingml/2006/picture">
            <wp:extent cx="5943600" cy="104005"/>
            <wp:docPr id="79" name="Picture 79" descr="Reservoir\ and\ supply\ conditions\rightarrow municipal\ availability\rightarrow borewell\ demand\rightarrow pumping\rightarrow groundwater\ response."/>
            <wp:cNvGraphicFramePr>
              <a:graphicFrameLocks noChangeAspect="1"/>
            </wp:cNvGraphicFramePr>
            <a:graphic>
              <a:graphicData uri="http://schemas.openxmlformats.org/drawingml/2006/picture">
                <pic:pic>
                  <pic:nvPicPr>
                    <pic:cNvPr id="0" name="f65dad62cf813fdf.png"/>
                    <pic:cNvPicPr/>
                  </pic:nvPicPr>
                  <pic:blipFill>
                    <a:blip r:embed="rId95"/>
                    <a:stretch>
                      <a:fillRect/>
                    </a:stretch>
                  </pic:blipFill>
                  <pic:spPr>
                    <a:xfrm>
                      <a:off x="0" y="0"/>
                      <a:ext cx="5943600" cy="104005"/>
                    </a:xfrm>
                    <a:prstGeom prst="rect"/>
                  </pic:spPr>
                </pic:pic>
              </a:graphicData>
            </a:graphic>
          </wp:inline>
        </w:drawing>
      </w:r>
    </w:p>
    <w:p>
      <w:pPr>
        <w:pStyle w:val="Heading2"/>
        <w:pageBreakBefore w:val="0"/>
      </w:pPr>
      <w:r>
        <w:rPr>
          <w:b/>
        </w:rPr>
        <w:t>18.3 Proposed duration by forecast horizon</w:t>
      </w:r>
    </w:p>
    <w:tbl>
      <w:tblPr>
        <w:tblStyle w:val="TableGrid"/>
        <w:tblW w:type="auto" w:w="0"/>
        <w:jc w:val="center"/>
        <w:tblLayout w:type="fixed"/>
        <w:tblLook w:firstColumn="1" w:firstRow="1" w:lastColumn="0" w:lastRow="0" w:noHBand="0" w:noVBand="1" w:val="04A0"/>
        <w:tblBorders>
          <w:top w:val="single" w:sz="4" w:color="D8E0E5"/>
          <w:left w:val="single" w:sz="4" w:color="D8E0E5"/>
          <w:bottom w:val="single" w:sz="4" w:color="D8E0E5"/>
          <w:right w:val="single" w:sz="4" w:color="D8E0E5"/>
          <w:insideH w:val="single" w:sz="4" w:color="D8E0E5"/>
          <w:insideV w:val="single" w:sz="4" w:color="D8E0E5"/>
        </w:tblBorders>
      </w:tblPr>
      <w:tblGrid>
        <w:gridCol w:w="5046"/>
        <w:gridCol w:w="5046"/>
      </w:tblGrid>
      <w:tr>
        <w:trPr>
          <w:cantSplit/>
          <w:tblHeader w:val="true"/>
        </w:trPr>
        <w:tc>
          <w:tcPr>
            <w:tcW w:type="dxa" w:w="3600"/>
            <w:vAlign w:val="center"/>
            <w:tcMar>
              <w:top w:w="65" w:type="dxa"/>
              <w:start w:w="100" w:type="dxa"/>
              <w:bottom w:w="65" w:type="dxa"/>
              <w:end w:w="100" w:type="dxa"/>
            </w:tcMar>
            <w:shd w:fill="17324D"/>
          </w:tcPr>
          <w:p>
            <w:pPr>
              <w:spacing w:after="0" w:line="240" w:lineRule="auto"/>
            </w:pPr>
            <w:r>
              <w:rPr>
                <w:b/>
                <w:color w:val="FFFFFF"/>
                <w:sz w:val="16"/>
              </w:rPr>
              <w:t>Desired use</w:t>
            </w:r>
          </w:p>
        </w:tc>
        <w:tc>
          <w:tcPr>
            <w:tcW w:type="dxa" w:w="6400"/>
            <w:vAlign w:val="center"/>
            <w:tcMar>
              <w:top w:w="65" w:type="dxa"/>
              <w:start w:w="100" w:type="dxa"/>
              <w:bottom w:w="65" w:type="dxa"/>
              <w:end w:w="100" w:type="dxa"/>
            </w:tcMar>
            <w:shd w:fill="17324D"/>
          </w:tcPr>
          <w:p>
            <w:pPr>
              <w:spacing w:after="0" w:line="240" w:lineRule="auto"/>
            </w:pPr>
            <w:r>
              <w:rPr>
                <w:b/>
                <w:color w:val="FFFFFF"/>
                <w:sz w:val="16"/>
              </w:rPr>
              <w:t>Suggested minimum data</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Next pumping/recovery transition</w:t>
            </w:r>
          </w:p>
        </w:tc>
        <w:tc>
          <w:tcPr>
            <w:tcW w:type="dxa" w:w="6400"/>
            <w:vAlign w:val="center"/>
            <w:tcMar>
              <w:top w:w="65" w:type="dxa"/>
              <w:start w:w="100" w:type="dxa"/>
              <w:bottom w:w="65" w:type="dxa"/>
              <w:end w:w="100" w:type="dxa"/>
            </w:tcMar>
          </w:tcPr>
          <w:p>
            <w:pPr>
              <w:spacing w:after="0" w:line="240" w:lineRule="auto"/>
            </w:pPr>
            <w:r>
              <w:rPr>
                <w:b w:val="0"/>
                <w:color w:val="222B32"/>
                <w:sz w:val="16"/>
              </w:rPr>
              <w:t>Several dozen clean events per well plus fleet pooling</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1–7 day operational outlook</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Several months with reliable pump and recovery coverage</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Seasonal or six-month outlook</w:t>
            </w:r>
          </w:p>
        </w:tc>
        <w:tc>
          <w:tcPr>
            <w:tcW w:type="dxa" w:w="6400"/>
            <w:vAlign w:val="center"/>
            <w:tcMar>
              <w:top w:w="65" w:type="dxa"/>
              <w:start w:w="100" w:type="dxa"/>
              <w:bottom w:w="65" w:type="dxa"/>
              <w:end w:w="100" w:type="dxa"/>
            </w:tcMar>
          </w:tcPr>
          <w:p>
            <w:pPr>
              <w:spacing w:after="0" w:line="240" w:lineRule="auto"/>
            </w:pPr>
            <w:r>
              <w:rPr>
                <w:b w:val="0"/>
                <w:color w:val="222B32"/>
                <w:sz w:val="16"/>
              </w:rPr>
              <w:t>At least one full year; multiple years preferred</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One-year forecast</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Two to three years with rainfall, demand, and interventions</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Five-year planning</w:t>
            </w:r>
          </w:p>
        </w:tc>
        <w:tc>
          <w:tcPr>
            <w:tcW w:type="dxa" w:w="6400"/>
            <w:vAlign w:val="center"/>
            <w:tcMar>
              <w:top w:w="65" w:type="dxa"/>
              <w:start w:w="100" w:type="dxa"/>
              <w:bottom w:w="65" w:type="dxa"/>
              <w:end w:w="100" w:type="dxa"/>
            </w:tcMar>
          </w:tcPr>
          <w:p>
            <w:pPr>
              <w:spacing w:after="0" w:line="240" w:lineRule="auto"/>
            </w:pPr>
            <w:r>
              <w:rPr>
                <w:b w:val="0"/>
                <w:color w:val="222B32"/>
                <w:sz w:val="16"/>
              </w:rPr>
              <w:t>Multi-year histories, climate and demand scenarios, land-use change, and explicit structural uncertainty</w:t>
            </w:r>
          </w:p>
        </w:tc>
      </w:tr>
    </w:tbl>
    <w:p>
      <w:pPr>
        <w:spacing w:after="0"/>
      </w:pPr>
    </w:p>
    <w:p>
      <w:pPr>
        <w:pStyle w:val="Heading1"/>
        <w:pageBreakBefore/>
      </w:pPr>
      <w:r>
        <w:rPr>
          <w:b/>
        </w:rPr>
        <w:t>19. Conceptual production model</w:t>
      </w:r>
    </w:p>
    <w:p>
      <w:r>
        <w:rPr>
          <w:b w:val="0"/>
        </w:rPr>
        <w:t>The next system should separate aquifer state, recharge, abstraction, local well response, and observation error.</w:t>
      </w:r>
    </w:p>
    <w:p>
      <w:pPr>
        <w:pStyle w:val="Heading2"/>
        <w:pageBreakBefore w:val="0"/>
      </w:pPr>
      <w:r>
        <w:rPr>
          <w:b/>
        </w:rPr>
        <w:t>19.1 Storage balance</w:t>
      </w:r>
    </w:p>
    <w:p>
      <w:r>
        <w:rPr>
          <w:b w:val="0"/>
        </w:rPr>
        <w:t>A minimal conceptual balance is</w:t>
      </w:r>
    </w:p>
    <w:p>
      <w:pPr>
        <w:pStyle w:val="EquationDisplay"/>
      </w:pPr>
      <w:r>
        <w:drawing>
          <wp:inline xmlns:a="http://schemas.openxmlformats.org/drawingml/2006/main" xmlns:pic="http://schemas.openxmlformats.org/drawingml/2006/picture">
            <wp:extent cx="1624774" cy="298532"/>
            <wp:docPr id="80" name="Picture 80" descr="\frac{dS}{dt}=R(t)-Q(t)-L(t),"/>
            <wp:cNvGraphicFramePr>
              <a:graphicFrameLocks noChangeAspect="1"/>
            </wp:cNvGraphicFramePr>
            <a:graphic>
              <a:graphicData uri="http://schemas.openxmlformats.org/drawingml/2006/picture">
                <pic:pic>
                  <pic:nvPicPr>
                    <pic:cNvPr id="0" name="b776d7f865e48dfe.png"/>
                    <pic:cNvPicPr/>
                  </pic:nvPicPr>
                  <pic:blipFill>
                    <a:blip r:embed="rId96"/>
                    <a:stretch>
                      <a:fillRect/>
                    </a:stretch>
                  </pic:blipFill>
                  <pic:spPr>
                    <a:xfrm>
                      <a:off x="0" y="0"/>
                      <a:ext cx="1624774" cy="298532"/>
                    </a:xfrm>
                    <a:prstGeom prst="rect"/>
                  </pic:spPr>
                </pic:pic>
              </a:graphicData>
            </a:graphic>
          </wp:inline>
        </w:drawing>
      </w:r>
    </w:p>
    <w:p>
      <w:r>
        <w:rPr>
          <w:b w:val="0"/>
        </w:rPr>
        <w:t>where:</w:t>
      </w:r>
    </w:p>
    <w:p>
      <w:pPr>
        <w:pStyle w:val="ListBullet"/>
      </w:pPr>
      <w:r>
        <w:rPr>
          <w:b w:val="0"/>
        </w:rPr>
        <w:t>S is aquifer or connected-fracture storage;</w:t>
      </w:r>
    </w:p>
    <w:p>
      <w:pPr>
        <w:pStyle w:val="ListBullet"/>
      </w:pPr>
      <w:r>
        <w:rPr>
          <w:b w:val="0"/>
        </w:rPr>
        <w:t>R is natural and engineered recharge;</w:t>
      </w:r>
    </w:p>
    <w:p>
      <w:pPr>
        <w:pStyle w:val="ListBullet"/>
      </w:pPr>
      <w:r>
        <w:rPr>
          <w:b w:val="0"/>
        </w:rPr>
        <w:t>Q is pumping abstraction;</w:t>
      </w:r>
    </w:p>
    <w:p>
      <w:pPr>
        <w:pStyle w:val="ListBullet"/>
      </w:pPr>
      <w:r>
        <w:rPr>
          <w:b w:val="0"/>
        </w:rPr>
        <w:t>L is lateral outflow and other losses.</w:t>
      </w:r>
    </w:p>
    <w:p>
      <w:r>
        <w:rPr>
          <w:b w:val="0"/>
        </w:rPr>
        <w:t>The current proof of concept does not estimate these terms separately.</w:t>
      </w:r>
    </w:p>
    <w:p>
      <w:pPr>
        <w:pStyle w:val="Heading2"/>
        <w:pageBreakBefore w:val="0"/>
      </w:pPr>
      <w:r>
        <w:rPr>
          <w:b/>
        </w:rPr>
        <w:t>19.2 Network state model</w:t>
      </w:r>
    </w:p>
    <w:p>
      <w:r>
        <w:rPr>
          <w:b w:val="0"/>
        </w:rPr>
        <w:t>For well or spatial node i, a more useful research form is</w:t>
      </w:r>
    </w:p>
    <w:p>
      <w:pPr>
        <w:pStyle w:val="EquationDisplay"/>
      </w:pPr>
      <w:r>
        <w:drawing>
          <wp:inline xmlns:a="http://schemas.openxmlformats.org/drawingml/2006/main" xmlns:pic="http://schemas.openxmlformats.org/drawingml/2006/picture">
            <wp:extent cx="2892488" cy="387273"/>
            <wp:docPr id="81" name="Picture 81" descr="\frac{dh_i}{dt}=R_i(t)-Q_i(t)+\sum_j J_{ij}(h_j-h_i)+\epsilon_i(t),"/>
            <wp:cNvGraphicFramePr>
              <a:graphicFrameLocks noChangeAspect="1"/>
            </wp:cNvGraphicFramePr>
            <a:graphic>
              <a:graphicData uri="http://schemas.openxmlformats.org/drawingml/2006/picture">
                <pic:pic>
                  <pic:nvPicPr>
                    <pic:cNvPr id="0" name="0e7a7bb36ff8cca7.png"/>
                    <pic:cNvPicPr/>
                  </pic:nvPicPr>
                  <pic:blipFill>
                    <a:blip r:embed="rId97"/>
                    <a:stretch>
                      <a:fillRect/>
                    </a:stretch>
                  </pic:blipFill>
                  <pic:spPr>
                    <a:xfrm>
                      <a:off x="0" y="0"/>
                      <a:ext cx="2892488" cy="387273"/>
                    </a:xfrm>
                    <a:prstGeom prst="rect"/>
                  </pic:spPr>
                </pic:pic>
              </a:graphicData>
            </a:graphic>
          </wp:inline>
        </w:drawing>
      </w:r>
    </w:p>
    <w:p>
      <w:r>
        <w:rPr>
          <w:b w:val="0"/>
        </w:rPr>
        <w:t>where J_(ij) expresses hydraulic connection between wells or fracture zones. The sign convention would need to be defined consistently for either head elevation or depth below ground.</w:t>
      </w:r>
    </w:p>
    <w:p>
      <w:pPr>
        <w:pStyle w:val="Heading2"/>
        <w:pageBreakBefore w:val="0"/>
      </w:pPr>
      <w:r>
        <w:rPr>
          <w:b/>
        </w:rPr>
        <w:t>19.3 Observation model</w:t>
      </w:r>
    </w:p>
    <w:p>
      <w:r>
        <w:rPr>
          <w:b w:val="0"/>
        </w:rPr>
        <w:t>Dynamic measured depth can be represented as</w:t>
      </w:r>
    </w:p>
    <w:p>
      <w:pPr>
        <w:pStyle w:val="EquationDisplay"/>
      </w:pPr>
      <w:r>
        <w:drawing>
          <wp:inline xmlns:a="http://schemas.openxmlformats.org/drawingml/2006/main" xmlns:pic="http://schemas.openxmlformats.org/drawingml/2006/picture">
            <wp:extent cx="2223135" cy="158795"/>
            <wp:docPr id="82" name="Picture 82" descr="y_i(t)=h_i(t)+d_i^{pump}(t)+b_i+\eta_i(t),"/>
            <wp:cNvGraphicFramePr>
              <a:graphicFrameLocks noChangeAspect="1"/>
            </wp:cNvGraphicFramePr>
            <a:graphic>
              <a:graphicData uri="http://schemas.openxmlformats.org/drawingml/2006/picture">
                <pic:pic>
                  <pic:nvPicPr>
                    <pic:cNvPr id="0" name="54658bb433aa387c.png"/>
                    <pic:cNvPicPr/>
                  </pic:nvPicPr>
                  <pic:blipFill>
                    <a:blip r:embed="rId98"/>
                    <a:stretch>
                      <a:fillRect/>
                    </a:stretch>
                  </pic:blipFill>
                  <pic:spPr>
                    <a:xfrm>
                      <a:off x="0" y="0"/>
                      <a:ext cx="2223135" cy="158795"/>
                    </a:xfrm>
                    <a:prstGeom prst="rect"/>
                  </pic:spPr>
                </pic:pic>
              </a:graphicData>
            </a:graphic>
          </wp:inline>
        </w:drawing>
      </w:r>
    </w:p>
    <w:p>
      <w:r>
        <w:rPr>
          <w:b w:val="0"/>
        </w:rPr>
        <w:t>where:</w:t>
      </w:r>
    </w:p>
    <w:p>
      <w:pPr>
        <w:pStyle w:val="ListBullet"/>
      </w:pPr>
      <w:r>
        <w:rPr>
          <w:b w:val="0"/>
        </w:rPr>
        <w:t>h_i(t) is underlying groundwater state;</w:t>
      </w:r>
    </w:p>
    <w:p>
      <w:pPr>
        <w:pStyle w:val="ListBullet"/>
      </w:pPr>
      <w:r>
        <w:rPr>
          <w:b w:val="0"/>
        </w:rPr>
        <w:t>d_i^(pump)(t) is transient drawdown caused by pumping and well losses;</w:t>
      </w:r>
    </w:p>
    <w:p>
      <w:pPr>
        <w:pStyle w:val="ListBullet"/>
      </w:pPr>
      <w:r>
        <w:rPr>
          <w:b w:val="0"/>
        </w:rPr>
        <w:t>b_i is sensor or datum bias;</w:t>
      </w:r>
    </w:p>
    <w:p>
      <w:pPr>
        <w:pStyle w:val="ListBullet"/>
      </w:pPr>
      <w:r>
        <w:rPr>
          <w:b w:val="0"/>
        </w:rPr>
        <w:t>eta_i(t) is measurement noise.</w:t>
      </w:r>
    </w:p>
    <w:p>
      <w:r>
        <w:rPr>
          <w:b w:val="0"/>
        </w:rPr>
        <w:t>This structure explains why static recovery observations and pump state are essential.</w:t>
      </w:r>
    </w:p>
    <w:p>
      <w:pPr>
        <w:pStyle w:val="Heading2"/>
        <w:pageBreakBefore w:val="0"/>
      </w:pPr>
      <w:r>
        <w:rPr>
          <w:b/>
        </w:rPr>
        <w:t>19.4 Candidate statistical architecture</w:t>
      </w:r>
    </w:p>
    <w:p>
      <w:r>
        <w:rPr>
          <w:b w:val="0"/>
        </w:rPr>
        <w:t>A production version could use:</w:t>
      </w:r>
    </w:p>
    <w:p>
      <w:pPr>
        <w:spacing w:after="50"/>
        <w:ind w:left="408" w:hanging="238"/>
      </w:pPr>
      <w:r>
        <w:rPr>
          <w:b/>
          <w:color w:val="1F6F8B"/>
        </w:rPr>
        <w:t xml:space="preserve">1.  </w:t>
      </w:r>
      <w:r>
        <w:rPr>
          <w:b w:val="0"/>
        </w:rPr>
        <w:t>event-level robust models for immediate pump drawdown and recovery;</w:t>
      </w:r>
    </w:p>
    <w:p>
      <w:pPr>
        <w:spacing w:after="50"/>
        <w:ind w:left="408" w:hanging="238"/>
      </w:pPr>
      <w:r>
        <w:rPr>
          <w:b/>
          <w:color w:val="1F6F8B"/>
        </w:rPr>
        <w:t xml:space="preserve">2.  </w:t>
      </w:r>
      <w:r>
        <w:rPr>
          <w:b w:val="0"/>
        </w:rPr>
        <w:t>a state-space model for latent static level;</w:t>
      </w:r>
    </w:p>
    <w:p>
      <w:pPr>
        <w:spacing w:after="50"/>
        <w:ind w:left="408" w:hanging="238"/>
      </w:pPr>
      <w:r>
        <w:rPr>
          <w:b/>
          <w:color w:val="1F6F8B"/>
        </w:rPr>
        <w:t xml:space="preserve">3.  </w:t>
      </w:r>
      <w:r>
        <w:rPr>
          <w:b w:val="0"/>
        </w:rPr>
        <w:t>distributed rainfall-recharge lags learned by location or geology group;</w:t>
      </w:r>
    </w:p>
    <w:p>
      <w:pPr>
        <w:spacing w:after="50"/>
        <w:ind w:left="408" w:hanging="238"/>
      </w:pPr>
      <w:r>
        <w:rPr>
          <w:b/>
          <w:color w:val="1F6F8B"/>
        </w:rPr>
        <w:t xml:space="preserve">4.  </w:t>
      </w:r>
      <w:r>
        <w:rPr>
          <w:b w:val="0"/>
        </w:rPr>
        <w:t>neighboring-well graph effects;</w:t>
      </w:r>
    </w:p>
    <w:p>
      <w:pPr>
        <w:spacing w:after="50"/>
        <w:ind w:left="408" w:hanging="238"/>
      </w:pPr>
      <w:r>
        <w:rPr>
          <w:b/>
          <w:color w:val="1F6F8B"/>
        </w:rPr>
        <w:t xml:space="preserve">5.  </w:t>
      </w:r>
      <w:r>
        <w:rPr>
          <w:b w:val="0"/>
        </w:rPr>
        <w:t>exogenous demand and municipal-supply inputs;</w:t>
      </w:r>
    </w:p>
    <w:p>
      <w:pPr>
        <w:spacing w:after="50"/>
        <w:ind w:left="408" w:hanging="238"/>
      </w:pPr>
      <w:r>
        <w:rPr>
          <w:b/>
          <w:color w:val="1F6F8B"/>
        </w:rPr>
        <w:t xml:space="preserve">6.  </w:t>
      </w:r>
      <w:r>
        <w:rPr>
          <w:b w:val="0"/>
        </w:rPr>
        <w:t>hierarchical pooling for wells with limited history;</w:t>
      </w:r>
    </w:p>
    <w:p>
      <w:pPr>
        <w:spacing w:after="50"/>
        <w:ind w:left="408" w:hanging="238"/>
      </w:pPr>
      <w:r>
        <w:rPr>
          <w:b/>
          <w:color w:val="1F6F8B"/>
        </w:rPr>
        <w:t xml:space="preserve">7.  </w:t>
      </w:r>
      <w:r>
        <w:rPr>
          <w:b w:val="0"/>
        </w:rPr>
        <w:t>rolling-origin validation at operational, monthly, seasonal, and annual horizons;</w:t>
      </w:r>
    </w:p>
    <w:p>
      <w:pPr>
        <w:spacing w:after="50"/>
        <w:ind w:left="408" w:hanging="238"/>
      </w:pPr>
      <w:r>
        <w:rPr>
          <w:b/>
          <w:color w:val="1F6F8B"/>
        </w:rPr>
        <w:t xml:space="preserve">8.  </w:t>
      </w:r>
      <w:r>
        <w:rPr>
          <w:b w:val="0"/>
        </w:rPr>
        <w:t>calibrated quantile or conformal intervals by horizon and evidence tier.</w:t>
      </w:r>
    </w:p>
    <w:p>
      <w:r>
        <w:rPr>
          <w:b w:val="0"/>
        </w:rPr>
        <w:t>The preferred model should be chosen by out-of-time performance and calibration, not by complexity.</w:t>
      </w:r>
    </w:p>
    <w:p>
      <w:pPr>
        <w:pStyle w:val="Heading1"/>
        <w:pageBreakBefore w:val="0"/>
      </w:pPr>
      <w:r>
        <w:rPr>
          <w:b/>
        </w:rPr>
        <w:t>20. Software and deployment architecture</w:t>
      </w:r>
    </w:p>
    <w:p>
      <w:pPr>
        <w:pStyle w:val="Heading2"/>
        <w:pageBreakBefore w:val="0"/>
      </w:pPr>
      <w:r>
        <w:rPr>
          <w:b/>
        </w:rPr>
        <w:t>20.1 Offline computation</w:t>
      </w:r>
    </w:p>
    <w:p>
      <w:r>
        <w:rPr>
          <w:b w:val="0"/>
        </w:rPr>
        <w:t>The Python scripts read the raw CSVs, create sessions and transitions, screen records, fit models, compute holdout predictions, summarize wells, and export JSON and CSV artifacts.</w:t>
      </w:r>
    </w:p>
    <w:p>
      <w:pPr>
        <w:pStyle w:val="Heading2"/>
        <w:pageBreakBefore w:val="0"/>
      </w:pPr>
      <w:r>
        <w:rPr>
          <w:b/>
        </w:rPr>
        <w:t>20.2 Public browser application</w:t>
      </w:r>
    </w:p>
    <w:p>
      <w:r>
        <w:rPr>
          <w:b w:val="0"/>
        </w:rPr>
        <w:t>The deployed site is static HTML, CSS, JavaScript, and JSON. There is no server-side database and no online retraining. Forecast controls are evaluated locally in the browser. User selections are not sent to an application backend or stored by this code.</w:t>
      </w:r>
    </w:p>
    <w:p>
      <w:r>
        <w:rPr>
          <w:b w:val="0"/>
        </w:rPr>
        <w:t>The app loads:</w:t>
      </w:r>
    </w:p>
    <w:p>
      <w:pPr>
        <w:pStyle w:val="ListBullet"/>
      </w:pPr>
      <w:r>
        <w:rPr>
          <w:rFonts w:ascii="Aptos Mono" w:hAnsi="Aptos Mono"/>
          <w:color w:val="174554"/>
          <w:sz w:val="18"/>
        </w:rPr>
        <w:t>dist/data/wells.json</w:t>
      </w:r>
      <w:r>
        <w:rPr>
          <w:b w:val="0"/>
        </w:rPr>
        <w:t xml:space="preserve"> for per-well summaries and daily history;</w:t>
      </w:r>
    </w:p>
    <w:p>
      <w:pPr>
        <w:pStyle w:val="ListBullet"/>
      </w:pPr>
      <w:r>
        <w:rPr>
          <w:rFonts w:ascii="Aptos Mono" w:hAnsi="Aptos Mono"/>
          <w:color w:val="174554"/>
          <w:sz w:val="18"/>
        </w:rPr>
        <w:t>dist/data/real_rainfall.json.gz</w:t>
      </w:r>
      <w:r>
        <w:rPr>
          <w:b w:val="0"/>
        </w:rPr>
        <w:t xml:space="preserve"> for real rainfall validation and monthly climatology;</w:t>
      </w:r>
    </w:p>
    <w:p>
      <w:pPr>
        <w:pStyle w:val="ListBullet"/>
      </w:pPr>
      <w:r>
        <w:rPr>
          <w:rFonts w:ascii="Aptos Mono" w:hAnsi="Aptos Mono"/>
          <w:color w:val="174554"/>
          <w:sz w:val="18"/>
        </w:rPr>
        <w:t>dist/data/synthetic_model.json.gz</w:t>
      </w:r>
      <w:r>
        <w:rPr>
          <w:b w:val="0"/>
        </w:rPr>
        <w:t xml:space="preserve"> for M3 parameters, static history and held-out predictions;</w:t>
      </w:r>
    </w:p>
    <w:p>
      <w:pPr>
        <w:pStyle w:val="ListBullet"/>
      </w:pPr>
      <w:r>
        <w:rPr>
          <w:rFonts w:ascii="Aptos Mono" w:hAnsi="Aptos Mono"/>
          <w:color w:val="174554"/>
          <w:sz w:val="18"/>
        </w:rPr>
        <w:t>dist/data/model_comparison.json.gz</w:t>
      </w:r>
      <w:r>
        <w:rPr>
          <w:b w:val="0"/>
        </w:rPr>
        <w:t xml:space="preserve"> for the three-model comparison and reference baselines.</w:t>
      </w:r>
    </w:p>
    <w:p>
      <w:r>
        <w:rPr>
          <w:b w:val="0"/>
        </w:rPr>
        <w:t>The root remains the real-data trend model. Pages 2 and 3 show M3 scenarios and validation. Page 4 compares all three models and restores M1-vs-M2 real scenarios. Sections 25–28 specify the revised synthetic model and supersede historical rainfall page paths.</w:t>
      </w:r>
    </w:p>
    <w:p>
      <w:pPr>
        <w:pStyle w:val="Heading2"/>
        <w:pageBreakBefore w:val="0"/>
      </w:pPr>
      <w:r>
        <w:rPr>
          <w:b/>
        </w:rPr>
        <w:t>20.3 Deployment</w:t>
      </w:r>
    </w:p>
    <w:p>
      <w:r>
        <w:rPr>
          <w:b w:val="0"/>
        </w:rPr>
        <w:t xml:space="preserve">GitHub Actions publishes the </w:t>
      </w:r>
      <w:r>
        <w:rPr>
          <w:rFonts w:ascii="Aptos Mono" w:hAnsi="Aptos Mono"/>
          <w:color w:val="174554"/>
          <w:sz w:val="18"/>
        </w:rPr>
        <w:t>dist</w:t>
      </w:r>
      <w:r>
        <w:rPr>
          <w:b w:val="0"/>
        </w:rPr>
        <w:t xml:space="preserve"> directory to GitHub Pages. A </w:t>
      </w:r>
      <w:r>
        <w:rPr>
          <w:rFonts w:ascii="Aptos Mono" w:hAnsi="Aptos Mono"/>
          <w:color w:val="174554"/>
          <w:sz w:val="18"/>
        </w:rPr>
        <w:t>.nojekyll</w:t>
      </w:r>
      <w:r>
        <w:rPr>
          <w:b w:val="0"/>
        </w:rPr>
        <w:t xml:space="preserve"> file prevents unwanted Jekyll processing. Links are relative so the app works under the repository project path.</w:t>
      </w:r>
    </w:p>
    <w:p>
      <w:r>
        <w:rPr>
          <w:b w:val="0"/>
        </w:rPr>
        <w:t xml:space="preserve">Optional WebMCP tools named </w:t>
      </w:r>
      <w:r>
        <w:rPr>
          <w:rFonts w:ascii="Aptos Mono" w:hAnsi="Aptos Mono"/>
          <w:color w:val="174554"/>
          <w:sz w:val="18"/>
        </w:rPr>
        <w:t>configure_water_level_forecast</w:t>
      </w:r>
      <w:r>
        <w:rPr>
          <w:b w:val="0"/>
        </w:rPr>
        <w:t xml:space="preserve"> and </w:t>
      </w:r>
      <w:r>
        <w:rPr>
          <w:rFonts w:ascii="Aptos Mono" w:hAnsi="Aptos Mono"/>
          <w:color w:val="174554"/>
          <w:sz w:val="18"/>
        </w:rPr>
        <w:t>configure_synthetic_borewell_forecast</w:t>
      </w:r>
      <w:r>
        <w:rPr>
          <w:b w:val="0"/>
        </w:rPr>
        <w:t xml:space="preserve">, </w:t>
      </w:r>
      <w:r>
        <w:rPr>
          <w:rFonts w:ascii="Aptos Mono" w:hAnsi="Aptos Mono"/>
          <w:color w:val="174554"/>
          <w:sz w:val="18"/>
        </w:rPr>
        <w:t>inspect_synthetic_borewell_validation</w:t>
      </w:r>
      <w:r>
        <w:rPr>
          <w:b w:val="0"/>
        </w:rPr>
        <w:t xml:space="preserve">, and </w:t>
      </w:r>
      <w:r>
        <w:rPr>
          <w:rFonts w:ascii="Aptos Mono" w:hAnsi="Aptos Mono"/>
          <w:color w:val="174554"/>
          <w:sz w:val="18"/>
        </w:rPr>
        <w:t>compare_borewell_models</w:t>
      </w:r>
      <w:r>
        <w:rPr>
          <w:b w:val="0"/>
        </w:rPr>
        <w:t xml:space="preserve"> expose the same page controls to compatible browser agents. They do not change the model mathematics.</w:t>
      </w:r>
    </w:p>
    <w:p>
      <w:pPr>
        <w:pStyle w:val="Heading1"/>
        <w:pageBreakBefore w:val="0"/>
      </w:pPr>
      <w:r>
        <w:rPr>
          <w:b/>
        </w:rPr>
        <w:t>21. Reproduction sequence</w:t>
      </w:r>
    </w:p>
    <w:p>
      <w:r>
        <w:rPr>
          <w:b w:val="0"/>
        </w:rPr>
        <w:t>An implementation should follow this order:</w:t>
      </w:r>
    </w:p>
    <w:p>
      <w:pPr>
        <w:spacing w:after="50"/>
        <w:ind w:left="408" w:hanging="238"/>
      </w:pPr>
      <w:r>
        <w:rPr>
          <w:b/>
          <w:color w:val="1F6F8B"/>
        </w:rPr>
        <w:t xml:space="preserve">1.  </w:t>
      </w:r>
      <w:r>
        <w:rPr>
          <w:b w:val="0"/>
        </w:rPr>
        <w:t>Read paired Type A and Type B CSVs and sort all observations by time.</w:t>
      </w:r>
    </w:p>
    <w:p>
      <w:pPr>
        <w:spacing w:after="50"/>
        <w:ind w:left="408" w:hanging="238"/>
      </w:pPr>
      <w:r>
        <w:rPr>
          <w:b/>
          <w:color w:val="1F6F8B"/>
        </w:rPr>
        <w:t xml:space="preserve">2.  </w:t>
      </w:r>
      <w:r>
        <w:rPr>
          <w:b w:val="0"/>
        </w:rPr>
        <w:t>Treat Type B intervals as session definitions.</w:t>
      </w:r>
    </w:p>
    <w:p>
      <w:pPr>
        <w:spacing w:after="50"/>
        <w:ind w:left="408" w:hanging="238"/>
      </w:pPr>
      <w:r>
        <w:rPr>
          <w:b/>
          <w:color w:val="1F6F8B"/>
        </w:rPr>
        <w:t xml:space="preserve">3.  </w:t>
      </w:r>
      <w:r>
        <w:rPr>
          <w:b w:val="0"/>
        </w:rPr>
        <w:t>Assign inclusive Type A points to each session.</w:t>
      </w:r>
    </w:p>
    <w:p>
      <w:pPr>
        <w:spacing w:after="50"/>
        <w:ind w:left="408" w:hanging="238"/>
      </w:pPr>
      <w:r>
        <w:rPr>
          <w:b/>
          <w:color w:val="1F6F8B"/>
        </w:rPr>
        <w:t xml:space="preserve">4.  </w:t>
      </w:r>
      <w:r>
        <w:rPr>
          <w:b w:val="0"/>
        </w:rPr>
        <w:t>Integrate discharge and power with the trapezoid rule.</w:t>
      </w:r>
    </w:p>
    <w:p>
      <w:pPr>
        <w:spacing w:after="50"/>
        <w:ind w:left="408" w:hanging="238"/>
      </w:pPr>
      <w:r>
        <w:rPr>
          <w:b/>
          <w:color w:val="1F6F8B"/>
        </w:rPr>
        <w:t xml:space="preserve">5.  </w:t>
      </w:r>
      <w:r>
        <w:rPr>
          <w:b w:val="0"/>
        </w:rPr>
        <w:t>Construct pump targets, recovery targets, and transformed features.</w:t>
      </w:r>
    </w:p>
    <w:p>
      <w:pPr>
        <w:spacing w:after="50"/>
        <w:ind w:left="408" w:hanging="238"/>
      </w:pPr>
      <w:r>
        <w:rPr>
          <w:b/>
          <w:color w:val="1F6F8B"/>
        </w:rPr>
        <w:t xml:space="preserve">6.  </w:t>
      </w:r>
      <w:r>
        <w:rPr>
          <w:b w:val="0"/>
        </w:rPr>
        <w:t>Apply the exact quality screens.</w:t>
      </w:r>
    </w:p>
    <w:p>
      <w:pPr>
        <w:spacing w:after="50"/>
        <w:ind w:left="408" w:hanging="238"/>
      </w:pPr>
      <w:r>
        <w:rPr>
          <w:b/>
          <w:color w:val="1F6F8B"/>
        </w:rPr>
        <w:t xml:space="preserve">7.  </w:t>
      </w:r>
      <w:r>
        <w:rPr>
          <w:b w:val="0"/>
        </w:rPr>
        <w:t>Split chronologically at 24 July and 26 July 2026.</w:t>
      </w:r>
    </w:p>
    <w:p>
      <w:pPr>
        <w:spacing w:after="50"/>
        <w:ind w:left="408" w:hanging="238"/>
      </w:pPr>
      <w:r>
        <w:rPr>
          <w:b/>
          <w:color w:val="1F6F8B"/>
        </w:rPr>
        <w:t xml:space="preserve">8.  </w:t>
      </w:r>
      <w:r>
        <w:rPr>
          <w:b w:val="0"/>
        </w:rPr>
        <w:t>Fit standardized Huber IRLS with ridge 3 and 35 iterations.</w:t>
      </w:r>
    </w:p>
    <w:p>
      <w:pPr>
        <w:spacing w:after="50"/>
        <w:ind w:left="408" w:hanging="238"/>
      </w:pPr>
      <w:r>
        <w:rPr>
          <w:b/>
          <w:color w:val="1F6F8B"/>
        </w:rPr>
        <w:t xml:space="preserve">9.  </w:t>
      </w:r>
      <w:r>
        <w:rPr>
          <w:b w:val="0"/>
        </w:rPr>
        <w:t>Add shrunken per-well residual effects and shrunken per-well target medians.</w:t>
      </w:r>
    </w:p>
    <w:p>
      <w:pPr>
        <w:spacing w:after="50"/>
        <w:ind w:left="408" w:hanging="238"/>
      </w:pPr>
      <w:r>
        <w:rPr>
          <w:b/>
          <w:color w:val="1F6F8B"/>
        </w:rPr>
        <w:t xml:space="preserve">10.  </w:t>
      </w:r>
      <w:r>
        <w:rPr>
          <w:b w:val="0"/>
        </w:rPr>
        <w:t>Select ensemble weight on 24–25 July and refit before 26 July.</w:t>
      </w:r>
    </w:p>
    <w:p>
      <w:pPr>
        <w:spacing w:after="50"/>
        <w:ind w:left="408" w:hanging="238"/>
      </w:pPr>
      <w:r>
        <w:rPr>
          <w:b/>
          <w:color w:val="1F6F8B"/>
        </w:rPr>
        <w:t xml:space="preserve">11.  </w:t>
      </w:r>
      <w:r>
        <w:rPr>
          <w:b w:val="0"/>
        </w:rPr>
        <w:t>Evaluate on 26–29 July with MAE, median AE, RMSE, and R^2.</w:t>
      </w:r>
    </w:p>
    <w:p>
      <w:pPr>
        <w:spacing w:after="50"/>
        <w:ind w:left="408" w:hanging="238"/>
      </w:pPr>
      <w:r>
        <w:rPr>
          <w:b/>
          <w:color w:val="1F6F8B"/>
        </w:rPr>
        <w:t xml:space="preserve">12.  </w:t>
      </w:r>
      <w:r>
        <w:rPr>
          <w:b w:val="0"/>
        </w:rPr>
        <w:t>Build daily median start levels and Theil–Sen stability summaries.</w:t>
      </w:r>
    </w:p>
    <w:p>
      <w:pPr>
        <w:spacing w:after="50"/>
        <w:ind w:left="408" w:hanging="238"/>
      </w:pPr>
      <w:r>
        <w:rPr>
          <w:b/>
          <w:color w:val="1F6F8B"/>
        </w:rPr>
        <w:t xml:space="preserve">13.  </w:t>
      </w:r>
      <w:r>
        <w:rPr>
          <w:b w:val="0"/>
        </w:rPr>
        <w:t>Export per-well histories and summaries for the site.</w:t>
      </w:r>
    </w:p>
    <w:p>
      <w:pPr>
        <w:spacing w:after="50"/>
        <w:ind w:left="408" w:hanging="238"/>
      </w:pPr>
      <w:r>
        <w:rPr>
          <w:b/>
          <w:color w:val="1F6F8B"/>
        </w:rPr>
        <w:t xml:space="preserve">14.  </w:t>
      </w:r>
      <w:r>
        <w:rPr>
          <w:b w:val="0"/>
        </w:rPr>
        <w:t>For rainfall comparison, download NASA POWER, shift rainfall by one day, calculate rolling sums, select lags on inner validation, and test on the same holdout.</w:t>
      </w:r>
    </w:p>
    <w:p>
      <w:pPr>
        <w:spacing w:after="50"/>
        <w:ind w:left="408" w:hanging="238"/>
      </w:pPr>
      <w:r>
        <w:rPr>
          <w:b/>
          <w:color w:val="1F6F8B"/>
        </w:rPr>
        <w:t xml:space="preserve">15.  </w:t>
      </w:r>
      <w:r>
        <w:rPr>
          <w:b w:val="0"/>
        </w:rPr>
        <w:t>Build the monthly 2001–2025 climatology for scenario display.</w:t>
      </w:r>
    </w:p>
    <w:p>
      <w:pPr>
        <w:spacing w:after="50"/>
        <w:ind w:left="408" w:hanging="238"/>
      </w:pPr>
      <w:r>
        <w:rPr>
          <w:b/>
          <w:color w:val="1F6F8B"/>
        </w:rPr>
        <w:t xml:space="preserve">16.  </w:t>
      </w:r>
      <w:r>
        <w:rPr>
          <w:b w:val="0"/>
        </w:rPr>
        <w:t xml:space="preserve">Publish the static </w:t>
      </w:r>
      <w:r>
        <w:rPr>
          <w:rFonts w:ascii="Aptos Mono" w:hAnsi="Aptos Mono"/>
          <w:color w:val="174554"/>
          <w:sz w:val="18"/>
        </w:rPr>
        <w:t>dist</w:t>
      </w:r>
      <w:r>
        <w:rPr>
          <w:b w:val="0"/>
        </w:rPr>
        <w:t xml:space="preserve"> directory.</w:t>
      </w:r>
    </w:p>
    <w:p>
      <w:pPr>
        <w:pStyle w:val="Heading1"/>
        <w:pageBreakBefore w:val="0"/>
      </w:pPr>
      <w:r>
        <w:rPr>
          <w:b/>
        </w:rPr>
        <w:t>22. Interpretation rules for another analyst or language model</w:t>
      </w:r>
    </w:p>
    <w:p>
      <w:r>
        <w:rPr>
          <w:b w:val="0"/>
        </w:rPr>
        <w:t>The following statements are part of the specification:</w:t>
      </w:r>
    </w:p>
    <w:p>
      <w:pPr>
        <w:spacing w:after="50"/>
        <w:ind w:left="408" w:hanging="238"/>
      </w:pPr>
      <w:r>
        <w:rPr>
          <w:b/>
          <w:color w:val="1F6F8B"/>
        </w:rPr>
        <w:t xml:space="preserve">1.  </w:t>
      </w:r>
      <w:r>
        <w:rPr>
          <w:b w:val="0"/>
        </w:rPr>
        <w:t>“Water level” means depth below ground in metres unless source documentation proves otherwise.</w:t>
      </w:r>
    </w:p>
    <w:p>
      <w:pPr>
        <w:spacing w:after="50"/>
        <w:ind w:left="408" w:hanging="238"/>
      </w:pPr>
      <w:r>
        <w:rPr>
          <w:b/>
          <w:color w:val="1F6F8B"/>
        </w:rPr>
        <w:t xml:space="preserve">2.  </w:t>
      </w:r>
      <w:r>
        <w:rPr>
          <w:b w:val="0"/>
        </w:rPr>
        <w:t>Larger depth means deeper water; positive change means worsening depth under this convention.</w:t>
      </w:r>
    </w:p>
    <w:p>
      <w:pPr>
        <w:spacing w:after="50"/>
        <w:ind w:left="408" w:hanging="238"/>
      </w:pPr>
      <w:r>
        <w:rPr>
          <w:b/>
          <w:color w:val="1F6F8B"/>
        </w:rPr>
        <w:t xml:space="preserve">3.  </w:t>
      </w:r>
      <w:r>
        <w:rPr>
          <w:b w:val="0"/>
        </w:rPr>
        <w:t>The feet fields in Type B duplicate the metre water-level values and are not construction depth.</w:t>
      </w:r>
    </w:p>
    <w:p>
      <w:pPr>
        <w:spacing w:after="50"/>
        <w:ind w:left="408" w:hanging="238"/>
      </w:pPr>
      <w:r>
        <w:rPr>
          <w:b/>
          <w:color w:val="1F6F8B"/>
        </w:rPr>
        <w:t xml:space="preserve">4.  </w:t>
      </w:r>
      <w:r>
        <w:rPr>
          <w:b w:val="0"/>
        </w:rPr>
        <w:t xml:space="preserve">Type B sessions, not Type A </w:t>
      </w:r>
      <w:r>
        <w:rPr>
          <w:rFonts w:ascii="Aptos Mono" w:hAnsi="Aptos Mono"/>
          <w:color w:val="174554"/>
          <w:sz w:val="18"/>
        </w:rPr>
        <w:t>pump_status</w:t>
      </w:r>
      <w:r>
        <w:rPr>
          <w:b w:val="0"/>
        </w:rPr>
        <w:t>, define pumping intervals in the implemented model.</w:t>
      </w:r>
    </w:p>
    <w:p>
      <w:pPr>
        <w:spacing w:after="50"/>
        <w:ind w:left="408" w:hanging="238"/>
      </w:pPr>
      <w:r>
        <w:rPr>
          <w:b/>
          <w:color w:val="1F6F8B"/>
        </w:rPr>
        <w:t xml:space="preserve">5.  </w:t>
      </w:r>
      <w:r>
        <w:rPr>
          <w:b w:val="0"/>
        </w:rPr>
        <w:t>The model uses Type A discharge and power inside those intervals.</w:t>
      </w:r>
    </w:p>
    <w:p>
      <w:pPr>
        <w:spacing w:after="50"/>
        <w:ind w:left="408" w:hanging="238"/>
      </w:pPr>
      <w:r>
        <w:rPr>
          <w:b/>
          <w:color w:val="1F6F8B"/>
        </w:rPr>
        <w:t xml:space="preserve">6.  </w:t>
      </w:r>
      <w:r>
        <w:rPr>
          <w:b w:val="0"/>
        </w:rPr>
        <w:t>The pump-status field was inspected but is not a fitted predictor.</w:t>
      </w:r>
    </w:p>
    <w:p>
      <w:pPr>
        <w:spacing w:after="50"/>
        <w:ind w:left="408" w:hanging="238"/>
      </w:pPr>
      <w:r>
        <w:rPr>
          <w:b/>
          <w:color w:val="1F6F8B"/>
        </w:rPr>
        <w:t xml:space="preserve">7.  </w:t>
      </w:r>
      <w:r>
        <w:rPr>
          <w:b w:val="0"/>
        </w:rPr>
        <w:t>The validated models predict one pump transition or one recovery transition.</w:t>
      </w:r>
    </w:p>
    <w:p>
      <w:pPr>
        <w:spacing w:after="50"/>
        <w:ind w:left="408" w:hanging="238"/>
      </w:pPr>
      <w:r>
        <w:rPr>
          <w:b/>
          <w:color w:val="1F6F8B"/>
        </w:rPr>
        <w:t xml:space="preserve">8.  </w:t>
      </w:r>
      <w:r>
        <w:rPr>
          <w:b w:val="0"/>
        </w:rPr>
        <w:t>Screened holdout performance must be reported together with all-record performance because raw anomalies are consequential.</w:t>
      </w:r>
    </w:p>
    <w:p>
      <w:pPr>
        <w:spacing w:after="50"/>
        <w:ind w:left="408" w:hanging="238"/>
      </w:pPr>
      <w:r>
        <w:rPr>
          <w:b/>
          <w:color w:val="1F6F8B"/>
        </w:rPr>
        <w:t xml:space="preserve">9.  </w:t>
      </w:r>
      <w:r>
        <w:rPr>
          <w:b w:val="0"/>
        </w:rPr>
        <w:t>The short stability trend is a separate Theil–Sen summary.</w:t>
      </w:r>
    </w:p>
    <w:p>
      <w:pPr>
        <w:spacing w:after="50"/>
        <w:ind w:left="408" w:hanging="238"/>
      </w:pPr>
      <w:r>
        <w:rPr>
          <w:b/>
          <w:color w:val="1F6F8B"/>
        </w:rPr>
        <w:t xml:space="preserve">10.  </w:t>
      </w:r>
      <w:r>
        <w:rPr>
          <w:b w:val="0"/>
        </w:rPr>
        <w:t>The root website’s arbitrary-horizon curve is a heuristic scenario extrapolation.</w:t>
      </w:r>
    </w:p>
    <w:p>
      <w:pPr>
        <w:spacing w:after="50"/>
        <w:ind w:left="408" w:hanging="238"/>
      </w:pPr>
      <w:r>
        <w:rPr>
          <w:b/>
          <w:color w:val="1F6F8B"/>
        </w:rPr>
        <w:t xml:space="preserve">11.  </w:t>
      </w:r>
      <w:r>
        <w:rPr>
          <w:b w:val="0"/>
        </w:rPr>
        <w:t>The rainfall page’s future curve is a climatology scenario, separate from the fitted lagged-rainfall validation model.</w:t>
      </w:r>
    </w:p>
    <w:p>
      <w:pPr>
        <w:spacing w:after="50"/>
        <w:ind w:left="408" w:hanging="238"/>
      </w:pPr>
      <w:r>
        <w:rPr>
          <w:b/>
          <w:color w:val="1F6F8B"/>
        </w:rPr>
        <w:t xml:space="preserve">12.  </w:t>
      </w:r>
      <w:r>
        <w:rPr>
          <w:b w:val="0"/>
        </w:rPr>
        <w:t>A user-selectable long horizon does not imply validated accuracy at that horizon.</w:t>
      </w:r>
    </w:p>
    <w:p>
      <w:pPr>
        <w:spacing w:after="50"/>
        <w:ind w:left="408" w:hanging="238"/>
      </w:pPr>
      <w:r>
        <w:rPr>
          <w:b/>
          <w:color w:val="1F6F8B"/>
        </w:rPr>
        <w:t xml:space="preserve">13.  </w:t>
      </w:r>
      <w:r>
        <w:rPr>
          <w:b w:val="0"/>
        </w:rPr>
        <w:t>The website’s uncertainty bands are heuristic and clipped; they are not calibrated prediction intervals.</w:t>
      </w:r>
    </w:p>
    <w:p>
      <w:pPr>
        <w:spacing w:after="50"/>
        <w:ind w:left="408" w:hanging="238"/>
      </w:pPr>
      <w:r>
        <w:rPr>
          <w:b/>
          <w:color w:val="1F6F8B"/>
        </w:rPr>
        <w:t xml:space="preserve">14.  </w:t>
      </w:r>
      <w:r>
        <w:rPr>
          <w:b w:val="0"/>
        </w:rPr>
        <w:t>Rainfall’s negligible measured gain is specific to this short, low-rain, single-grid-cell experiment.</w:t>
      </w:r>
    </w:p>
    <w:p>
      <w:pPr>
        <w:spacing w:after="50"/>
        <w:ind w:left="408" w:hanging="238"/>
      </w:pPr>
      <w:r>
        <w:rPr>
          <w:b/>
          <w:color w:val="1F6F8B"/>
        </w:rPr>
        <w:t xml:space="preserve">15.  </w:t>
      </w:r>
      <w:r>
        <w:rPr>
          <w:b w:val="0"/>
        </w:rPr>
        <w:t>No source data dictionary was available, and dynamic/static semantics remain unconfirmed.</w:t>
      </w:r>
    </w:p>
    <w:p>
      <w:pPr>
        <w:spacing w:after="50"/>
        <w:ind w:left="408" w:hanging="238"/>
      </w:pPr>
      <w:r>
        <w:rPr>
          <w:b/>
          <w:color w:val="1F6F8B"/>
        </w:rPr>
        <w:t xml:space="preserve">16.  </w:t>
      </w:r>
      <w:r>
        <w:rPr>
          <w:b w:val="0"/>
        </w:rPr>
        <w:t>Numerical anonymization may have altered values; this is unresolved.</w:t>
      </w:r>
    </w:p>
    <w:p>
      <w:pPr>
        <w:spacing w:after="50"/>
        <w:ind w:left="408" w:hanging="238"/>
      </w:pPr>
      <w:r>
        <w:rPr>
          <w:b/>
          <w:color w:val="1F6F8B"/>
        </w:rPr>
        <w:t xml:space="preserve">17.  </w:t>
      </w:r>
      <w:r>
        <w:rPr>
          <w:b w:val="0"/>
        </w:rPr>
        <w:t>The broader project proposal discussed live networks, land use, geology, monsoon, and Cauvery supply. Those layers were context, not columns in the supplied CSVs.</w:t>
      </w:r>
    </w:p>
    <w:p>
      <w:pPr>
        <w:spacing w:after="50"/>
        <w:ind w:left="408" w:hanging="238"/>
      </w:pPr>
      <w:r>
        <w:rPr>
          <w:b/>
          <w:color w:val="1F6F8B"/>
        </w:rPr>
        <w:t xml:space="preserve">18.  </w:t>
      </w:r>
      <w:r>
        <w:rPr>
          <w:b w:val="0"/>
        </w:rPr>
        <w:t>The current work is a proof of concept for method and data requirements, not a hydrological certification or operational groundwater-management system.</w:t>
      </w:r>
    </w:p>
    <w:p>
      <w:pPr>
        <w:pStyle w:val="Heading1"/>
        <w:pageBreakBefore w:val="0"/>
      </w:pPr>
      <w:r>
        <w:rPr>
          <w:b/>
        </w:rPr>
        <w:t>23. Known limitations and open questions</w:t>
      </w:r>
    </w:p>
    <w:p>
      <w:pPr>
        <w:pStyle w:val="ListBullet"/>
      </w:pPr>
      <w:r>
        <w:rPr>
          <w:b w:val="0"/>
        </w:rPr>
        <w:t>Observation length is approximately 15 days.</w:t>
      </w:r>
    </w:p>
    <w:p>
      <w:pPr>
        <w:pStyle w:val="ListBullet"/>
      </w:pPr>
      <w:r>
        <w:rPr>
          <w:b w:val="0"/>
        </w:rPr>
        <w:t>The holdout is only four days.</w:t>
      </w:r>
    </w:p>
    <w:p>
      <w:pPr>
        <w:pStyle w:val="ListBullet"/>
      </w:pPr>
      <w:r>
        <w:rPr>
          <w:b w:val="0"/>
        </w:rPr>
        <w:t>Many wells have limited coverage or no usable sessions.</w:t>
      </w:r>
    </w:p>
    <w:p>
      <w:pPr>
        <w:pStyle w:val="ListBullet"/>
      </w:pPr>
      <w:r>
        <w:rPr>
          <w:b w:val="0"/>
        </w:rPr>
        <w:t>Nearly half of recovery transitions fail the pragmatic quality screen.</w:t>
      </w:r>
    </w:p>
    <w:p>
      <w:pPr>
        <w:pStyle w:val="ListBullet"/>
      </w:pPr>
      <w:r>
        <w:rPr>
          <w:b w:val="0"/>
        </w:rPr>
        <w:t>Extreme endpoint changes up to approximately ±435 m require source review.</w:t>
      </w:r>
    </w:p>
    <w:p>
      <w:pPr>
        <w:pStyle w:val="ListBullet"/>
      </w:pPr>
      <w:r>
        <w:rPr>
          <w:b w:val="0"/>
        </w:rPr>
        <w:t>The apparent Type A OFF power requires explanation.</w:t>
      </w:r>
    </w:p>
    <w:p>
      <w:pPr>
        <w:pStyle w:val="ListBullet"/>
      </w:pPr>
      <w:r>
        <w:rPr>
          <w:b w:val="0"/>
        </w:rPr>
        <w:t>Pump status is highly imbalanced and not used directly.</w:t>
      </w:r>
    </w:p>
    <w:p>
      <w:pPr>
        <w:pStyle w:val="ListBullet"/>
      </w:pPr>
      <w:r>
        <w:rPr>
          <w:b w:val="0"/>
        </w:rPr>
        <w:t>There are no well coordinates.</w:t>
      </w:r>
    </w:p>
    <w:p>
      <w:pPr>
        <w:pStyle w:val="ListBullet"/>
      </w:pPr>
      <w:r>
        <w:rPr>
          <w:b w:val="0"/>
        </w:rPr>
        <w:t>One rainfall grid cell is applied to every well.</w:t>
      </w:r>
    </w:p>
    <w:p>
      <w:pPr>
        <w:pStyle w:val="ListBullet"/>
      </w:pPr>
      <w:r>
        <w:rPr>
          <w:b w:val="0"/>
        </w:rPr>
        <w:t>There are no static-level measurements or recovery-test protocols.</w:t>
      </w:r>
    </w:p>
    <w:p>
      <w:pPr>
        <w:pStyle w:val="ListBullet"/>
      </w:pPr>
      <w:r>
        <w:rPr>
          <w:b w:val="0"/>
        </w:rPr>
        <w:t>There is no construction depth, pump intake depth, or screened/open interval.</w:t>
      </w:r>
    </w:p>
    <w:p>
      <w:pPr>
        <w:pStyle w:val="ListBullet"/>
      </w:pPr>
      <w:r>
        <w:rPr>
          <w:b w:val="0"/>
        </w:rPr>
        <w:t>There is no local geology, fracture, soil, imperviousness, or land-use feature in the fitted data.</w:t>
      </w:r>
    </w:p>
    <w:p>
      <w:pPr>
        <w:pStyle w:val="ListBullet"/>
      </w:pPr>
      <w:r>
        <w:rPr>
          <w:b w:val="0"/>
        </w:rPr>
        <w:t>There is no nearby-well pumping or municipal supply feature.</w:t>
      </w:r>
    </w:p>
    <w:p>
      <w:pPr>
        <w:pStyle w:val="ListBullet"/>
      </w:pPr>
      <w:r>
        <w:rPr>
          <w:b w:val="0"/>
        </w:rPr>
        <w:t>The data cannot identify seasonal, annual, or five-year behavior.</w:t>
      </w:r>
    </w:p>
    <w:p>
      <w:pPr>
        <w:pStyle w:val="ListBullet"/>
      </w:pPr>
      <w:r>
        <w:rPr>
          <w:b w:val="0"/>
        </w:rPr>
        <w:t>The model cannot separate aquifer decline from local drawdown, sensor bias, well loss, or changed pumping behavior.</w:t>
      </w:r>
    </w:p>
    <w:p>
      <w:pPr>
        <w:pStyle w:val="ListBullet"/>
      </w:pPr>
      <w:r>
        <w:rPr>
          <w:b w:val="0"/>
        </w:rPr>
        <w:t>The long-horizon scenario is sensitive to recent slope and chosen pumping/recharge categories.</w:t>
      </w:r>
    </w:p>
    <w:p>
      <w:pPr>
        <w:pStyle w:val="ListBullet"/>
      </w:pPr>
      <w:r>
        <w:rPr>
          <w:b w:val="0"/>
        </w:rPr>
        <w:t>Clipping at 0 and 500 m can make interval widths appear asymmetric and can conceal extrapolation beyond the display range.</w:t>
      </w:r>
    </w:p>
    <w:p>
      <w:pPr>
        <w:pStyle w:val="Heading1"/>
        <w:pageBreakBefore w:val="0"/>
      </w:pPr>
      <w:r>
        <w:rPr>
          <w:b/>
        </w:rPr>
        <w:t>24. Final conclusion</w:t>
      </w:r>
    </w:p>
    <w:p>
      <w:r>
        <w:rPr>
          <w:b w:val="0"/>
        </w:rPr>
        <w:t>The supplied files are sufficient to demonstrate a coherent modeling pipeline. Session-level discharge and power can be linked exactly to start/stop water-level observations. Robust partial pooling yields measurable short-horizon predictive signal and modestly improves on well-history baselines. A separate stability layer summarizes recent daily movement. The public site makes those summaries interactive and exposes the large uncertainty that follows from sparse evidence.</w:t>
      </w:r>
    </w:p>
    <w:p>
      <w:r>
        <w:rPr>
          <w:b w:val="0"/>
        </w:rPr>
        <w:t>The current evidence does not support precise six-month, one-year, or five-year predictions. Public rainfall alone did not solve that limitation. The next phase should focus first on field definitions, sensor validity, well geometry, static recovery measurements, spatial context, and at least one complete seasonal cycle. Once those inputs exist, the proof-of-concept components can become parts of a validated state and transition model rather than a long-horizon scenario display.</w:t>
      </w:r>
    </w:p>
    <w:p>
      <w:pPr>
        <w:pStyle w:val="Heading1"/>
        <w:pageBreakBefore/>
      </w:pPr>
      <w:r>
        <w:rPr>
          <w:b/>
        </w:rPr>
        <w:t>25. Synthetic system and Page 2: the 450-well driver model</w:t>
      </w:r>
    </w:p>
    <w:p>
      <w:pPr>
        <w:pStyle w:val="Heading2"/>
        <w:pageBreakBefore w:val="0"/>
      </w:pPr>
      <w:r>
        <w:rPr>
          <w:b/>
        </w:rPr>
        <w:t>25.1 Sources, targets and generating equation</w:t>
      </w:r>
    </w:p>
    <w:p>
      <w:r>
        <w:rPr>
          <w:b w:val="0"/>
        </w:rPr>
        <w:t xml:space="preserve">The workbook </w:t>
      </w:r>
      <w:r>
        <w:rPr>
          <w:rFonts w:ascii="Aptos Mono" w:hAnsi="Aptos Mono"/>
          <w:color w:val="174554"/>
          <w:sz w:val="18"/>
        </w:rPr>
        <w:t>Bengaluru_Borewell_Synthetic_Test_Data_450_Wells.xlsx</w:t>
      </w:r>
      <w:r>
        <w:rPr>
          <w:b w:val="0"/>
        </w:rPr>
        <w:t xml:space="preserve"> contains setup, metadata, common daily drivers, panels, sessions and test cases. The full daily truth and full 180-day sessions companion CSVs cover SYN001–SYN450 on 1 January–29 June 2026. There are 81,000 well-days. Eight scenarios represent stable control, gradual decline, pumping, recharge, mixed response, neighbour interference, sensor drift and structural change.</w:t>
      </w:r>
    </w:p>
    <w:p>
      <w:r>
        <w:rPr>
          <w:b w:val="0"/>
        </w:rPr>
        <w:t>The physical generator identity is additive:</w:t>
      </w:r>
    </w:p>
    <w:p>
      <w:pPr>
        <w:pStyle w:val="EquationDisplay"/>
      </w:pPr>
      <w:r>
        <w:drawing>
          <wp:inline xmlns:a="http://schemas.openxmlformats.org/drawingml/2006/main" xmlns:pic="http://schemas.openxmlformats.org/drawingml/2006/picture">
            <wp:extent cx="2730182" cy="177779"/>
            <wp:docPr id="83" name="Picture 83" descr="\Delta h^{true}_{i,t}=T_{i,t}+P_{i,t}-R_{i,t}+N_{i,t}+S_{i,t}+\epsilon_{i,t}."/>
            <wp:cNvGraphicFramePr>
              <a:graphicFrameLocks noChangeAspect="1"/>
            </wp:cNvGraphicFramePr>
            <a:graphic>
              <a:graphicData uri="http://schemas.openxmlformats.org/drawingml/2006/picture">
                <pic:pic>
                  <pic:nvPicPr>
                    <pic:cNvPr id="0" name="b0c3d02c30651aa1.png"/>
                    <pic:cNvPicPr/>
                  </pic:nvPicPr>
                  <pic:blipFill>
                    <a:blip r:embed="rId99"/>
                    <a:stretch>
                      <a:fillRect/>
                    </a:stretch>
                  </pic:blipFill>
                  <pic:spPr>
                    <a:xfrm>
                      <a:off x="0" y="0"/>
                      <a:ext cx="2730182" cy="177779"/>
                    </a:xfrm>
                    <a:prstGeom prst="rect"/>
                  </pic:spPr>
                </pic:pic>
              </a:graphicData>
            </a:graphic>
          </wp:inline>
        </w:drawing>
      </w:r>
    </w:p>
    <w:p>
      <w:r>
        <w:rPr>
          <w:b w:val="0"/>
        </w:rPr>
        <w:t>Here T is background trend, P pumping storage, R recharge magnitude, N neighbour effects, S structural change and epsilon process noise. Observed static level adds sensor bias and measurement noise. The offline builder verifies the component identity to 0.00011 m. These hidden components and the hidden recharge delay are never predictors. The workbook's metadata is read and all 450 identities matched against the companion files.</w:t>
      </w:r>
    </w:p>
    <w:p>
      <w:r>
        <w:rPr>
          <w:b w:val="0"/>
        </w:rPr>
        <w:t xml:space="preserve">The generator's </w:t>
      </w:r>
      <w:r>
        <w:rPr>
          <w:rFonts w:ascii="Aptos Mono" w:hAnsi="Aptos Mono"/>
          <w:color w:val="174554"/>
          <w:sz w:val="18"/>
        </w:rPr>
        <w:t>effective_recharge_rain_mm</w:t>
      </w:r>
      <w:r>
        <w:rPr>
          <w:b w:val="0"/>
        </w:rPr>
        <w:t xml:space="preserve"> is delayed rain. In the supplied generator, imperviousness modifies the recharge coefficient rather than this delayed column. The revised fitted model independently transforms raw rain by the impervious fraction; its learned coefficient accounts for this scale difference. It does not read the hidden effective-rain column or hidden recharge delay.</w:t>
      </w:r>
    </w:p>
    <w:p>
      <w:pPr>
        <w:pStyle w:val="Heading2"/>
        <w:pageBreakBefore w:val="0"/>
      </w:pPr>
      <w:r>
        <w:rPr>
          <w:b/>
        </w:rPr>
        <w:t>25.2 Raw rainfall transform and delay selection</w:t>
      </w:r>
    </w:p>
    <w:p>
      <w:r>
        <w:rPr>
          <w:b w:val="0"/>
        </w:rPr>
        <w:t>The candidate delay set is (0, 1, 3, 7, 14, 21, 30, 45) days. It includes longer delays because the generator spans up to 45 days. A normalized causal kernel spans lags 0–60:</w:t>
      </w:r>
    </w:p>
    <w:p>
      <w:pPr>
        <w:pStyle w:val="EquationDisplay"/>
      </w:pPr>
      <w:r>
        <w:drawing>
          <wp:inline xmlns:a="http://schemas.openxmlformats.org/drawingml/2006/main" xmlns:pic="http://schemas.openxmlformats.org/drawingml/2006/picture">
            <wp:extent cx="1167828" cy="143440"/>
            <wp:docPr id="84" name="Picture 84" descr="\tau_D=\max(2,D/2)."/>
            <wp:cNvGraphicFramePr>
              <a:graphicFrameLocks noChangeAspect="1"/>
            </wp:cNvGraphicFramePr>
            <a:graphic>
              <a:graphicData uri="http://schemas.openxmlformats.org/drawingml/2006/picture">
                <pic:pic>
                  <pic:nvPicPr>
                    <pic:cNvPr id="0" name="b03d036c1b24e8ea.png"/>
                    <pic:cNvPicPr/>
                  </pic:nvPicPr>
                  <pic:blipFill>
                    <a:blip r:embed="rId100"/>
                    <a:stretch>
                      <a:fillRect/>
                    </a:stretch>
                  </pic:blipFill>
                  <pic:spPr>
                    <a:xfrm>
                      <a:off x="0" y="0"/>
                      <a:ext cx="1167828" cy="143440"/>
                    </a:xfrm>
                    <a:prstGeom prst="rect"/>
                  </pic:spPr>
                </pic:pic>
              </a:graphicData>
            </a:graphic>
          </wp:inline>
        </w:drawing>
      </w:r>
    </w:p>
    <w:p>
      <w:pPr>
        <w:pStyle w:val="EquationDisplay"/>
      </w:pPr>
      <w:r>
        <w:drawing>
          <wp:inline xmlns:a="http://schemas.openxmlformats.org/drawingml/2006/main" xmlns:pic="http://schemas.openxmlformats.org/drawingml/2006/picture">
            <wp:extent cx="2706751" cy="401376"/>
            <wp:docPr id="85" name="Picture 85" descr="k_D(l)=\frac{\mathbf{1}(l\ge D)\exp(-(l-D)/\tau_D)}{\sum_{j=0}^{60}\mathbf{1}(j\ge D)\exp(-(j-D)/\tau_D)}."/>
            <wp:cNvGraphicFramePr>
              <a:graphicFrameLocks noChangeAspect="1"/>
            </wp:cNvGraphicFramePr>
            <a:graphic>
              <a:graphicData uri="http://schemas.openxmlformats.org/drawingml/2006/picture">
                <pic:pic>
                  <pic:nvPicPr>
                    <pic:cNvPr id="0" name="bff36853cc56648f.png"/>
                    <pic:cNvPicPr/>
                  </pic:nvPicPr>
                  <pic:blipFill>
                    <a:blip r:embed="rId101"/>
                    <a:stretch>
                      <a:fillRect/>
                    </a:stretch>
                  </pic:blipFill>
                  <pic:spPr>
                    <a:xfrm>
                      <a:off x="0" y="0"/>
                      <a:ext cx="2706751" cy="401376"/>
                    </a:xfrm>
                    <a:prstGeom prst="rect"/>
                  </pic:spPr>
                </pic:pic>
              </a:graphicData>
            </a:graphic>
          </wp:inline>
        </w:drawing>
      </w:r>
    </w:p>
    <w:p>
      <w:pPr>
        <w:pStyle w:val="EquationDisplay"/>
      </w:pPr>
      <w:r>
        <w:drawing>
          <wp:inline xmlns:a="http://schemas.openxmlformats.org/drawingml/2006/main" xmlns:pic="http://schemas.openxmlformats.org/drawingml/2006/picture">
            <wp:extent cx="1688591" cy="429131"/>
            <wp:docPr id="86" name="Picture 86" descr="r^D_{i,t}=(1-I_i)\sum_{l=0}^{60} k_D(l)p_{t-l}."/>
            <wp:cNvGraphicFramePr>
              <a:graphicFrameLocks noChangeAspect="1"/>
            </wp:cNvGraphicFramePr>
            <a:graphic>
              <a:graphicData uri="http://schemas.openxmlformats.org/drawingml/2006/picture">
                <pic:pic>
                  <pic:nvPicPr>
                    <pic:cNvPr id="0" name="8fa6400a4eda9edd.png"/>
                    <pic:cNvPicPr/>
                  </pic:nvPicPr>
                  <pic:blipFill>
                    <a:blip r:embed="rId102"/>
                    <a:stretch>
                      <a:fillRect/>
                    </a:stretch>
                  </pic:blipFill>
                  <pic:spPr>
                    <a:xfrm>
                      <a:off x="0" y="0"/>
                      <a:ext cx="1688591" cy="429131"/>
                    </a:xfrm>
                    <a:prstGeom prst="rect"/>
                  </pic:spPr>
                </pic:pic>
              </a:graphicData>
            </a:graphic>
          </wp:inline>
        </w:drawing>
      </w:r>
    </w:p>
    <w:p>
      <w:r>
        <w:rPr>
          <w:b w:val="0"/>
        </w:rPr>
        <w:t>I is impervious fraction and p raw daily rainfall. Missing pre-series rainfall is zero. Current-day rain is allowed when D=0: it is an actual supplied daily input in the conditional test, not a prediction of future rain. For every candidate, fit on days 1–120, roll predictions through 121–150 with their actual drivers, and select each well's kernel by MAE against observed static levels. No hidden true level is used to select the delay. Final pooled and per-well fits use days 1–150 only.</w:t>
      </w:r>
    </w:p>
    <w:p>
      <w:pPr>
        <w:pStyle w:val="Heading2"/>
        <w:pageBreakBefore w:val="0"/>
      </w:pPr>
      <w:r>
        <w:rPr>
          <w:b/>
        </w:rPr>
        <w:t>25.3 M3 master prediction equation</w:t>
      </w:r>
    </w:p>
    <w:p>
      <w:r>
        <w:rPr>
          <w:b w:val="0"/>
        </w:rPr>
        <w:t>This is the deployable daily-change equation for M3, distinct from the conceptual Section 19.2 equation and from the Section 12 M1 scenario formula:</w:t>
      </w:r>
    </w:p>
    <w:p>
      <w:pPr>
        <w:pStyle w:val="EquationDisplay"/>
      </w:pPr>
      <w:r>
        <w:drawing>
          <wp:inline xmlns:a="http://schemas.openxmlformats.org/drawingml/2006/main" xmlns:pic="http://schemas.openxmlformats.org/drawingml/2006/picture">
            <wp:extent cx="3649853" cy="208272"/>
            <wp:docPr id="87" name="Picture 87" descr="x_{i,t}=[1,\Delta\hat h_{i,t-1},(V_{i,t}-c_i)/s_i,r^D_{i,t}/q_i,(1-U_t)/0.2,Q_t-1]."/>
            <wp:cNvGraphicFramePr>
              <a:graphicFrameLocks noChangeAspect="1"/>
            </wp:cNvGraphicFramePr>
            <a:graphic>
              <a:graphicData uri="http://schemas.openxmlformats.org/drawingml/2006/picture">
                <pic:pic>
                  <pic:nvPicPr>
                    <pic:cNvPr id="0" name="69b2aa9fdf1f21ff.png"/>
                    <pic:cNvPicPr/>
                  </pic:nvPicPr>
                  <pic:blipFill>
                    <a:blip r:embed="rId103"/>
                    <a:stretch>
                      <a:fillRect/>
                    </a:stretch>
                  </pic:blipFill>
                  <pic:spPr>
                    <a:xfrm>
                      <a:off x="0" y="0"/>
                      <a:ext cx="3649853" cy="208272"/>
                    </a:xfrm>
                    <a:prstGeom prst="rect"/>
                  </pic:spPr>
                </pic:pic>
              </a:graphicData>
            </a:graphic>
          </wp:inline>
        </w:drawing>
      </w:r>
    </w:p>
    <w:p>
      <w:pPr>
        <w:pStyle w:val="EquationDisplay"/>
      </w:pPr>
      <w:r>
        <w:drawing>
          <wp:inline xmlns:a="http://schemas.openxmlformats.org/drawingml/2006/main" xmlns:pic="http://schemas.openxmlformats.org/drawingml/2006/picture">
            <wp:extent cx="1813559" cy="208279"/>
            <wp:docPr id="88" name="Picture 88" descr="\Delta\hat h_{i,t}=clip(x_{i,t}^{T}\beta_i,-0.8,0.8)."/>
            <wp:cNvGraphicFramePr>
              <a:graphicFrameLocks noChangeAspect="1"/>
            </wp:cNvGraphicFramePr>
            <a:graphic>
              <a:graphicData uri="http://schemas.openxmlformats.org/drawingml/2006/picture">
                <pic:pic>
                  <pic:nvPicPr>
                    <pic:cNvPr id="0" name="15a805179c5df496.png"/>
                    <pic:cNvPicPr/>
                  </pic:nvPicPr>
                  <pic:blipFill>
                    <a:blip r:embed="rId104"/>
                    <a:stretch>
                      <a:fillRect/>
                    </a:stretch>
                  </pic:blipFill>
                  <pic:spPr>
                    <a:xfrm>
                      <a:off x="0" y="0"/>
                      <a:ext cx="1813559" cy="208279"/>
                    </a:xfrm>
                    <a:prstGeom prst="rect"/>
                  </pic:spPr>
                </pic:pic>
              </a:graphicData>
            </a:graphic>
          </wp:inline>
        </w:drawing>
      </w:r>
    </w:p>
    <w:p>
      <w:pPr>
        <w:pStyle w:val="EquationDisplay"/>
      </w:pPr>
      <w:r>
        <w:drawing>
          <wp:inline xmlns:a="http://schemas.openxmlformats.org/drawingml/2006/main" xmlns:pic="http://schemas.openxmlformats.org/drawingml/2006/picture">
            <wp:extent cx="1240536" cy="194270"/>
            <wp:docPr id="89" name="Picture 89" descr="\hat h_{i,t}=\hat h_{i,t-1}+\Delta\hat h_{i,t}."/>
            <wp:cNvGraphicFramePr>
              <a:graphicFrameLocks noChangeAspect="1"/>
            </wp:cNvGraphicFramePr>
            <a:graphic>
              <a:graphicData uri="http://schemas.openxmlformats.org/drawingml/2006/picture">
                <pic:pic>
                  <pic:nvPicPr>
                    <pic:cNvPr id="0" name="82a13c7cd822984d.png"/>
                    <pic:cNvPicPr/>
                  </pic:nvPicPr>
                  <pic:blipFill>
                    <a:blip r:embed="rId105"/>
                    <a:stretch>
                      <a:fillRect/>
                    </a:stretch>
                  </pic:blipFill>
                  <pic:spPr>
                    <a:xfrm>
                      <a:off x="0" y="0"/>
                      <a:ext cx="1240536" cy="194270"/>
                    </a:xfrm>
                    <a:prstGeom prst="rect"/>
                  </pic:spPr>
                </pic:pic>
              </a:graphicData>
            </a:graphic>
          </wp:inline>
        </w:drawing>
      </w:r>
    </w:p>
    <w:p>
      <w:r>
        <w:rPr>
          <w:b w:val="0"/>
        </w:rPr>
        <w:t>V is daily volume in cubic metres, c the training median, s=max(training volume SD,1), q=max(training transformed-rain SD,1), U municipal supply index, and Q demand index. Training features use the preceding observed daily change; rolled paths use the preceding predicted change. Responses are observed daily static changes. Training starts on day 3.</w:t>
      </w:r>
    </w:p>
    <w:p>
      <w:pPr>
        <w:pStyle w:val="Heading2"/>
        <w:pageBreakBefore w:val="0"/>
      </w:pPr>
      <w:r>
        <w:rPr>
          <w:b/>
        </w:rPr>
        <w:t>25.4 Fit, shrinkage and sign constraints</w:t>
      </w:r>
    </w:p>
    <w:p>
      <w:r>
        <w:rPr>
          <w:b w:val="0"/>
        </w:rPr>
        <w:t>The pooled fleet fit uses ridge strength 1; a well fit uses strength 18 and shrinks toward that fleet coefficient vector. The intercept penalty is one quarter of the other penalties. The objective is:</w:t>
      </w:r>
    </w:p>
    <w:p>
      <w:pPr>
        <w:pStyle w:val="EquationDisplay"/>
      </w:pPr>
      <w:r>
        <w:drawing>
          <wp:inline xmlns:a="http://schemas.openxmlformats.org/drawingml/2006/main" xmlns:pic="http://schemas.openxmlformats.org/drawingml/2006/picture">
            <wp:extent cx="2777426" cy="257804"/>
            <wp:docPr id="90" name="Picture 90" descr="\min_{\beta_i}\|y_i-X_i\beta_i\|^2+18(\beta_i-\beta_F)^T A(\beta_i-\beta_F)."/>
            <wp:cNvGraphicFramePr>
              <a:graphicFrameLocks noChangeAspect="1"/>
            </wp:cNvGraphicFramePr>
            <a:graphic>
              <a:graphicData uri="http://schemas.openxmlformats.org/drawingml/2006/picture">
                <pic:pic>
                  <pic:nvPicPr>
                    <pic:cNvPr id="0" name="75ecf22f63960b89.png"/>
                    <pic:cNvPicPr/>
                  </pic:nvPicPr>
                  <pic:blipFill>
                    <a:blip r:embed="rId106"/>
                    <a:stretch>
                      <a:fillRect/>
                    </a:stretch>
                  </pic:blipFill>
                  <pic:spPr>
                    <a:xfrm>
                      <a:off x="0" y="0"/>
                      <a:ext cx="2777426" cy="257804"/>
                    </a:xfrm>
                    <a:prstGeom prst="rect"/>
                  </pic:spPr>
                </pic:pic>
              </a:graphicData>
            </a:graphic>
          </wp:inline>
        </w:drawing>
      </w:r>
    </w:p>
    <w:p>
      <w:r>
        <w:rPr>
          <w:b w:val="0"/>
        </w:rPr>
        <w:t>A is diag(0.25,1,1,1,1,1). The autoregressive coefficient is constrained to [0,0.98]; pumping, supply-shortfall and demand coefficients are nonnegative; rain is nonpositive; the intercept is free. A convex coordinate-descent solve updates each coefficient using the normal equations until change is below 1e-10 or 500 sweeps. Coefficients are exported to nine decimals.</w:t>
      </w:r>
    </w:p>
    <w:p>
      <w:r>
        <w:rPr>
          <w:b w:val="0"/>
        </w:rPr>
        <w:t>The autoregressive and driver constraints make higher pumping and drier rainfall produce equal or deeper forecasts for every simulated well. Equality occurs when a coefficient is zero or a display bound is reached. Holdout predictions are not clipped to construction depth, allowing errors to be measured. Forward display paths are clipped to [0, construction depth minus 1]. Reaching the bound indicates saturation of this display convention, not physical stability or sustainable yield.</w:t>
      </w:r>
    </w:p>
    <w:p>
      <w:pPr>
        <w:pStyle w:val="Heading2"/>
        <w:pageBreakBefore w:val="0"/>
      </w:pPr>
      <w:r>
        <w:rPr>
          <w:b/>
        </w:rPr>
        <w:t>25.5 Shared browser features and future calendar</w:t>
      </w:r>
    </w:p>
    <w:p>
      <w:r>
        <w:rPr>
          <w:rFonts w:ascii="Aptos Mono" w:hAnsi="Aptos Mono"/>
          <w:color w:val="174554"/>
          <w:sz w:val="18"/>
        </w:rPr>
        <w:t>meta.feature_spec</w:t>
      </w:r>
      <w:r>
        <w:rPr>
          <w:b w:val="0"/>
        </w:rPr>
        <w:t xml:space="preserve"> defines the kernel length, coefficient order, normalizations and daily-change bound. The offline builder and </w:t>
      </w:r>
      <w:r>
        <w:rPr>
          <w:rFonts w:ascii="Aptos Mono" w:hAnsi="Aptos Mono"/>
          <w:color w:val="174554"/>
          <w:sz w:val="18"/>
        </w:rPr>
        <w:t>dist/model-core.js</w:t>
      </w:r>
      <w:r>
        <w:rPr>
          <w:b w:val="0"/>
        </w:rPr>
        <w:t xml:space="preserve"> interpret this specification. A checked fixture compares 5 wells times 10 days between Python and JavaScript to 1e-6. Pages 2 and 4 use the same M3 arrays or shared forward equations.</w:t>
      </w:r>
    </w:p>
    <w:p>
      <w:r>
        <w:rPr>
          <w:b w:val="0"/>
        </w:rPr>
        <w:t>Future rain, supply and demand are selected by each forecast date's month/day from a 365-day synthetic typical calendar. Jan–29 June retains the supplied drivers. The remaining year is generated with seed 20260926, wetter monsoon months, gamma-distributed storm sizes consistent with the supplied first half, the same temperature/supply/demand form and capped rainfall of 65 mm/day. Leap day uses 28 February. This is a synthetic seasonal assumption, not NASA observations or a weather forecast.</w:t>
      </w:r>
    </w:p>
    <w:p>
      <w:r>
        <w:rPr>
          <w:b w:val="0"/>
        </w:rPr>
        <w:t>Future volume uses the mean of training volume times a weekly rhythm [1+0.08 sin(2 pi d/7)] and pumping factors 0.75, 1, 1.25. Rain factors are 0.6, 1, 1.4 for dry, typical, wet. The rainfall convolution retains the actual preceding 180 days of rain before extending the calendar. M3 forward paths retain days 1–150 coefficients and start from the latest observed day 180 level. The arbitrary 1/(1+d/365) attenuation from the old Page 2 has been removed: training, holdout and forecasting now use the same daily-change equation.</w:t>
      </w:r>
    </w:p>
    <w:p>
      <w:pPr>
        <w:pStyle w:val="Heading1"/>
        <w:pageBreakBefore w:val="0"/>
      </w:pPr>
      <w:r>
        <w:rPr>
          <w:b/>
        </w:rPr>
        <w:t>26. Page 3: conditional validation and interval calibration</w:t>
      </w:r>
    </w:p>
    <w:p>
      <w:pPr>
        <w:pStyle w:val="Heading2"/>
        <w:pageBreakBefore w:val="0"/>
      </w:pPr>
      <w:r>
        <w:rPr>
          <w:b/>
        </w:rPr>
        <w:t>26.1 Split and information boundaries</w:t>
      </w:r>
    </w:p>
    <w:p>
      <w:r>
        <w:rPr>
          <w:b w:val="0"/>
        </w:rPr>
        <w:t>Inner training is days 1–120 (1 Jan–30 April). Inner validation is 121–150 (1–30 May). Final training is 1–150; untouched scoring is 151–180 (31 May–29 June). Delay selection uses observed inner levels. Interval calibration uses known synthetic true levels only in the inner window. Final true levels are used only to calculate final test metrics.</w:t>
      </w:r>
    </w:p>
    <w:p>
      <w:r>
        <w:rPr>
          <w:b w:val="0"/>
        </w:rPr>
        <w:t>The model receives actual future volume, raw rain, supply and demand throughout the test. Thus this measures static-level response conditional on known inputs. It does not validate a joint forecast of weather, supply, demand and levels, and does not establish real Bengaluru accuracy.</w:t>
      </w:r>
    </w:p>
    <w:p>
      <w:pPr>
        <w:pStyle w:val="Heading2"/>
        <w:pageBreakBefore w:val="0"/>
      </w:pPr>
      <w:r>
        <w:rPr>
          <w:b/>
        </w:rPr>
        <w:t>26.2 Interval equation</w:t>
      </w:r>
    </w:p>
    <w:p>
      <w:r>
        <w:rPr>
          <w:b w:val="0"/>
        </w:rPr>
        <w:t>Training residual sigma is the root mean squared daily-change residual with minimum 0.08 m/day. Define the original half-width at lead h:</w:t>
      </w:r>
    </w:p>
    <w:p>
      <w:pPr>
        <w:pStyle w:val="EquationDisplay"/>
      </w:pPr>
      <w:r>
        <w:drawing>
          <wp:inline xmlns:a="http://schemas.openxmlformats.org/drawingml/2006/main" xmlns:pic="http://schemas.openxmlformats.org/drawingml/2006/picture">
            <wp:extent cx="2759710" cy="181610"/>
            <wp:docPr id="91" name="Picture 91" descr="b_i(h)=1.282\max(1.35\sigma_i\sqrt h,0.35+0.035h)."/>
            <wp:cNvGraphicFramePr>
              <a:graphicFrameLocks noChangeAspect="1"/>
            </wp:cNvGraphicFramePr>
            <a:graphic>
              <a:graphicData uri="http://schemas.openxmlformats.org/drawingml/2006/picture">
                <pic:pic>
                  <pic:nvPicPr>
                    <pic:cNvPr id="0" name="e3e3d36f3b9577dc.png"/>
                    <pic:cNvPicPr/>
                  </pic:nvPicPr>
                  <pic:blipFill>
                    <a:blip r:embed="rId107"/>
                    <a:stretch>
                      <a:fillRect/>
                    </a:stretch>
                  </pic:blipFill>
                  <pic:spPr>
                    <a:xfrm>
                      <a:off x="0" y="0"/>
                      <a:ext cx="2759710" cy="181610"/>
                    </a:xfrm>
                    <a:prstGeom prst="rect"/>
                  </pic:spPr>
                </pic:pic>
              </a:graphicData>
            </a:graphic>
          </wp:inline>
        </w:drawing>
      </w:r>
    </w:p>
    <w:p>
      <w:r>
        <w:rPr>
          <w:b w:val="0"/>
        </w:rPr>
        <w:t>Compute ratios |inner prediction minus inner true level| / b_i(h) across 450 wells and 30 inner days. Their 80th percentile is multiplier a. Apply this fixed a to final holdout widths; never tune it on final truth. Future widths use:</w:t>
      </w:r>
    </w:p>
    <w:p>
      <w:pPr>
        <w:pStyle w:val="EquationDisplay"/>
      </w:pPr>
      <w:r>
        <w:drawing>
          <wp:inline xmlns:a="http://schemas.openxmlformats.org/drawingml/2006/main" xmlns:pic="http://schemas.openxmlformats.org/drawingml/2006/picture">
            <wp:extent cx="2569273" cy="266707"/>
            <wp:docPr id="92" name="Picture 92" descr="w_i(h)=a\,b_i(\min(h,30))\sqrt{\max(h,30)/30}."/>
            <wp:cNvGraphicFramePr>
              <a:graphicFrameLocks noChangeAspect="1"/>
            </wp:cNvGraphicFramePr>
            <a:graphic>
              <a:graphicData uri="http://schemas.openxmlformats.org/drawingml/2006/picture">
                <pic:pic>
                  <pic:nvPicPr>
                    <pic:cNvPr id="0" name="cc970d2528131999.png"/>
                    <pic:cNvPicPr/>
                  </pic:nvPicPr>
                  <pic:blipFill>
                    <a:blip r:embed="rId108"/>
                    <a:stretch>
                      <a:fillRect/>
                    </a:stretch>
                  </pic:blipFill>
                  <pic:spPr>
                    <a:xfrm>
                      <a:off x="0" y="0"/>
                      <a:ext cx="2569273" cy="266707"/>
                    </a:xfrm>
                    <a:prstGeom prst="rect"/>
                  </pic:spPr>
                </pic:pic>
              </a:graphicData>
            </a:graphic>
          </wp:inline>
        </w:drawing>
      </w:r>
    </w:p>
    <w:p>
      <w:r>
        <w:rPr>
          <w:b w:val="0"/>
        </w:rPr>
        <w:t>The square-root extension after day 30 is extrapolated and has no measured long-horizon coverage. Selecting a nominal 95% range replaces 1.282 with 1.96; this rescaling is not independently calibrated to 95%. Forward intervals are clipped at physical display bounds; holdout intervals remain unclipped.</w:t>
      </w:r>
    </w:p>
    <w:p>
      <w:r>
        <w:rPr>
          <w:b w:val="0"/>
        </w:rPr>
        <w:t xml:space="preserve">The fitted multiplier is </w:t>
      </w:r>
      <w:r>
        <w:rPr>
          <w:b/>
        </w:rPr>
        <w:t>0.228571897</w:t>
      </w:r>
      <w:r>
        <w:rPr>
          <w:b w:val="0"/>
        </w:rPr>
        <w:t xml:space="preserve">. Inner coverage is 80.0%. Final coverage is </w:t>
      </w:r>
      <w:r>
        <w:rPr>
          <w:b/>
        </w:rPr>
        <w:t>63.007%</w:t>
      </w:r>
      <w:r>
        <w:rPr>
          <w:b w:val="0"/>
        </w:rPr>
        <w:t xml:space="preserve"> including drift and </w:t>
      </w:r>
      <w:r>
        <w:rPr>
          <w:b/>
        </w:rPr>
        <w:t>66.714%</w:t>
      </w:r>
      <w:r>
        <w:rPr>
          <w:b w:val="0"/>
        </w:rPr>
        <w:t xml:space="preserve"> without drift, with a mean half-width of </w:t>
      </w:r>
      <w:r>
        <w:rPr>
          <w:b/>
        </w:rPr>
        <w:t>0.327 m</w:t>
      </w:r>
      <w:r>
        <w:rPr>
          <w:b w:val="0"/>
        </w:rPr>
        <w:t>. Calibration did not transfer to the later rainfall regime. The interface explicitly reports this undercoverage; neither range is an achieved coverage guarantee.</w:t>
      </w:r>
    </w:p>
    <w:p>
      <w:pPr>
        <w:pStyle w:val="Heading2"/>
        <w:pageBreakBefore w:val="0"/>
      </w:pPr>
      <w:r>
        <w:rPr>
          <w:b/>
        </w:rPr>
        <w:t>26.3 Final scenario results</w:t>
      </w:r>
    </w:p>
    <w:tbl>
      <w:tblPr>
        <w:tblStyle w:val="TableGrid"/>
        <w:tblW w:type="auto" w:w="0"/>
        <w:jc w:val="center"/>
        <w:tblLayout w:type="fixed"/>
        <w:tblLook w:firstColumn="1" w:firstRow="1" w:lastColumn="0" w:lastRow="0" w:noHBand="0" w:noVBand="1" w:val="04A0"/>
        <w:tblBorders>
          <w:top w:val="single" w:sz="4" w:color="D8E0E5"/>
          <w:left w:val="single" w:sz="4" w:color="D8E0E5"/>
          <w:bottom w:val="single" w:sz="4" w:color="D8E0E5"/>
          <w:right w:val="single" w:sz="4" w:color="D8E0E5"/>
          <w:insideH w:val="single" w:sz="4" w:color="D8E0E5"/>
          <w:insideV w:val="single" w:sz="4" w:color="D8E0E5"/>
        </w:tblBorders>
      </w:tblPr>
      <w:tblGrid>
        <w:gridCol w:w="2018"/>
        <w:gridCol w:w="2018"/>
        <w:gridCol w:w="2018"/>
        <w:gridCol w:w="2018"/>
        <w:gridCol w:w="2018"/>
      </w:tblGrid>
      <w:tr>
        <w:trPr>
          <w:cantSplit/>
          <w:tblHeader w:val="true"/>
        </w:trPr>
        <w:tc>
          <w:tcPr>
            <w:tcW w:type="dxa" w:w="2000"/>
            <w:vAlign w:val="center"/>
            <w:tcMar>
              <w:top w:w="65" w:type="dxa"/>
              <w:start w:w="100" w:type="dxa"/>
              <w:bottom w:w="65" w:type="dxa"/>
              <w:end w:w="100" w:type="dxa"/>
            </w:tcMar>
            <w:shd w:fill="17324D"/>
          </w:tcPr>
          <w:p>
            <w:pPr>
              <w:spacing w:after="0" w:line="240" w:lineRule="auto"/>
            </w:pPr>
            <w:r>
              <w:rPr>
                <w:b/>
                <w:color w:val="FFFFFF"/>
                <w:sz w:val="16"/>
              </w:rPr>
              <w:t>Scenario</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Wells</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MAE m</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Bias m</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Coverage %</w:t>
            </w:r>
          </w:p>
        </w:tc>
      </w:tr>
      <w:tr>
        <w:trPr>
          <w:cantSplit/>
        </w:trPr>
        <w:tc>
          <w:tcPr>
            <w:tcW w:type="dxa" w:w="2000"/>
            <w:vAlign w:val="center"/>
            <w:tcMar>
              <w:top w:w="65" w:type="dxa"/>
              <w:start w:w="100" w:type="dxa"/>
              <w:bottom w:w="65" w:type="dxa"/>
              <w:end w:w="100" w:type="dxa"/>
            </w:tcMar>
          </w:tcPr>
          <w:p>
            <w:pPr>
              <w:spacing w:after="0" w:line="240" w:lineRule="auto"/>
            </w:pPr>
            <w:r>
              <w:rPr>
                <w:b w:val="0"/>
                <w:color w:val="222B32"/>
                <w:sz w:val="16"/>
              </w:rPr>
              <w:t>gradual decline</w:t>
            </w:r>
          </w:p>
        </w:tc>
        <w:tc>
          <w:tcPr>
            <w:tcW w:type="dxa" w:w="2000"/>
            <w:vAlign w:val="center"/>
            <w:tcMar>
              <w:top w:w="65" w:type="dxa"/>
              <w:start w:w="100" w:type="dxa"/>
              <w:bottom w:w="65" w:type="dxa"/>
              <w:end w:w="100" w:type="dxa"/>
            </w:tcMar>
          </w:tcPr>
          <w:p>
            <w:pPr>
              <w:spacing w:after="0" w:line="240" w:lineRule="auto"/>
            </w:pPr>
            <w:r>
              <w:rPr>
                <w:b w:val="0"/>
                <w:color w:val="222B32"/>
                <w:sz w:val="16"/>
              </w:rPr>
              <w:t>75</w:t>
            </w:r>
          </w:p>
        </w:tc>
        <w:tc>
          <w:tcPr>
            <w:tcW w:type="dxa" w:w="2000"/>
            <w:vAlign w:val="center"/>
            <w:tcMar>
              <w:top w:w="65" w:type="dxa"/>
              <w:start w:w="100" w:type="dxa"/>
              <w:bottom w:w="65" w:type="dxa"/>
              <w:end w:w="100" w:type="dxa"/>
            </w:tcMar>
          </w:tcPr>
          <w:p>
            <w:pPr>
              <w:spacing w:after="0" w:line="240" w:lineRule="auto"/>
            </w:pPr>
            <w:r>
              <w:rPr>
                <w:b w:val="0"/>
                <w:color w:val="222B32"/>
                <w:sz w:val="16"/>
              </w:rPr>
              <w:t>0.230</w:t>
            </w:r>
          </w:p>
        </w:tc>
        <w:tc>
          <w:tcPr>
            <w:tcW w:type="dxa" w:w="2000"/>
            <w:vAlign w:val="center"/>
            <w:tcMar>
              <w:top w:w="65" w:type="dxa"/>
              <w:start w:w="100" w:type="dxa"/>
              <w:bottom w:w="65" w:type="dxa"/>
              <w:end w:w="100" w:type="dxa"/>
            </w:tcMar>
          </w:tcPr>
          <w:p>
            <w:pPr>
              <w:spacing w:after="0" w:line="240" w:lineRule="auto"/>
            </w:pPr>
            <w:r>
              <w:rPr>
                <w:b w:val="0"/>
                <w:color w:val="222B32"/>
                <w:sz w:val="16"/>
              </w:rPr>
              <w:t>0.100</w:t>
            </w:r>
          </w:p>
        </w:tc>
        <w:tc>
          <w:tcPr>
            <w:tcW w:type="dxa" w:w="2000"/>
            <w:vAlign w:val="center"/>
            <w:tcMar>
              <w:top w:w="65" w:type="dxa"/>
              <w:start w:w="100" w:type="dxa"/>
              <w:bottom w:w="65" w:type="dxa"/>
              <w:end w:w="100" w:type="dxa"/>
            </w:tcMar>
          </w:tcPr>
          <w:p>
            <w:pPr>
              <w:spacing w:after="0" w:line="240" w:lineRule="auto"/>
            </w:pPr>
            <w:r>
              <w:rPr>
                <w:b w:val="0"/>
                <w:color w:val="222B32"/>
                <w:sz w:val="16"/>
              </w:rPr>
              <w:t>78.667</w:t>
            </w:r>
          </w:p>
        </w:tc>
      </w:tr>
      <w:tr>
        <w:trPr>
          <w:cantSplit/>
        </w:trPr>
        <w:tc>
          <w:tcPr>
            <w:tcW w:type="dxa" w:w="2000"/>
            <w:vAlign w:val="center"/>
            <w:tcMar>
              <w:top w:w="65" w:type="dxa"/>
              <w:start w:w="100" w:type="dxa"/>
              <w:bottom w:w="65" w:type="dxa"/>
              <w:end w:w="100" w:type="dxa"/>
            </w:tcMar>
            <w:shd w:fill="F4F8FA"/>
          </w:tcPr>
          <w:p>
            <w:pPr>
              <w:spacing w:after="0" w:line="240" w:lineRule="auto"/>
            </w:pPr>
            <w:r>
              <w:rPr>
                <w:b w:val="0"/>
                <w:color w:val="222B32"/>
                <w:sz w:val="16"/>
              </w:rPr>
              <w:t>mixed response</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75</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0.337</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0.084</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58.044</w:t>
            </w:r>
          </w:p>
        </w:tc>
      </w:tr>
      <w:tr>
        <w:trPr>
          <w:cantSplit/>
        </w:trPr>
        <w:tc>
          <w:tcPr>
            <w:tcW w:type="dxa" w:w="2000"/>
            <w:vAlign w:val="center"/>
            <w:tcMar>
              <w:top w:w="65" w:type="dxa"/>
              <w:start w:w="100" w:type="dxa"/>
              <w:bottom w:w="65" w:type="dxa"/>
              <w:end w:w="100" w:type="dxa"/>
            </w:tcMar>
          </w:tcPr>
          <w:p>
            <w:pPr>
              <w:spacing w:after="0" w:line="240" w:lineRule="auto"/>
            </w:pPr>
            <w:r>
              <w:rPr>
                <w:b w:val="0"/>
                <w:color w:val="222B32"/>
                <w:sz w:val="16"/>
              </w:rPr>
              <w:t>neighbor interference</w:t>
            </w:r>
          </w:p>
        </w:tc>
        <w:tc>
          <w:tcPr>
            <w:tcW w:type="dxa" w:w="2000"/>
            <w:vAlign w:val="center"/>
            <w:tcMar>
              <w:top w:w="65" w:type="dxa"/>
              <w:start w:w="100" w:type="dxa"/>
              <w:bottom w:w="65" w:type="dxa"/>
              <w:end w:w="100" w:type="dxa"/>
            </w:tcMar>
          </w:tcPr>
          <w:p>
            <w:pPr>
              <w:spacing w:after="0" w:line="240" w:lineRule="auto"/>
            </w:pPr>
            <w:r>
              <w:rPr>
                <w:b w:val="0"/>
                <w:color w:val="222B32"/>
                <w:sz w:val="16"/>
              </w:rPr>
              <w:t>40</w:t>
            </w:r>
          </w:p>
        </w:tc>
        <w:tc>
          <w:tcPr>
            <w:tcW w:type="dxa" w:w="2000"/>
            <w:vAlign w:val="center"/>
            <w:tcMar>
              <w:top w:w="65" w:type="dxa"/>
              <w:start w:w="100" w:type="dxa"/>
              <w:bottom w:w="65" w:type="dxa"/>
              <w:end w:w="100" w:type="dxa"/>
            </w:tcMar>
          </w:tcPr>
          <w:p>
            <w:pPr>
              <w:spacing w:after="0" w:line="240" w:lineRule="auto"/>
            </w:pPr>
            <w:r>
              <w:rPr>
                <w:b w:val="0"/>
                <w:color w:val="222B32"/>
                <w:sz w:val="16"/>
              </w:rPr>
              <w:t>0.278</w:t>
            </w:r>
          </w:p>
        </w:tc>
        <w:tc>
          <w:tcPr>
            <w:tcW w:type="dxa" w:w="2000"/>
            <w:vAlign w:val="center"/>
            <w:tcMar>
              <w:top w:w="65" w:type="dxa"/>
              <w:start w:w="100" w:type="dxa"/>
              <w:bottom w:w="65" w:type="dxa"/>
              <w:end w:w="100" w:type="dxa"/>
            </w:tcMar>
          </w:tcPr>
          <w:p>
            <w:pPr>
              <w:spacing w:after="0" w:line="240" w:lineRule="auto"/>
            </w:pPr>
            <w:r>
              <w:rPr>
                <w:b w:val="0"/>
                <w:color w:val="222B32"/>
                <w:sz w:val="16"/>
              </w:rPr>
              <w:t>0.116</w:t>
            </w:r>
          </w:p>
        </w:tc>
        <w:tc>
          <w:tcPr>
            <w:tcW w:type="dxa" w:w="2000"/>
            <w:vAlign w:val="center"/>
            <w:tcMar>
              <w:top w:w="65" w:type="dxa"/>
              <w:start w:w="100" w:type="dxa"/>
              <w:bottom w:w="65" w:type="dxa"/>
              <w:end w:w="100" w:type="dxa"/>
            </w:tcMar>
          </w:tcPr>
          <w:p>
            <w:pPr>
              <w:spacing w:after="0" w:line="240" w:lineRule="auto"/>
            </w:pPr>
            <w:r>
              <w:rPr>
                <w:b w:val="0"/>
                <w:color w:val="222B32"/>
                <w:sz w:val="16"/>
              </w:rPr>
              <w:t>63.833</w:t>
            </w:r>
          </w:p>
        </w:tc>
      </w:tr>
      <w:tr>
        <w:trPr>
          <w:cantSplit/>
        </w:trPr>
        <w:tc>
          <w:tcPr>
            <w:tcW w:type="dxa" w:w="2000"/>
            <w:vAlign w:val="center"/>
            <w:tcMar>
              <w:top w:w="65" w:type="dxa"/>
              <w:start w:w="100" w:type="dxa"/>
              <w:bottom w:w="65" w:type="dxa"/>
              <w:end w:w="100" w:type="dxa"/>
            </w:tcMar>
            <w:shd w:fill="F4F8FA"/>
          </w:tcPr>
          <w:p>
            <w:pPr>
              <w:spacing w:after="0" w:line="240" w:lineRule="auto"/>
            </w:pPr>
            <w:r>
              <w:rPr>
                <w:b w:val="0"/>
                <w:color w:val="222B32"/>
                <w:sz w:val="16"/>
              </w:rPr>
              <w:t>pump dominated</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75</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0.213</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0.008</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79.200</w:t>
            </w:r>
          </w:p>
        </w:tc>
      </w:tr>
      <w:tr>
        <w:trPr>
          <w:cantSplit/>
        </w:trPr>
        <w:tc>
          <w:tcPr>
            <w:tcW w:type="dxa" w:w="2000"/>
            <w:vAlign w:val="center"/>
            <w:tcMar>
              <w:top w:w="65" w:type="dxa"/>
              <w:start w:w="100" w:type="dxa"/>
              <w:bottom w:w="65" w:type="dxa"/>
              <w:end w:w="100" w:type="dxa"/>
            </w:tcMar>
          </w:tcPr>
          <w:p>
            <w:pPr>
              <w:spacing w:after="0" w:line="240" w:lineRule="auto"/>
            </w:pPr>
            <w:r>
              <w:rPr>
                <w:b w:val="0"/>
                <w:color w:val="222B32"/>
                <w:sz w:val="16"/>
              </w:rPr>
              <w:t>recharge dominated</w:t>
            </w:r>
          </w:p>
        </w:tc>
        <w:tc>
          <w:tcPr>
            <w:tcW w:type="dxa" w:w="2000"/>
            <w:vAlign w:val="center"/>
            <w:tcMar>
              <w:top w:w="65" w:type="dxa"/>
              <w:start w:w="100" w:type="dxa"/>
              <w:bottom w:w="65" w:type="dxa"/>
              <w:end w:w="100" w:type="dxa"/>
            </w:tcMar>
          </w:tcPr>
          <w:p>
            <w:pPr>
              <w:spacing w:after="0" w:line="240" w:lineRule="auto"/>
            </w:pPr>
            <w:r>
              <w:rPr>
                <w:b w:val="0"/>
                <w:color w:val="222B32"/>
                <w:sz w:val="16"/>
              </w:rPr>
              <w:t>75</w:t>
            </w:r>
          </w:p>
        </w:tc>
        <w:tc>
          <w:tcPr>
            <w:tcW w:type="dxa" w:w="2000"/>
            <w:vAlign w:val="center"/>
            <w:tcMar>
              <w:top w:w="65" w:type="dxa"/>
              <w:start w:w="100" w:type="dxa"/>
              <w:bottom w:w="65" w:type="dxa"/>
              <w:end w:w="100" w:type="dxa"/>
            </w:tcMar>
          </w:tcPr>
          <w:p>
            <w:pPr>
              <w:spacing w:after="0" w:line="240" w:lineRule="auto"/>
            </w:pPr>
            <w:r>
              <w:rPr>
                <w:b w:val="0"/>
                <w:color w:val="222B32"/>
                <w:sz w:val="16"/>
              </w:rPr>
              <w:t>0.365</w:t>
            </w:r>
          </w:p>
        </w:tc>
        <w:tc>
          <w:tcPr>
            <w:tcW w:type="dxa" w:w="2000"/>
            <w:vAlign w:val="center"/>
            <w:tcMar>
              <w:top w:w="65" w:type="dxa"/>
              <w:start w:w="100" w:type="dxa"/>
              <w:bottom w:w="65" w:type="dxa"/>
              <w:end w:w="100" w:type="dxa"/>
            </w:tcMar>
          </w:tcPr>
          <w:p>
            <w:pPr>
              <w:spacing w:after="0" w:line="240" w:lineRule="auto"/>
            </w:pPr>
            <w:r>
              <w:rPr>
                <w:b w:val="0"/>
                <w:color w:val="222B32"/>
                <w:sz w:val="16"/>
              </w:rPr>
              <w:t>0.152</w:t>
            </w:r>
          </w:p>
        </w:tc>
        <w:tc>
          <w:tcPr>
            <w:tcW w:type="dxa" w:w="2000"/>
            <w:vAlign w:val="center"/>
            <w:tcMar>
              <w:top w:w="65" w:type="dxa"/>
              <w:start w:w="100" w:type="dxa"/>
              <w:bottom w:w="65" w:type="dxa"/>
              <w:end w:w="100" w:type="dxa"/>
            </w:tcMar>
          </w:tcPr>
          <w:p>
            <w:pPr>
              <w:spacing w:after="0" w:line="240" w:lineRule="auto"/>
            </w:pPr>
            <w:r>
              <w:rPr>
                <w:b w:val="0"/>
                <w:color w:val="222B32"/>
                <w:sz w:val="16"/>
              </w:rPr>
              <w:t>51.556</w:t>
            </w:r>
          </w:p>
        </w:tc>
      </w:tr>
      <w:tr>
        <w:trPr>
          <w:cantSplit/>
        </w:trPr>
        <w:tc>
          <w:tcPr>
            <w:tcW w:type="dxa" w:w="2000"/>
            <w:vAlign w:val="center"/>
            <w:tcMar>
              <w:top w:w="65" w:type="dxa"/>
              <w:start w:w="100" w:type="dxa"/>
              <w:bottom w:w="65" w:type="dxa"/>
              <w:end w:w="100" w:type="dxa"/>
            </w:tcMar>
            <w:shd w:fill="F4F8FA"/>
          </w:tcPr>
          <w:p>
            <w:pPr>
              <w:spacing w:after="0" w:line="240" w:lineRule="auto"/>
            </w:pPr>
            <w:r>
              <w:rPr>
                <w:b w:val="0"/>
                <w:color w:val="222B32"/>
                <w:sz w:val="16"/>
              </w:rPr>
              <w:t>sensor drift</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25</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4.259</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4.259</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0.000</w:t>
            </w:r>
          </w:p>
        </w:tc>
      </w:tr>
      <w:tr>
        <w:trPr>
          <w:cantSplit/>
        </w:trPr>
        <w:tc>
          <w:tcPr>
            <w:tcW w:type="dxa" w:w="2000"/>
            <w:vAlign w:val="center"/>
            <w:tcMar>
              <w:top w:w="65" w:type="dxa"/>
              <w:start w:w="100" w:type="dxa"/>
              <w:bottom w:w="65" w:type="dxa"/>
              <w:end w:w="100" w:type="dxa"/>
            </w:tcMar>
          </w:tcPr>
          <w:p>
            <w:pPr>
              <w:spacing w:after="0" w:line="240" w:lineRule="auto"/>
            </w:pPr>
            <w:r>
              <w:rPr>
                <w:b w:val="0"/>
                <w:color w:val="222B32"/>
                <w:sz w:val="16"/>
              </w:rPr>
              <w:t>stable control</w:t>
            </w:r>
          </w:p>
        </w:tc>
        <w:tc>
          <w:tcPr>
            <w:tcW w:type="dxa" w:w="2000"/>
            <w:vAlign w:val="center"/>
            <w:tcMar>
              <w:top w:w="65" w:type="dxa"/>
              <w:start w:w="100" w:type="dxa"/>
              <w:bottom w:w="65" w:type="dxa"/>
              <w:end w:w="100" w:type="dxa"/>
            </w:tcMar>
          </w:tcPr>
          <w:p>
            <w:pPr>
              <w:spacing w:after="0" w:line="240" w:lineRule="auto"/>
            </w:pPr>
            <w:r>
              <w:rPr>
                <w:b w:val="0"/>
                <w:color w:val="222B32"/>
                <w:sz w:val="16"/>
              </w:rPr>
              <w:t>60</w:t>
            </w:r>
          </w:p>
        </w:tc>
        <w:tc>
          <w:tcPr>
            <w:tcW w:type="dxa" w:w="2000"/>
            <w:vAlign w:val="center"/>
            <w:tcMar>
              <w:top w:w="65" w:type="dxa"/>
              <w:start w:w="100" w:type="dxa"/>
              <w:bottom w:w="65" w:type="dxa"/>
              <w:end w:w="100" w:type="dxa"/>
            </w:tcMar>
          </w:tcPr>
          <w:p>
            <w:pPr>
              <w:spacing w:after="0" w:line="240" w:lineRule="auto"/>
            </w:pPr>
            <w:r>
              <w:rPr>
                <w:b w:val="0"/>
                <w:color w:val="222B32"/>
                <w:sz w:val="16"/>
              </w:rPr>
              <w:t>0.221</w:t>
            </w:r>
          </w:p>
        </w:tc>
        <w:tc>
          <w:tcPr>
            <w:tcW w:type="dxa" w:w="2000"/>
            <w:vAlign w:val="center"/>
            <w:tcMar>
              <w:top w:w="65" w:type="dxa"/>
              <w:start w:w="100" w:type="dxa"/>
              <w:bottom w:w="65" w:type="dxa"/>
              <w:end w:w="100" w:type="dxa"/>
            </w:tcMar>
          </w:tcPr>
          <w:p>
            <w:pPr>
              <w:spacing w:after="0" w:line="240" w:lineRule="auto"/>
            </w:pPr>
            <w:r>
              <w:rPr>
                <w:b w:val="0"/>
                <w:color w:val="222B32"/>
                <w:sz w:val="16"/>
              </w:rPr>
              <w:t>0.100</w:t>
            </w:r>
          </w:p>
        </w:tc>
        <w:tc>
          <w:tcPr>
            <w:tcW w:type="dxa" w:w="2000"/>
            <w:vAlign w:val="center"/>
            <w:tcMar>
              <w:top w:w="65" w:type="dxa"/>
              <w:start w:w="100" w:type="dxa"/>
              <w:bottom w:w="65" w:type="dxa"/>
              <w:end w:w="100" w:type="dxa"/>
            </w:tcMar>
          </w:tcPr>
          <w:p>
            <w:pPr>
              <w:spacing w:after="0" w:line="240" w:lineRule="auto"/>
            </w:pPr>
            <w:r>
              <w:rPr>
                <w:b w:val="0"/>
                <w:color w:val="222B32"/>
                <w:sz w:val="16"/>
              </w:rPr>
              <w:t>72.222</w:t>
            </w:r>
          </w:p>
        </w:tc>
      </w:tr>
      <w:tr>
        <w:trPr>
          <w:cantSplit/>
        </w:trPr>
        <w:tc>
          <w:tcPr>
            <w:tcW w:type="dxa" w:w="2000"/>
            <w:vAlign w:val="center"/>
            <w:tcMar>
              <w:top w:w="65" w:type="dxa"/>
              <w:start w:w="100" w:type="dxa"/>
              <w:bottom w:w="65" w:type="dxa"/>
              <w:end w:w="100" w:type="dxa"/>
            </w:tcMar>
            <w:shd w:fill="F4F8FA"/>
          </w:tcPr>
          <w:p>
            <w:pPr>
              <w:spacing w:after="0" w:line="240" w:lineRule="auto"/>
            </w:pPr>
            <w:r>
              <w:rPr>
                <w:b w:val="0"/>
                <w:color w:val="222B32"/>
                <w:sz w:val="16"/>
              </w:rPr>
              <w:t>structural change</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25</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0.354</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0.199</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56.267</w:t>
            </w:r>
          </w:p>
        </w:tc>
      </w:tr>
    </w:tbl>
    <w:p>
      <w:pPr>
        <w:spacing w:after="0"/>
      </w:pPr>
    </w:p>
    <w:p>
      <w:r>
        <w:rPr>
          <w:b w:val="0"/>
        </w:rPr>
        <w:t>Sensor-drift MAE is 4.259 m and coverage is zero. The input bias is not identifiable as drift from these data alone; calibration evidence or independent static reference measurements are needed. Structural shifts and unobserved neighbour pumping remain potential errors even when aggregate MAE is low.</w:t>
      </w:r>
    </w:p>
    <w:p>
      <w:pPr>
        <w:pStyle w:val="Heading1"/>
        <w:pageBreakBefore w:val="0"/>
      </w:pPr>
      <w:r>
        <w:rPr>
          <w:b/>
        </w:rPr>
        <w:t>27. Page 4: comparison design and measured results</w:t>
      </w:r>
    </w:p>
    <w:p>
      <w:pPr>
        <w:pStyle w:val="Heading2"/>
        <w:pageBreakBefore w:val="0"/>
      </w:pPr>
      <w:r>
        <w:rPr>
          <w:b/>
        </w:rPr>
        <w:t>27.1 Three models, one target</w:t>
      </w:r>
    </w:p>
    <w:p>
      <w:r>
        <w:rPr>
          <w:b w:val="0"/>
        </w:rPr>
        <w:t>M1 is the real-data trend model. On the synthetic sessions it applies the Section 6.1 screen, daily median usable pump-start readings, Theil–Sen and fleet shrinkage, latest usable pre-holdout session, and typical/typical logarithmic projection exactly as Sections 11–12. The synthetic companion does not contain a Type A sample-count column; its endpoint screen assumes the synthetic session endpoints are available. No synthetic transition regression is newly trained for M1.</w:t>
      </w:r>
    </w:p>
    <w:p>
      <w:r>
        <w:rPr>
          <w:b w:val="0"/>
        </w:rPr>
        <w:t>M2 is the rainfall-scenario model. It applies Section 14.3 to M1's session summary with actual holdout rain and mean days 1–150 rainfall as p-bar. Its daily cumulative adjustment and heuristic interval ratio 8.131628/8.134227 are retained without holdout tuning. On real wells the panel uses recovered NASA POWER monthly quartiles and each well's actual latest usable date.</w:t>
      </w:r>
    </w:p>
    <w:p>
      <w:r>
        <w:rPr>
          <w:b w:val="0"/>
        </w:rPr>
        <w:t>M3 is the corrected 450-well driver model in Section 25. Page 3 is its validation, not another model. Every model's scoring target is the same hidden daily static level. M1/M2 deliberately retain dynamic pump-start inputs, so this comparison includes their target mismatch.</w:t>
      </w:r>
    </w:p>
    <w:p>
      <w:r>
        <w:rPr>
          <w:b w:val="0"/>
        </w:rPr>
        <w:t>Persistence holds day 150 observed static level constant. The 60-day trend extrapolates the ordinary linear fit on days 91–150. The M1-static ablation replaces pump-start medians with daily observed static levels while retaining the M1 trend/shrinkage/log formula. This isolates the gain from readings rather than model complexity.</w:t>
      </w:r>
    </w:p>
    <w:p>
      <w:pPr>
        <w:pStyle w:val="Heading2"/>
        <w:pageBreakBefore w:val="0"/>
      </w:pPr>
      <w:r>
        <w:rPr>
          <w:b/>
        </w:rPr>
        <w:t>27.2 Final common holdout metrics</w:t>
      </w:r>
    </w:p>
    <w:tbl>
      <w:tblPr>
        <w:tblStyle w:val="TableGrid"/>
        <w:tblW w:type="auto" w:w="0"/>
        <w:jc w:val="center"/>
        <w:tblLayout w:type="fixed"/>
        <w:tblLook w:firstColumn="1" w:firstRow="1" w:lastColumn="0" w:lastRow="0" w:noHBand="0" w:noVBand="1" w:val="04A0"/>
        <w:tblBorders>
          <w:top w:val="single" w:sz="4" w:color="D8E0E5"/>
          <w:left w:val="single" w:sz="4" w:color="D8E0E5"/>
          <w:bottom w:val="single" w:sz="4" w:color="D8E0E5"/>
          <w:right w:val="single" w:sz="4" w:color="D8E0E5"/>
          <w:insideH w:val="single" w:sz="4" w:color="D8E0E5"/>
          <w:insideV w:val="single" w:sz="4" w:color="D8E0E5"/>
        </w:tblBorders>
      </w:tblPr>
      <w:tblGrid>
        <w:gridCol w:w="2018"/>
        <w:gridCol w:w="2018"/>
        <w:gridCol w:w="2018"/>
        <w:gridCol w:w="2018"/>
        <w:gridCol w:w="2018"/>
      </w:tblGrid>
      <w:tr>
        <w:trPr>
          <w:cantSplit/>
          <w:tblHeader w:val="true"/>
        </w:trPr>
        <w:tc>
          <w:tcPr>
            <w:tcW w:type="dxa" w:w="2000"/>
            <w:vAlign w:val="center"/>
            <w:tcMar>
              <w:top w:w="65" w:type="dxa"/>
              <w:start w:w="100" w:type="dxa"/>
              <w:bottom w:w="65" w:type="dxa"/>
              <w:end w:w="100" w:type="dxa"/>
            </w:tcMar>
            <w:shd w:fill="17324D"/>
          </w:tcPr>
          <w:p>
            <w:pPr>
              <w:spacing w:after="0" w:line="240" w:lineRule="auto"/>
            </w:pPr>
            <w:r>
              <w:rPr>
                <w:b/>
                <w:color w:val="FFFFFF"/>
                <w:sz w:val="16"/>
              </w:rPr>
              <w:t>Method</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MAE all m</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MAE no drift m</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Bias all m</w:t>
            </w:r>
          </w:p>
        </w:tc>
        <w:tc>
          <w:tcPr>
            <w:tcW w:type="dxa" w:w="2000"/>
            <w:vAlign w:val="center"/>
            <w:tcMar>
              <w:top w:w="65" w:type="dxa"/>
              <w:start w:w="100" w:type="dxa"/>
              <w:bottom w:w="65" w:type="dxa"/>
              <w:end w:w="100" w:type="dxa"/>
            </w:tcMar>
            <w:shd w:fill="17324D"/>
          </w:tcPr>
          <w:p>
            <w:pPr>
              <w:spacing w:after="0" w:line="240" w:lineRule="auto"/>
            </w:pPr>
            <w:r>
              <w:rPr>
                <w:b/>
                <w:color w:val="FFFFFF"/>
                <w:sz w:val="16"/>
              </w:rPr>
              <w:t>Coverage all %</w:t>
            </w:r>
          </w:p>
        </w:tc>
      </w:tr>
      <w:tr>
        <w:trPr>
          <w:cantSplit/>
        </w:trPr>
        <w:tc>
          <w:tcPr>
            <w:tcW w:type="dxa" w:w="2000"/>
            <w:vAlign w:val="center"/>
            <w:tcMar>
              <w:top w:w="65" w:type="dxa"/>
              <w:start w:w="100" w:type="dxa"/>
              <w:bottom w:w="65" w:type="dxa"/>
              <w:end w:w="100" w:type="dxa"/>
            </w:tcMar>
          </w:tcPr>
          <w:p>
            <w:pPr>
              <w:spacing w:after="0" w:line="240" w:lineRule="auto"/>
            </w:pPr>
            <w:r>
              <w:rPr>
                <w:b w:val="0"/>
                <w:color w:val="222B32"/>
                <w:sz w:val="16"/>
              </w:rPr>
              <w:t>M1</w:t>
            </w:r>
          </w:p>
        </w:tc>
        <w:tc>
          <w:tcPr>
            <w:tcW w:type="dxa" w:w="2000"/>
            <w:vAlign w:val="center"/>
            <w:tcMar>
              <w:top w:w="65" w:type="dxa"/>
              <w:start w:w="100" w:type="dxa"/>
              <w:bottom w:w="65" w:type="dxa"/>
              <w:end w:w="100" w:type="dxa"/>
            </w:tcMar>
          </w:tcPr>
          <w:p>
            <w:pPr>
              <w:spacing w:after="0" w:line="240" w:lineRule="auto"/>
            </w:pPr>
            <w:r>
              <w:rPr>
                <w:b w:val="0"/>
                <w:color w:val="222B32"/>
                <w:sz w:val="16"/>
              </w:rPr>
              <w:t>4.471</w:t>
            </w:r>
          </w:p>
        </w:tc>
        <w:tc>
          <w:tcPr>
            <w:tcW w:type="dxa" w:w="2000"/>
            <w:vAlign w:val="center"/>
            <w:tcMar>
              <w:top w:w="65" w:type="dxa"/>
              <w:start w:w="100" w:type="dxa"/>
              <w:bottom w:w="65" w:type="dxa"/>
              <w:end w:w="100" w:type="dxa"/>
            </w:tcMar>
          </w:tcPr>
          <w:p>
            <w:pPr>
              <w:spacing w:after="0" w:line="240" w:lineRule="auto"/>
            </w:pPr>
            <w:r>
              <w:rPr>
                <w:b w:val="0"/>
                <w:color w:val="222B32"/>
                <w:sz w:val="16"/>
              </w:rPr>
              <w:t>4.214</w:t>
            </w:r>
          </w:p>
        </w:tc>
        <w:tc>
          <w:tcPr>
            <w:tcW w:type="dxa" w:w="2000"/>
            <w:vAlign w:val="center"/>
            <w:tcMar>
              <w:top w:w="65" w:type="dxa"/>
              <w:start w:w="100" w:type="dxa"/>
              <w:bottom w:w="65" w:type="dxa"/>
              <w:end w:w="100" w:type="dxa"/>
            </w:tcMar>
          </w:tcPr>
          <w:p>
            <w:pPr>
              <w:spacing w:after="0" w:line="240" w:lineRule="auto"/>
            </w:pPr>
            <w:r>
              <w:rPr>
                <w:b w:val="0"/>
                <w:color w:val="222B32"/>
                <w:sz w:val="16"/>
              </w:rPr>
              <w:t>4.427</w:t>
            </w:r>
          </w:p>
        </w:tc>
        <w:tc>
          <w:tcPr>
            <w:tcW w:type="dxa" w:w="2000"/>
            <w:vAlign w:val="center"/>
            <w:tcMar>
              <w:top w:w="65" w:type="dxa"/>
              <w:start w:w="100" w:type="dxa"/>
              <w:bottom w:w="65" w:type="dxa"/>
              <w:end w:w="100" w:type="dxa"/>
            </w:tcMar>
          </w:tcPr>
          <w:p>
            <w:pPr>
              <w:spacing w:after="0" w:line="240" w:lineRule="auto"/>
            </w:pPr>
            <w:r>
              <w:rPr>
                <w:b w:val="0"/>
                <w:color w:val="222B32"/>
                <w:sz w:val="16"/>
              </w:rPr>
              <w:t>98.526</w:t>
            </w:r>
          </w:p>
        </w:tc>
      </w:tr>
      <w:tr>
        <w:trPr>
          <w:cantSplit/>
        </w:trPr>
        <w:tc>
          <w:tcPr>
            <w:tcW w:type="dxa" w:w="2000"/>
            <w:vAlign w:val="center"/>
            <w:tcMar>
              <w:top w:w="65" w:type="dxa"/>
              <w:start w:w="100" w:type="dxa"/>
              <w:bottom w:w="65" w:type="dxa"/>
              <w:end w:w="100" w:type="dxa"/>
            </w:tcMar>
            <w:shd w:fill="F4F8FA"/>
          </w:tcPr>
          <w:p>
            <w:pPr>
              <w:spacing w:after="0" w:line="240" w:lineRule="auto"/>
            </w:pPr>
            <w:r>
              <w:rPr>
                <w:b w:val="0"/>
                <w:color w:val="222B32"/>
                <w:sz w:val="16"/>
              </w:rPr>
              <w:t>M2</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3.905</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3.678</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3.403</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98.704</w:t>
            </w:r>
          </w:p>
        </w:tc>
      </w:tr>
      <w:tr>
        <w:trPr>
          <w:cantSplit/>
        </w:trPr>
        <w:tc>
          <w:tcPr>
            <w:tcW w:type="dxa" w:w="2000"/>
            <w:vAlign w:val="center"/>
            <w:tcMar>
              <w:top w:w="65" w:type="dxa"/>
              <w:start w:w="100" w:type="dxa"/>
              <w:bottom w:w="65" w:type="dxa"/>
              <w:end w:w="100" w:type="dxa"/>
            </w:tcMar>
          </w:tcPr>
          <w:p>
            <w:pPr>
              <w:spacing w:after="0" w:line="240" w:lineRule="auto"/>
            </w:pPr>
            <w:r>
              <w:rPr>
                <w:b w:val="0"/>
                <w:color w:val="222B32"/>
                <w:sz w:val="16"/>
              </w:rPr>
              <w:t>M3</w:t>
            </w:r>
          </w:p>
        </w:tc>
        <w:tc>
          <w:tcPr>
            <w:tcW w:type="dxa" w:w="2000"/>
            <w:vAlign w:val="center"/>
            <w:tcMar>
              <w:top w:w="65" w:type="dxa"/>
              <w:start w:w="100" w:type="dxa"/>
              <w:bottom w:w="65" w:type="dxa"/>
              <w:end w:w="100" w:type="dxa"/>
            </w:tcMar>
          </w:tcPr>
          <w:p>
            <w:pPr>
              <w:spacing w:after="0" w:line="240" w:lineRule="auto"/>
            </w:pPr>
            <w:r>
              <w:rPr>
                <w:b w:val="0"/>
                <w:color w:val="222B32"/>
                <w:sz w:val="16"/>
              </w:rPr>
              <w:t>0.501</w:t>
            </w:r>
          </w:p>
        </w:tc>
        <w:tc>
          <w:tcPr>
            <w:tcW w:type="dxa" w:w="2000"/>
            <w:vAlign w:val="center"/>
            <w:tcMar>
              <w:top w:w="65" w:type="dxa"/>
              <w:start w:w="100" w:type="dxa"/>
              <w:bottom w:w="65" w:type="dxa"/>
              <w:end w:w="100" w:type="dxa"/>
            </w:tcMar>
          </w:tcPr>
          <w:p>
            <w:pPr>
              <w:spacing w:after="0" w:line="240" w:lineRule="auto"/>
            </w:pPr>
            <w:r>
              <w:rPr>
                <w:b w:val="0"/>
                <w:color w:val="222B32"/>
                <w:sz w:val="16"/>
              </w:rPr>
              <w:t>0.280</w:t>
            </w:r>
          </w:p>
        </w:tc>
        <w:tc>
          <w:tcPr>
            <w:tcW w:type="dxa" w:w="2000"/>
            <w:vAlign w:val="center"/>
            <w:tcMar>
              <w:top w:w="65" w:type="dxa"/>
              <w:start w:w="100" w:type="dxa"/>
              <w:bottom w:w="65" w:type="dxa"/>
              <w:end w:w="100" w:type="dxa"/>
            </w:tcMar>
          </w:tcPr>
          <w:p>
            <w:pPr>
              <w:spacing w:after="0" w:line="240" w:lineRule="auto"/>
            </w:pPr>
            <w:r>
              <w:rPr>
                <w:b w:val="0"/>
                <w:color w:val="222B32"/>
                <w:sz w:val="16"/>
              </w:rPr>
              <w:t>0.329</w:t>
            </w:r>
          </w:p>
        </w:tc>
        <w:tc>
          <w:tcPr>
            <w:tcW w:type="dxa" w:w="2000"/>
            <w:vAlign w:val="center"/>
            <w:tcMar>
              <w:top w:w="65" w:type="dxa"/>
              <w:start w:w="100" w:type="dxa"/>
              <w:bottom w:w="65" w:type="dxa"/>
              <w:end w:w="100" w:type="dxa"/>
            </w:tcMar>
          </w:tcPr>
          <w:p>
            <w:pPr>
              <w:spacing w:after="0" w:line="240" w:lineRule="auto"/>
            </w:pPr>
            <w:r>
              <w:rPr>
                <w:b w:val="0"/>
                <w:color w:val="222B32"/>
                <w:sz w:val="16"/>
              </w:rPr>
              <w:t>63.007</w:t>
            </w:r>
          </w:p>
        </w:tc>
      </w:tr>
      <w:tr>
        <w:trPr>
          <w:cantSplit/>
        </w:trPr>
        <w:tc>
          <w:tcPr>
            <w:tcW w:type="dxa" w:w="2000"/>
            <w:vAlign w:val="center"/>
            <w:tcMar>
              <w:top w:w="65" w:type="dxa"/>
              <w:start w:w="100" w:type="dxa"/>
              <w:bottom w:w="65" w:type="dxa"/>
              <w:end w:w="100" w:type="dxa"/>
            </w:tcMar>
            <w:shd w:fill="F4F8FA"/>
          </w:tcPr>
          <w:p>
            <w:pPr>
              <w:spacing w:after="0" w:line="240" w:lineRule="auto"/>
            </w:pPr>
            <w:r>
              <w:rPr>
                <w:b w:val="0"/>
                <w:color w:val="222B32"/>
                <w:sz w:val="16"/>
              </w:rPr>
              <w:t>M1_static</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0.692</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0.497</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0.503</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100.000</w:t>
            </w:r>
          </w:p>
        </w:tc>
      </w:tr>
      <w:tr>
        <w:trPr>
          <w:cantSplit/>
        </w:trPr>
        <w:tc>
          <w:tcPr>
            <w:tcW w:type="dxa" w:w="2000"/>
            <w:vAlign w:val="center"/>
            <w:tcMar>
              <w:top w:w="65" w:type="dxa"/>
              <w:start w:w="100" w:type="dxa"/>
              <w:bottom w:w="65" w:type="dxa"/>
              <w:end w:w="100" w:type="dxa"/>
            </w:tcMar>
          </w:tcPr>
          <w:p>
            <w:pPr>
              <w:spacing w:after="0" w:line="240" w:lineRule="auto"/>
            </w:pPr>
            <w:r>
              <w:rPr>
                <w:b w:val="0"/>
                <w:color w:val="222B32"/>
                <w:sz w:val="16"/>
              </w:rPr>
              <w:t>persistence</w:t>
            </w:r>
          </w:p>
        </w:tc>
        <w:tc>
          <w:tcPr>
            <w:tcW w:type="dxa" w:w="2000"/>
            <w:vAlign w:val="center"/>
            <w:tcMar>
              <w:top w:w="65" w:type="dxa"/>
              <w:start w:w="100" w:type="dxa"/>
              <w:bottom w:w="65" w:type="dxa"/>
              <w:end w:w="100" w:type="dxa"/>
            </w:tcMar>
          </w:tcPr>
          <w:p>
            <w:pPr>
              <w:spacing w:after="0" w:line="240" w:lineRule="auto"/>
            </w:pPr>
            <w:r>
              <w:rPr>
                <w:b w:val="0"/>
                <w:color w:val="222B32"/>
                <w:sz w:val="16"/>
              </w:rPr>
              <w:t>0.921</w:t>
            </w:r>
          </w:p>
        </w:tc>
        <w:tc>
          <w:tcPr>
            <w:tcW w:type="dxa" w:w="2000"/>
            <w:vAlign w:val="center"/>
            <w:tcMar>
              <w:top w:w="65" w:type="dxa"/>
              <w:start w:w="100" w:type="dxa"/>
              <w:bottom w:w="65" w:type="dxa"/>
              <w:end w:w="100" w:type="dxa"/>
            </w:tcMar>
          </w:tcPr>
          <w:p>
            <w:pPr>
              <w:spacing w:after="0" w:line="240" w:lineRule="auto"/>
            </w:pPr>
            <w:r>
              <w:rPr>
                <w:b w:val="0"/>
                <w:color w:val="222B32"/>
                <w:sz w:val="16"/>
              </w:rPr>
              <w:t>0.783</w:t>
            </w:r>
          </w:p>
        </w:tc>
        <w:tc>
          <w:tcPr>
            <w:tcW w:type="dxa" w:w="2000"/>
            <w:vAlign w:val="center"/>
            <w:tcMar>
              <w:top w:w="65" w:type="dxa"/>
              <w:start w:w="100" w:type="dxa"/>
              <w:bottom w:w="65" w:type="dxa"/>
              <w:end w:w="100" w:type="dxa"/>
            </w:tcMar>
          </w:tcPr>
          <w:p>
            <w:pPr>
              <w:spacing w:after="0" w:line="240" w:lineRule="auto"/>
            </w:pPr>
            <w:r>
              <w:rPr>
                <w:b w:val="0"/>
                <w:color w:val="222B32"/>
                <w:sz w:val="16"/>
              </w:rPr>
              <w:t>0.034</w:t>
            </w:r>
          </w:p>
        </w:tc>
        <w:tc>
          <w:tcPr>
            <w:tcW w:type="dxa" w:w="2000"/>
            <w:vAlign w:val="center"/>
            <w:tcMar>
              <w:top w:w="65" w:type="dxa"/>
              <w:start w:w="100" w:type="dxa"/>
              <w:bottom w:w="65" w:type="dxa"/>
              <w:end w:w="100" w:type="dxa"/>
            </w:tcMar>
          </w:tcPr>
          <w:p>
            <w:pPr>
              <w:spacing w:after="0" w:line="240" w:lineRule="auto"/>
            </w:pPr>
            <w:r>
              <w:rPr>
                <w:b w:val="0"/>
                <w:color w:val="222B32"/>
                <w:sz w:val="16"/>
              </w:rPr>
              <w:t>—</w:t>
            </w:r>
          </w:p>
        </w:tc>
      </w:tr>
      <w:tr>
        <w:trPr>
          <w:cantSplit/>
        </w:trPr>
        <w:tc>
          <w:tcPr>
            <w:tcW w:type="dxa" w:w="2000"/>
            <w:vAlign w:val="center"/>
            <w:tcMar>
              <w:top w:w="65" w:type="dxa"/>
              <w:start w:w="100" w:type="dxa"/>
              <w:bottom w:w="65" w:type="dxa"/>
              <w:end w:w="100" w:type="dxa"/>
            </w:tcMar>
            <w:shd w:fill="F4F8FA"/>
          </w:tcPr>
          <w:p>
            <w:pPr>
              <w:spacing w:after="0" w:line="240" w:lineRule="auto"/>
            </w:pPr>
            <w:r>
              <w:rPr>
                <w:b w:val="0"/>
                <w:color w:val="222B32"/>
                <w:sz w:val="16"/>
              </w:rPr>
              <w:t>linear60</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0.583</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0.352</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0.542</w:t>
            </w:r>
          </w:p>
        </w:tc>
        <w:tc>
          <w:tcPr>
            <w:tcW w:type="dxa" w:w="2000"/>
            <w:vAlign w:val="center"/>
            <w:tcMar>
              <w:top w:w="65" w:type="dxa"/>
              <w:start w:w="100" w:type="dxa"/>
              <w:bottom w:w="65" w:type="dxa"/>
              <w:end w:w="100" w:type="dxa"/>
            </w:tcMar>
            <w:shd w:fill="F4F8FA"/>
          </w:tcPr>
          <w:p>
            <w:pPr>
              <w:spacing w:after="0" w:line="240" w:lineRule="auto"/>
            </w:pPr>
            <w:r>
              <w:rPr>
                <w:b w:val="0"/>
                <w:color w:val="222B32"/>
                <w:sz w:val="16"/>
              </w:rPr>
              <w:t>—</w:t>
            </w:r>
          </w:p>
        </w:tc>
      </w:tr>
    </w:tbl>
    <w:p>
      <w:pPr>
        <w:spacing w:after="0"/>
      </w:pPr>
    </w:p>
    <w:p>
      <w:r>
        <w:rPr>
          <w:b w:val="0"/>
        </w:rPr>
        <w:t>The M3 error rises from the older supplied-effective-rain prototype (0.446 all / 0.221 without drift) to 0.501 / 0.280 m. This is expected from the stricter information contract: the model now learns a coarse rain delay from raw input rather than receiving the generator's exact hidden recharge transform, and it enforces physical signs. M1, M2 and baselines reproduce the prototype reference values. More complex modelling is not universally best: the scenario table shows cases where the static trend or a baseline outperforms M3.</w:t>
      </w:r>
    </w:p>
    <w:p>
      <w:r>
        <w:rPr>
          <w:b w:val="0"/>
        </w:rPr>
        <w:t>Without drift, moving from pump-start M1 to static M1 reduces MAE from 4.214 to 0.497 m. Adding drivers reduces it further to 0.280 m. M1's bias is +4.427 m overall: dynamic readings carry residual drawdown. The 98–100% coverage of the broad M1/M2/static heuristic intervals is not evidence of calibration.</w:t>
      </w:r>
    </w:p>
    <w:p>
      <w:pPr>
        <w:pStyle w:val="Heading2"/>
        <w:pageBreakBefore w:val="0"/>
      </w:pPr>
      <w:r>
        <w:rPr>
          <w:b/>
        </w:rPr>
        <w:t>27.3 Charts, metrics, tools and forward paths</w:t>
      </w:r>
    </w:p>
    <w:p>
      <w:r>
        <w:rPr>
          <w:b w:val="0"/>
        </w:rPr>
        <w:t>Page 4 shows model cards, scenario/well selection, the last 60 training observations, 30 hidden days, switchable bands, day 7/15/30 errors, and 183-day forward paths. Forward M1 and M2 update summaries from all 180 session days; M3 retains final training coefficients anchored to the observed day 180 static level. There is no future truth beyond 29 June.</w:t>
      </w:r>
    </w:p>
    <w:p>
      <w:r>
        <w:rPr>
          <w:b w:val="0"/>
        </w:rPr>
        <w:t>Fleet and scenario MAE, RMSE, signed bias, coverage, mean half-width, lead-day error and three-model win share are reported, with a sensor-drift exclusion toggle. Win share is the proportion of wells with lowest per-well MAE among M1–M3; baselines are excluded. Ties follow M1, M2, M3 order. The matrix distinguishes data availability, target type, horizon validity, drivers, sensor limits and interpretability.</w:t>
      </w:r>
    </w:p>
    <w:p>
      <w:r>
        <w:rPr>
          <w:b w:val="0"/>
        </w:rPr>
        <w:t xml:space="preserve">All delivered prediction and truth arrays are rounded to 0.001 m before published metrics are calculated. Browser recalculation from those arrays matches fleet metrics to 0.001. Derived aggregate gzip comparison data remains below 1.5 MB. Raw private real CSVs remain local. The </w:t>
      </w:r>
      <w:r>
        <w:rPr>
          <w:rFonts w:ascii="Aptos Mono" w:hAnsi="Aptos Mono"/>
          <w:color w:val="174554"/>
          <w:sz w:val="18"/>
        </w:rPr>
        <w:t>compare_borewell_models</w:t>
      </w:r>
      <w:r>
        <w:rPr>
          <w:b w:val="0"/>
        </w:rPr>
        <w:t xml:space="preserve"> tool takes </w:t>
      </w:r>
      <w:r>
        <w:rPr>
          <w:rFonts w:ascii="Aptos Mono" w:hAnsi="Aptos Mono"/>
          <w:color w:val="174554"/>
          <w:sz w:val="18"/>
        </w:rPr>
        <w:t>well_id</w:t>
      </w:r>
      <w:r>
        <w:rPr>
          <w:b w:val="0"/>
        </w:rPr>
        <w:t xml:space="preserve"> and </w:t>
      </w:r>
      <w:r>
        <w:rPr>
          <w:rFonts w:ascii="Aptos Mono" w:hAnsi="Aptos Mono"/>
          <w:color w:val="174554"/>
          <w:sz w:val="18"/>
        </w:rPr>
        <w:t>excl_sensor_drift</w:t>
      </w:r>
      <w:r>
        <w:rPr>
          <w:b w:val="0"/>
        </w:rPr>
        <w:t>, returns per-well model metrics and indicates whether the selected well belongs in the selected fleet population.</w:t>
      </w:r>
    </w:p>
    <w:p>
      <w:r>
        <w:rPr>
          <w:b w:val="0"/>
        </w:rPr>
        <w:t>The real panel reports screened pump/recovery MAE 8.953/7.088 m, all-record 33.997/29.691 m and rainfall combined improvement 8.134227 to 8.131628 m (0.03%). These are session-transition errors, unlike the synthetic daily static errors: they must not be compared directly. M3 cannot yet run on real wells with the current missing static readings, drivers and history.</w:t>
      </w:r>
    </w:p>
    <w:p>
      <w:pPr>
        <w:pStyle w:val="Heading1"/>
        <w:pageBreakBefore w:val="0"/>
      </w:pPr>
      <w:r>
        <w:rPr>
          <w:b/>
        </w:rPr>
        <w:t>28. Correction audit and reproduction of the review branch</w:t>
      </w:r>
    </w:p>
    <w:p>
      <w:pPr>
        <w:pStyle w:val="Heading2"/>
        <w:pageBreakBefore w:val="0"/>
      </w:pPr>
      <w:r>
        <w:rPr>
          <w:b/>
        </w:rPr>
        <w:t>28.1 Corrections to Page 1</w:t>
      </w:r>
    </w:p>
    <w:p>
      <w:r>
        <w:rPr>
          <w:b w:val="0"/>
        </w:rPr>
        <w:t xml:space="preserve">Null and missing levels are tested explicitly. Wells with zero usable screened sessions have no forecast. Their datalist entries distinguish no readings from rejected readings. The last reading date comes from </w:t>
      </w:r>
      <w:r>
        <w:rPr>
          <w:rFonts w:ascii="Aptos Mono" w:hAnsi="Aptos Mono"/>
          <w:color w:val="174554"/>
          <w:sz w:val="18"/>
        </w:rPr>
        <w:t>latest_start_time</w:t>
      </w:r>
      <w:r>
        <w:rPr>
          <w:b w:val="0"/>
        </w:rPr>
        <w:t>; BW005 correctly shows 19 July for its rejected record. An unavailable selection clears the previous forecast and tool state. Observed chart x positions use actual day differences to that latest date. BW046 retains 74.9 m at 30 days with an 80% heuristic half-width of 32.0 m; its first chart date is 14 days ago.</w:t>
      </w:r>
    </w:p>
    <w:p>
      <w:r>
        <w:rPr>
          <w:b w:val="0"/>
        </w:rPr>
        <w:t>Form labels and controls are wrapped together on Pages 1 and 3. Navigation links identify all four pages and their active state. Responsive verification covers 375, 768, 1024, 1280 and 1440 px; charts and tables scroll within their own cards.</w:t>
      </w:r>
    </w:p>
    <w:p>
      <w:pPr>
        <w:pStyle w:val="Heading2"/>
        <w:pageBreakBefore w:val="0"/>
      </w:pPr>
      <w:r>
        <w:rPr>
          <w:b/>
        </w:rPr>
        <w:t>28.2 Replay and scenario direction</w:t>
      </w:r>
    </w:p>
    <w:p>
      <w:r>
        <w:rPr>
          <w:b w:val="0"/>
        </w:rPr>
        <w:t>Replaying actual 180-day drivers from the first observed static reading yields the following median changes. This diagnostic is an in-history replay with final fitted coefficients, not an independent forecast test. Sensor drift is a designed exception.</w:t>
      </w:r>
    </w:p>
    <w:tbl>
      <w:tblPr>
        <w:tblStyle w:val="TableGrid"/>
        <w:tblW w:type="auto" w:w="0"/>
        <w:jc w:val="center"/>
        <w:tblLayout w:type="fixed"/>
        <w:tblLook w:firstColumn="1" w:firstRow="1" w:lastColumn="0" w:lastRow="0" w:noHBand="0" w:noVBand="1" w:val="04A0"/>
        <w:tblBorders>
          <w:top w:val="single" w:sz="4" w:color="D8E0E5"/>
          <w:left w:val="single" w:sz="4" w:color="D8E0E5"/>
          <w:bottom w:val="single" w:sz="4" w:color="D8E0E5"/>
          <w:right w:val="single" w:sz="4" w:color="D8E0E5"/>
          <w:insideH w:val="single" w:sz="4" w:color="D8E0E5"/>
          <w:insideV w:val="single" w:sz="4" w:color="D8E0E5"/>
        </w:tblBorders>
      </w:tblPr>
      <w:tblGrid>
        <w:gridCol w:w="3364"/>
        <w:gridCol w:w="3364"/>
        <w:gridCol w:w="3364"/>
      </w:tblGrid>
      <w:tr>
        <w:trPr>
          <w:cantSplit/>
          <w:tblHeader w:val="true"/>
        </w:trPr>
        <w:tc>
          <w:tcPr>
            <w:tcW w:type="dxa" w:w="4600"/>
            <w:vAlign w:val="center"/>
            <w:tcMar>
              <w:top w:w="65" w:type="dxa"/>
              <w:start w:w="100" w:type="dxa"/>
              <w:bottom w:w="65" w:type="dxa"/>
              <w:end w:w="100" w:type="dxa"/>
            </w:tcMar>
            <w:shd w:fill="17324D"/>
          </w:tcPr>
          <w:p>
            <w:pPr>
              <w:spacing w:after="0" w:line="240" w:lineRule="auto"/>
            </w:pPr>
            <w:r>
              <w:rPr>
                <w:b/>
                <w:color w:val="FFFFFF"/>
                <w:sz w:val="16"/>
              </w:rPr>
              <w:t>Scenario</w:t>
            </w:r>
          </w:p>
        </w:tc>
        <w:tc>
          <w:tcPr>
            <w:tcW w:type="dxa" w:w="2700"/>
            <w:vAlign w:val="center"/>
            <w:tcMar>
              <w:top w:w="65" w:type="dxa"/>
              <w:start w:w="100" w:type="dxa"/>
              <w:bottom w:w="65" w:type="dxa"/>
              <w:end w:w="100" w:type="dxa"/>
            </w:tcMar>
            <w:shd w:fill="17324D"/>
          </w:tcPr>
          <w:p>
            <w:pPr>
              <w:spacing w:after="0" w:line="240" w:lineRule="auto"/>
            </w:pPr>
            <w:r>
              <w:rPr>
                <w:b/>
                <w:color w:val="FFFFFF"/>
                <w:sz w:val="16"/>
              </w:rPr>
              <w:t>True change m</w:t>
            </w:r>
          </w:p>
        </w:tc>
        <w:tc>
          <w:tcPr>
            <w:tcW w:type="dxa" w:w="2700"/>
            <w:vAlign w:val="center"/>
            <w:tcMar>
              <w:top w:w="65" w:type="dxa"/>
              <w:start w:w="100" w:type="dxa"/>
              <w:bottom w:w="65" w:type="dxa"/>
              <w:end w:w="100" w:type="dxa"/>
            </w:tcMar>
            <w:shd w:fill="17324D"/>
          </w:tcPr>
          <w:p>
            <w:pPr>
              <w:spacing w:after="0" w:line="240" w:lineRule="auto"/>
            </w:pPr>
            <w:r>
              <w:rPr>
                <w:b/>
                <w:color w:val="FFFFFF"/>
                <w:sz w:val="16"/>
              </w:rPr>
              <w:t>Corrected replay m</w:t>
            </w:r>
          </w:p>
        </w:tc>
      </w:tr>
      <w:tr>
        <w:trPr>
          <w:cantSplit/>
        </w:trPr>
        <w:tc>
          <w:tcPr>
            <w:tcW w:type="dxa" w:w="4600"/>
            <w:vAlign w:val="center"/>
            <w:tcMar>
              <w:top w:w="65" w:type="dxa"/>
              <w:start w:w="100" w:type="dxa"/>
              <w:bottom w:w="65" w:type="dxa"/>
              <w:end w:w="100" w:type="dxa"/>
            </w:tcMar>
          </w:tcPr>
          <w:p>
            <w:pPr>
              <w:spacing w:after="0" w:line="240" w:lineRule="auto"/>
            </w:pPr>
            <w:r>
              <w:rPr>
                <w:b w:val="0"/>
                <w:color w:val="222B32"/>
                <w:sz w:val="16"/>
              </w:rPr>
              <w:t>recharge dominated</w:t>
            </w:r>
          </w:p>
        </w:tc>
        <w:tc>
          <w:tcPr>
            <w:tcW w:type="dxa" w:w="2700"/>
            <w:vAlign w:val="center"/>
            <w:tcMar>
              <w:top w:w="65" w:type="dxa"/>
              <w:start w:w="100" w:type="dxa"/>
              <w:bottom w:w="65" w:type="dxa"/>
              <w:end w:w="100" w:type="dxa"/>
            </w:tcMar>
          </w:tcPr>
          <w:p>
            <w:pPr>
              <w:spacing w:after="0" w:line="240" w:lineRule="auto"/>
            </w:pPr>
            <w:r>
              <w:rPr>
                <w:b w:val="0"/>
                <w:color w:val="222B32"/>
                <w:sz w:val="16"/>
              </w:rPr>
              <w:t>-4.949</w:t>
            </w:r>
          </w:p>
        </w:tc>
        <w:tc>
          <w:tcPr>
            <w:tcW w:type="dxa" w:w="2700"/>
            <w:vAlign w:val="center"/>
            <w:tcMar>
              <w:top w:w="65" w:type="dxa"/>
              <w:start w:w="100" w:type="dxa"/>
              <w:bottom w:w="65" w:type="dxa"/>
              <w:end w:w="100" w:type="dxa"/>
            </w:tcMar>
          </w:tcPr>
          <w:p>
            <w:pPr>
              <w:spacing w:after="0" w:line="240" w:lineRule="auto"/>
            </w:pPr>
            <w:r>
              <w:rPr>
                <w:b w:val="0"/>
                <w:color w:val="222B32"/>
                <w:sz w:val="16"/>
              </w:rPr>
              <w:t>-5.042</w:t>
            </w:r>
          </w:p>
        </w:tc>
      </w:tr>
      <w:tr>
        <w:trPr>
          <w:cantSplit/>
        </w:trPr>
        <w:tc>
          <w:tcPr>
            <w:tcW w:type="dxa" w:w="4600"/>
            <w:vAlign w:val="center"/>
            <w:tcMar>
              <w:top w:w="65" w:type="dxa"/>
              <w:start w:w="100" w:type="dxa"/>
              <w:bottom w:w="65" w:type="dxa"/>
              <w:end w:w="100" w:type="dxa"/>
            </w:tcMar>
            <w:shd w:fill="F4F8FA"/>
          </w:tcPr>
          <w:p>
            <w:pPr>
              <w:spacing w:after="0" w:line="240" w:lineRule="auto"/>
            </w:pPr>
            <w:r>
              <w:rPr>
                <w:b w:val="0"/>
                <w:color w:val="222B32"/>
                <w:sz w:val="16"/>
              </w:rPr>
              <w:t>neighbor interference</w:t>
            </w:r>
          </w:p>
        </w:tc>
        <w:tc>
          <w:tcPr>
            <w:tcW w:type="dxa" w:w="2700"/>
            <w:vAlign w:val="center"/>
            <w:tcMar>
              <w:top w:w="65" w:type="dxa"/>
              <w:start w:w="100" w:type="dxa"/>
              <w:bottom w:w="65" w:type="dxa"/>
              <w:end w:w="100" w:type="dxa"/>
            </w:tcMar>
            <w:shd w:fill="F4F8FA"/>
          </w:tcPr>
          <w:p>
            <w:pPr>
              <w:spacing w:after="0" w:line="240" w:lineRule="auto"/>
            </w:pPr>
            <w:r>
              <w:rPr>
                <w:b w:val="0"/>
                <w:color w:val="222B32"/>
                <w:sz w:val="16"/>
              </w:rPr>
              <w:t>11.054</w:t>
            </w:r>
          </w:p>
        </w:tc>
        <w:tc>
          <w:tcPr>
            <w:tcW w:type="dxa" w:w="2700"/>
            <w:vAlign w:val="center"/>
            <w:tcMar>
              <w:top w:w="65" w:type="dxa"/>
              <w:start w:w="100" w:type="dxa"/>
              <w:bottom w:w="65" w:type="dxa"/>
              <w:end w:w="100" w:type="dxa"/>
            </w:tcMar>
            <w:shd w:fill="F4F8FA"/>
          </w:tcPr>
          <w:p>
            <w:pPr>
              <w:spacing w:after="0" w:line="240" w:lineRule="auto"/>
            </w:pPr>
            <w:r>
              <w:rPr>
                <w:b w:val="0"/>
                <w:color w:val="222B32"/>
                <w:sz w:val="16"/>
              </w:rPr>
              <w:t>11.003</w:t>
            </w:r>
          </w:p>
        </w:tc>
      </w:tr>
      <w:tr>
        <w:trPr>
          <w:cantSplit/>
        </w:trPr>
        <w:tc>
          <w:tcPr>
            <w:tcW w:type="dxa" w:w="4600"/>
            <w:vAlign w:val="center"/>
            <w:tcMar>
              <w:top w:w="65" w:type="dxa"/>
              <w:start w:w="100" w:type="dxa"/>
              <w:bottom w:w="65" w:type="dxa"/>
              <w:end w:w="100" w:type="dxa"/>
            </w:tcMar>
          </w:tcPr>
          <w:p>
            <w:pPr>
              <w:spacing w:after="0" w:line="240" w:lineRule="auto"/>
            </w:pPr>
            <w:r>
              <w:rPr>
                <w:b w:val="0"/>
                <w:color w:val="222B32"/>
                <w:sz w:val="16"/>
              </w:rPr>
              <w:t>mixed response</w:t>
            </w:r>
          </w:p>
        </w:tc>
        <w:tc>
          <w:tcPr>
            <w:tcW w:type="dxa" w:w="2700"/>
            <w:vAlign w:val="center"/>
            <w:tcMar>
              <w:top w:w="65" w:type="dxa"/>
              <w:start w:w="100" w:type="dxa"/>
              <w:bottom w:w="65" w:type="dxa"/>
              <w:end w:w="100" w:type="dxa"/>
            </w:tcMar>
          </w:tcPr>
          <w:p>
            <w:pPr>
              <w:spacing w:after="0" w:line="240" w:lineRule="auto"/>
            </w:pPr>
            <w:r>
              <w:rPr>
                <w:b w:val="0"/>
                <w:color w:val="222B32"/>
                <w:sz w:val="16"/>
              </w:rPr>
              <w:t>5.447</w:t>
            </w:r>
          </w:p>
        </w:tc>
        <w:tc>
          <w:tcPr>
            <w:tcW w:type="dxa" w:w="2700"/>
            <w:vAlign w:val="center"/>
            <w:tcMar>
              <w:top w:w="65" w:type="dxa"/>
              <w:start w:w="100" w:type="dxa"/>
              <w:bottom w:w="65" w:type="dxa"/>
              <w:end w:w="100" w:type="dxa"/>
            </w:tcMar>
          </w:tcPr>
          <w:p>
            <w:pPr>
              <w:spacing w:after="0" w:line="240" w:lineRule="auto"/>
            </w:pPr>
            <w:r>
              <w:rPr>
                <w:b w:val="0"/>
                <w:color w:val="222B32"/>
                <w:sz w:val="16"/>
              </w:rPr>
              <w:t>5.695</w:t>
            </w:r>
          </w:p>
        </w:tc>
      </w:tr>
      <w:tr>
        <w:trPr>
          <w:cantSplit/>
        </w:trPr>
        <w:tc>
          <w:tcPr>
            <w:tcW w:type="dxa" w:w="4600"/>
            <w:vAlign w:val="center"/>
            <w:tcMar>
              <w:top w:w="65" w:type="dxa"/>
              <w:start w:w="100" w:type="dxa"/>
              <w:bottom w:w="65" w:type="dxa"/>
              <w:end w:w="100" w:type="dxa"/>
            </w:tcMar>
            <w:shd w:fill="F4F8FA"/>
          </w:tcPr>
          <w:p>
            <w:pPr>
              <w:spacing w:after="0" w:line="240" w:lineRule="auto"/>
            </w:pPr>
            <w:r>
              <w:rPr>
                <w:b w:val="0"/>
                <w:color w:val="222B32"/>
                <w:sz w:val="16"/>
              </w:rPr>
              <w:t>pump dominated</w:t>
            </w:r>
          </w:p>
        </w:tc>
        <w:tc>
          <w:tcPr>
            <w:tcW w:type="dxa" w:w="2700"/>
            <w:vAlign w:val="center"/>
            <w:tcMar>
              <w:top w:w="65" w:type="dxa"/>
              <w:start w:w="100" w:type="dxa"/>
              <w:bottom w:w="65" w:type="dxa"/>
              <w:end w:w="100" w:type="dxa"/>
            </w:tcMar>
            <w:shd w:fill="F4F8FA"/>
          </w:tcPr>
          <w:p>
            <w:pPr>
              <w:spacing w:after="0" w:line="240" w:lineRule="auto"/>
            </w:pPr>
            <w:r>
              <w:rPr>
                <w:b w:val="0"/>
                <w:color w:val="222B32"/>
                <w:sz w:val="16"/>
              </w:rPr>
              <w:t>14.490</w:t>
            </w:r>
          </w:p>
        </w:tc>
        <w:tc>
          <w:tcPr>
            <w:tcW w:type="dxa" w:w="2700"/>
            <w:vAlign w:val="center"/>
            <w:tcMar>
              <w:top w:w="65" w:type="dxa"/>
              <w:start w:w="100" w:type="dxa"/>
              <w:bottom w:w="65" w:type="dxa"/>
              <w:end w:w="100" w:type="dxa"/>
            </w:tcMar>
            <w:shd w:fill="F4F8FA"/>
          </w:tcPr>
          <w:p>
            <w:pPr>
              <w:spacing w:after="0" w:line="240" w:lineRule="auto"/>
            </w:pPr>
            <w:r>
              <w:rPr>
                <w:b w:val="0"/>
                <w:color w:val="222B32"/>
                <w:sz w:val="16"/>
              </w:rPr>
              <w:t>14.680</w:t>
            </w:r>
          </w:p>
        </w:tc>
      </w:tr>
      <w:tr>
        <w:trPr>
          <w:cantSplit/>
        </w:trPr>
        <w:tc>
          <w:tcPr>
            <w:tcW w:type="dxa" w:w="4600"/>
            <w:vAlign w:val="center"/>
            <w:tcMar>
              <w:top w:w="65" w:type="dxa"/>
              <w:start w:w="100" w:type="dxa"/>
              <w:bottom w:w="65" w:type="dxa"/>
              <w:end w:w="100" w:type="dxa"/>
            </w:tcMar>
          </w:tcPr>
          <w:p>
            <w:pPr>
              <w:spacing w:after="0" w:line="240" w:lineRule="auto"/>
            </w:pPr>
            <w:r>
              <w:rPr>
                <w:b w:val="0"/>
                <w:color w:val="222B32"/>
                <w:sz w:val="16"/>
              </w:rPr>
              <w:t>gradual decline</w:t>
            </w:r>
          </w:p>
        </w:tc>
        <w:tc>
          <w:tcPr>
            <w:tcW w:type="dxa" w:w="2700"/>
            <w:vAlign w:val="center"/>
            <w:tcMar>
              <w:top w:w="65" w:type="dxa"/>
              <w:start w:w="100" w:type="dxa"/>
              <w:bottom w:w="65" w:type="dxa"/>
              <w:end w:w="100" w:type="dxa"/>
            </w:tcMar>
          </w:tcPr>
          <w:p>
            <w:pPr>
              <w:spacing w:after="0" w:line="240" w:lineRule="auto"/>
            </w:pPr>
            <w:r>
              <w:rPr>
                <w:b w:val="0"/>
                <w:color w:val="222B32"/>
                <w:sz w:val="16"/>
              </w:rPr>
              <w:t>7.452</w:t>
            </w:r>
          </w:p>
        </w:tc>
        <w:tc>
          <w:tcPr>
            <w:tcW w:type="dxa" w:w="2700"/>
            <w:vAlign w:val="center"/>
            <w:tcMar>
              <w:top w:w="65" w:type="dxa"/>
              <w:start w:w="100" w:type="dxa"/>
              <w:bottom w:w="65" w:type="dxa"/>
              <w:end w:w="100" w:type="dxa"/>
            </w:tcMar>
          </w:tcPr>
          <w:p>
            <w:pPr>
              <w:spacing w:after="0" w:line="240" w:lineRule="auto"/>
            </w:pPr>
            <w:r>
              <w:rPr>
                <w:b w:val="0"/>
                <w:color w:val="222B32"/>
                <w:sz w:val="16"/>
              </w:rPr>
              <w:t>7.625</w:t>
            </w:r>
          </w:p>
        </w:tc>
      </w:tr>
      <w:tr>
        <w:trPr>
          <w:cantSplit/>
        </w:trPr>
        <w:tc>
          <w:tcPr>
            <w:tcW w:type="dxa" w:w="4600"/>
            <w:vAlign w:val="center"/>
            <w:tcMar>
              <w:top w:w="65" w:type="dxa"/>
              <w:start w:w="100" w:type="dxa"/>
              <w:bottom w:w="65" w:type="dxa"/>
              <w:end w:w="100" w:type="dxa"/>
            </w:tcMar>
            <w:shd w:fill="F4F8FA"/>
          </w:tcPr>
          <w:p>
            <w:pPr>
              <w:spacing w:after="0" w:line="240" w:lineRule="auto"/>
            </w:pPr>
            <w:r>
              <w:rPr>
                <w:b w:val="0"/>
                <w:color w:val="222B32"/>
                <w:sz w:val="16"/>
              </w:rPr>
              <w:t>stable control</w:t>
            </w:r>
          </w:p>
        </w:tc>
        <w:tc>
          <w:tcPr>
            <w:tcW w:type="dxa" w:w="2700"/>
            <w:vAlign w:val="center"/>
            <w:tcMar>
              <w:top w:w="65" w:type="dxa"/>
              <w:start w:w="100" w:type="dxa"/>
              <w:bottom w:w="65" w:type="dxa"/>
              <w:end w:w="100" w:type="dxa"/>
            </w:tcMar>
            <w:shd w:fill="F4F8FA"/>
          </w:tcPr>
          <w:p>
            <w:pPr>
              <w:spacing w:after="0" w:line="240" w:lineRule="auto"/>
            </w:pPr>
            <w:r>
              <w:rPr>
                <w:b w:val="0"/>
                <w:color w:val="222B32"/>
                <w:sz w:val="16"/>
              </w:rPr>
              <w:t>0.198</w:t>
            </w:r>
          </w:p>
        </w:tc>
        <w:tc>
          <w:tcPr>
            <w:tcW w:type="dxa" w:w="2700"/>
            <w:vAlign w:val="center"/>
            <w:tcMar>
              <w:top w:w="65" w:type="dxa"/>
              <w:start w:w="100" w:type="dxa"/>
              <w:bottom w:w="65" w:type="dxa"/>
              <w:end w:w="100" w:type="dxa"/>
            </w:tcMar>
            <w:shd w:fill="F4F8FA"/>
          </w:tcPr>
          <w:p>
            <w:pPr>
              <w:spacing w:after="0" w:line="240" w:lineRule="auto"/>
            </w:pPr>
            <w:r>
              <w:rPr>
                <w:b w:val="0"/>
                <w:color w:val="222B32"/>
                <w:sz w:val="16"/>
              </w:rPr>
              <w:t>0.518</w:t>
            </w:r>
          </w:p>
        </w:tc>
      </w:tr>
      <w:tr>
        <w:trPr>
          <w:cantSplit/>
        </w:trPr>
        <w:tc>
          <w:tcPr>
            <w:tcW w:type="dxa" w:w="4600"/>
            <w:vAlign w:val="center"/>
            <w:tcMar>
              <w:top w:w="65" w:type="dxa"/>
              <w:start w:w="100" w:type="dxa"/>
              <w:bottom w:w="65" w:type="dxa"/>
              <w:end w:w="100" w:type="dxa"/>
            </w:tcMar>
          </w:tcPr>
          <w:p>
            <w:pPr>
              <w:spacing w:after="0" w:line="240" w:lineRule="auto"/>
            </w:pPr>
            <w:r>
              <w:rPr>
                <w:b w:val="0"/>
                <w:color w:val="222B32"/>
                <w:sz w:val="16"/>
              </w:rPr>
              <w:t>structural change</w:t>
            </w:r>
          </w:p>
        </w:tc>
        <w:tc>
          <w:tcPr>
            <w:tcW w:type="dxa" w:w="2700"/>
            <w:vAlign w:val="center"/>
            <w:tcMar>
              <w:top w:w="65" w:type="dxa"/>
              <w:start w:w="100" w:type="dxa"/>
              <w:bottom w:w="65" w:type="dxa"/>
              <w:end w:w="100" w:type="dxa"/>
            </w:tcMar>
          </w:tcPr>
          <w:p>
            <w:pPr>
              <w:spacing w:after="0" w:line="240" w:lineRule="auto"/>
            </w:pPr>
            <w:r>
              <w:rPr>
                <w:b w:val="0"/>
                <w:color w:val="222B32"/>
                <w:sz w:val="16"/>
              </w:rPr>
              <w:t>1.001</w:t>
            </w:r>
          </w:p>
        </w:tc>
        <w:tc>
          <w:tcPr>
            <w:tcW w:type="dxa" w:w="2700"/>
            <w:vAlign w:val="center"/>
            <w:tcMar>
              <w:top w:w="65" w:type="dxa"/>
              <w:start w:w="100" w:type="dxa"/>
              <w:bottom w:w="65" w:type="dxa"/>
              <w:end w:w="100" w:type="dxa"/>
            </w:tcMar>
          </w:tcPr>
          <w:p>
            <w:pPr>
              <w:spacing w:after="0" w:line="240" w:lineRule="auto"/>
            </w:pPr>
            <w:r>
              <w:rPr>
                <w:b w:val="0"/>
                <w:color w:val="222B32"/>
                <w:sz w:val="16"/>
              </w:rPr>
              <w:t>1.604</w:t>
            </w:r>
          </w:p>
        </w:tc>
      </w:tr>
      <w:tr>
        <w:trPr>
          <w:cantSplit/>
        </w:trPr>
        <w:tc>
          <w:tcPr>
            <w:tcW w:type="dxa" w:w="4600"/>
            <w:vAlign w:val="center"/>
            <w:tcMar>
              <w:top w:w="65" w:type="dxa"/>
              <w:start w:w="100" w:type="dxa"/>
              <w:bottom w:w="65" w:type="dxa"/>
              <w:end w:w="100" w:type="dxa"/>
            </w:tcMar>
            <w:shd w:fill="F4F8FA"/>
          </w:tcPr>
          <w:p>
            <w:pPr>
              <w:spacing w:after="0" w:line="240" w:lineRule="auto"/>
            </w:pPr>
            <w:r>
              <w:rPr>
                <w:b w:val="0"/>
                <w:color w:val="222B32"/>
                <w:sz w:val="16"/>
              </w:rPr>
              <w:t>sensor drift</w:t>
            </w:r>
          </w:p>
        </w:tc>
        <w:tc>
          <w:tcPr>
            <w:tcW w:type="dxa" w:w="2700"/>
            <w:vAlign w:val="center"/>
            <w:tcMar>
              <w:top w:w="65" w:type="dxa"/>
              <w:start w:w="100" w:type="dxa"/>
              <w:bottom w:w="65" w:type="dxa"/>
              <w:end w:w="100" w:type="dxa"/>
            </w:tcMar>
            <w:shd w:fill="F4F8FA"/>
          </w:tcPr>
          <w:p>
            <w:pPr>
              <w:spacing w:after="0" w:line="240" w:lineRule="auto"/>
            </w:pPr>
            <w:r>
              <w:rPr>
                <w:b w:val="0"/>
                <w:color w:val="222B32"/>
                <w:sz w:val="16"/>
              </w:rPr>
              <w:t>5.228</w:t>
            </w:r>
          </w:p>
        </w:tc>
        <w:tc>
          <w:tcPr>
            <w:tcW w:type="dxa" w:w="2700"/>
            <w:vAlign w:val="center"/>
            <w:tcMar>
              <w:top w:w="65" w:type="dxa"/>
              <w:start w:w="100" w:type="dxa"/>
              <w:bottom w:w="65" w:type="dxa"/>
              <w:end w:w="100" w:type="dxa"/>
            </w:tcMar>
            <w:shd w:fill="F4F8FA"/>
          </w:tcPr>
          <w:p>
            <w:pPr>
              <w:spacing w:after="0" w:line="240" w:lineRule="auto"/>
            </w:pPr>
            <w:r>
              <w:rPr>
                <w:b w:val="0"/>
                <w:color w:val="222B32"/>
                <w:sz w:val="16"/>
              </w:rPr>
              <w:t>10.302</w:t>
            </w:r>
          </w:p>
        </w:tc>
      </w:tr>
    </w:tbl>
    <w:p>
      <w:pPr>
        <w:spacing w:after="0"/>
      </w:pPr>
    </w:p>
    <w:p>
      <w:r>
        <w:rPr>
          <w:b w:val="0"/>
        </w:rPr>
        <w:t>All seven non-drift scenarios have the same direction as truth and a median difference within 1.5 m. The old wrong-sign coefficient count (40 pumping, 33 rainfall) is now zero. Every forecast day is checked for all 450 wells at 3 months, 1 year and 5 years: high pumping ≥ typical ≥ low, and dry rain ≥ typical ≥ wet.</w:t>
      </w:r>
    </w:p>
    <w:p>
      <w:pPr>
        <w:pStyle w:val="Heading2"/>
        <w:pageBreakBefore w:val="0"/>
      </w:pPr>
      <w:r>
        <w:rPr>
          <w:b/>
        </w:rPr>
        <w:t>28.3 Rebuild commands and release boundary</w:t>
      </w:r>
    </w:p>
    <w:p>
      <w:r>
        <w:rPr>
          <w:b w:val="0"/>
        </w:rPr>
        <w:t xml:space="preserve">Run </w:t>
      </w:r>
      <w:r>
        <w:rPr>
          <w:rFonts w:ascii="Aptos Mono" w:hAnsi="Aptos Mono"/>
          <w:color w:val="174554"/>
          <w:sz w:val="18"/>
        </w:rPr>
        <w:t>python3 tools/build_model_comparison.py --data-folder '/path/to/local/data '</w:t>
      </w:r>
      <w:r>
        <w:rPr>
          <w:b w:val="0"/>
        </w:rPr>
        <w:t xml:space="preserve"> from the repository with NumPy installed. It reads the XLSX metadata, full daily companion and full sessions companion; recovers the previously committed rainfall aggregate from eb6021e; exports three derived gzip files, feature probes and the build report. It never reads or publishes raw real CSVs. Run </w:t>
      </w:r>
      <w:r>
        <w:rPr>
          <w:rFonts w:ascii="Aptos Mono" w:hAnsi="Aptos Mono"/>
          <w:color w:val="174554"/>
          <w:sz w:val="18"/>
        </w:rPr>
        <w:t>node tools/verify.js</w:t>
      </w:r>
      <w:r>
        <w:rPr>
          <w:b w:val="0"/>
        </w:rPr>
        <w:t xml:space="preserve"> for cross-language features, monotonicity, Page 1 regression examples, all four page scripts and tools, and delivered metric equality.</w:t>
      </w:r>
    </w:p>
    <w:p>
      <w:r>
        <w:rPr>
          <w:b w:val="0"/>
        </w:rPr>
        <w:t xml:space="preserve">The readable handoff source, Word and PDF outputs are in </w:t>
      </w:r>
      <w:r>
        <w:rPr>
          <w:rFonts w:ascii="Aptos Mono" w:hAnsi="Aptos Mono"/>
          <w:color w:val="174554"/>
          <w:sz w:val="18"/>
        </w:rPr>
        <w:t>docs/</w:t>
      </w:r>
      <w:r>
        <w:rPr>
          <w:b w:val="0"/>
        </w:rPr>
        <w:t xml:space="preserve">. The offline builder is outside published </w:t>
      </w:r>
      <w:r>
        <w:rPr>
          <w:rFonts w:ascii="Aptos Mono" w:hAnsi="Aptos Mono"/>
          <w:color w:val="174554"/>
          <w:sz w:val="18"/>
        </w:rPr>
        <w:t>dist/</w:t>
      </w:r>
      <w:r>
        <w:rPr>
          <w:b w:val="0"/>
        </w:rPr>
        <w:t xml:space="preserve">. GitHub Actions publishes only </w:t>
      </w:r>
      <w:r>
        <w:rPr>
          <w:rFonts w:ascii="Aptos Mono" w:hAnsi="Aptos Mono"/>
          <w:color w:val="174554"/>
          <w:sz w:val="18"/>
        </w:rPr>
        <w:t>dist/</w:t>
      </w:r>
      <w:r>
        <w:rPr>
          <w:b w:val="0"/>
        </w:rPr>
        <w:t xml:space="preserve"> on main. This change is prepared on </w:t>
      </w:r>
      <w:r>
        <w:rPr>
          <w:rFonts w:ascii="Aptos Mono" w:hAnsi="Aptos Mono"/>
          <w:color w:val="174554"/>
          <w:sz w:val="18"/>
        </w:rPr>
        <w:t>site-fixes-and-model-comparison</w:t>
      </w:r>
      <w:r>
        <w:rPr>
          <w:b w:val="0"/>
        </w:rPr>
        <w:t xml:space="preserve"> as a pull request, without merging. Review is required before live deployment.</w:t>
      </w:r>
    </w:p>
    <w:p>
      <w:pPr>
        <w:pStyle w:val="Heading1"/>
        <w:pageBreakBefore/>
      </w:pPr>
      <w:r>
        <w:rPr>
          <w:b/>
        </w:rPr>
        <w:t>Appendix A. Machine-readable pseudocode</w:t>
      </w:r>
    </w:p>
    <w:p>
      <w:pPr>
        <w:pStyle w:val="CodeBlock"/>
      </w:pPr>
      <w:r>
        <w:t>INPUT:</w:t>
      </w:r>
    </w:p>
    <w:p>
      <w:pPr>
        <w:pStyle w:val="CodeBlock"/>
      </w:pPr>
      <w:r>
        <w:t xml:space="preserve">  paired TypeA and TypeB CSVs by well_id</w:t>
      </w:r>
    </w:p>
    <w:p>
      <w:pPr>
        <w:pStyle w:val="CodeBlock"/>
      </w:pPr>
      <w:r>
        <w:t xml:space="preserve"> </w:t>
      </w:r>
    </w:p>
    <w:p>
      <w:pPr>
        <w:pStyle w:val="CodeBlock"/>
      </w:pPr>
      <w:r>
        <w:t>FOR each well:</w:t>
      </w:r>
    </w:p>
    <w:p>
      <w:pPr>
        <w:pStyle w:val="CodeBlock"/>
      </w:pPr>
      <w:r>
        <w:t xml:space="preserve">  sort TypeA points and TypeB sessions by time</w:t>
      </w:r>
    </w:p>
    <w:p>
      <w:pPr>
        <w:pStyle w:val="CodeBlock"/>
      </w:pPr>
      <w:r>
        <w:t xml:space="preserve">  FOR each TypeB session [start, stop]:</w:t>
      </w:r>
    </w:p>
    <w:p>
      <w:pPr>
        <w:pStyle w:val="CodeBlock"/>
      </w:pPr>
      <w:r>
        <w:t xml:space="preserve">    segment = TypeA points with start &lt;= timestamp &lt;= stop</w:t>
      </w:r>
    </w:p>
    <w:p>
      <w:pPr>
        <w:pStyle w:val="CodeBlock"/>
      </w:pPr>
      <w:r>
        <w:t xml:space="preserve">    compute mean/median discharge and power</w:t>
      </w:r>
    </w:p>
    <w:p>
      <w:pPr>
        <w:pStyle w:val="CodeBlock"/>
      </w:pPr>
      <w:r>
        <w:t xml:space="preserve">    integrate discharge over minutes to litres</w:t>
      </w:r>
    </w:p>
    <w:p>
      <w:pPr>
        <w:pStyle w:val="CodeBlock"/>
      </w:pPr>
      <w:r>
        <w:t xml:space="preserve">    integrate power over minutes and divide by 60 to kWh</w:t>
      </w:r>
    </w:p>
    <w:p>
      <w:pPr>
        <w:pStyle w:val="CodeBlock"/>
      </w:pPr>
      <w:r>
        <w:t xml:space="preserve">    drawdown = stop_level - start_level</w:t>
      </w:r>
    </w:p>
    <w:p>
      <w:pPr>
        <w:pStyle w:val="CodeBlock"/>
      </w:pPr>
      <w:r>
        <w:t xml:space="preserve">    construct log, clock, and day-index features</w:t>
      </w:r>
    </w:p>
    <w:p>
      <w:pPr>
        <w:pStyle w:val="CodeBlock"/>
      </w:pPr>
      <w:r>
        <w:t xml:space="preserve">    quality_ok = exact pump-screen rules</w:t>
      </w:r>
    </w:p>
    <w:p>
      <w:pPr>
        <w:pStyle w:val="CodeBlock"/>
      </w:pPr>
      <w:r>
        <w:t xml:space="preserve"> </w:t>
      </w:r>
    </w:p>
    <w:p>
      <w:pPr>
        <w:pStyle w:val="CodeBlock"/>
      </w:pPr>
      <w:r>
        <w:t xml:space="preserve">  FOR each consecutive pair of sessions:</w:t>
      </w:r>
    </w:p>
    <w:p>
      <w:pPr>
        <w:pStyle w:val="CodeBlock"/>
      </w:pPr>
      <w:r>
        <w:t xml:space="preserve">    off_gap = next.start - previous.stop</w:t>
      </w:r>
    </w:p>
    <w:p>
      <w:pPr>
        <w:pStyle w:val="CodeBlock"/>
      </w:pPr>
      <w:r>
        <w:t xml:space="preserve">    recovery = next.start_level - previous.stop_level</w:t>
      </w:r>
    </w:p>
    <w:p>
      <w:pPr>
        <w:pStyle w:val="CodeBlock"/>
      </w:pPr>
      <w:r>
        <w:t xml:space="preserve">    net_cycle = next.start_level - previous.start_level</w:t>
      </w:r>
    </w:p>
    <w:p>
      <w:pPr>
        <w:pStyle w:val="CodeBlock"/>
      </w:pPr>
      <w:r>
        <w:t xml:space="preserve">    quality_ok = exact recovery-screen rules</w:t>
      </w:r>
    </w:p>
    <w:p>
      <w:pPr>
        <w:pStyle w:val="CodeBlock"/>
      </w:pPr>
      <w:r>
        <w:t xml:space="preserve"> </w:t>
      </w:r>
    </w:p>
    <w:p>
      <w:pPr>
        <w:pStyle w:val="CodeBlock"/>
      </w:pPr>
      <w:r>
        <w:t>FOR target in [pump_drawdown, recovery_change]:</w:t>
      </w:r>
    </w:p>
    <w:p>
      <w:pPr>
        <w:pStyle w:val="CodeBlock"/>
      </w:pPr>
      <w:r>
        <w:t xml:space="preserve">  train = quality_ok and event_time &lt; 2026-07-26</w:t>
      </w:r>
    </w:p>
    <w:p>
      <w:pPr>
        <w:pStyle w:val="CodeBlock"/>
      </w:pPr>
      <w:r>
        <w:t xml:space="preserve">  holdout = quality_ok and event_time &gt;= 2026-07-26</w:t>
      </w:r>
    </w:p>
    <w:p>
      <w:pPr>
        <w:pStyle w:val="CodeBlock"/>
      </w:pPr>
      <w:r>
        <w:t xml:space="preserve">  inner_train = train with event_time &lt; 2026-07-24</w:t>
      </w:r>
    </w:p>
    <w:p>
      <w:pPr>
        <w:pStyle w:val="CodeBlock"/>
      </w:pPr>
      <w:r>
        <w:t xml:space="preserve">  inner_validation = train with event_time &gt;= 2026-07-24</w:t>
      </w:r>
    </w:p>
    <w:p>
      <w:pPr>
        <w:pStyle w:val="CodeBlock"/>
      </w:pPr>
      <w:r>
        <w:t xml:space="preserve"> </w:t>
      </w:r>
    </w:p>
    <w:p>
      <w:pPr>
        <w:pStyle w:val="CodeBlock"/>
      </w:pPr>
      <w:r>
        <w:t xml:space="preserve">  fit standardized Huber IRLS ridge model on inner_train</w:t>
      </w:r>
    </w:p>
    <w:p>
      <w:pPr>
        <w:pStyle w:val="CodeBlock"/>
      </w:pPr>
      <w:r>
        <w:t xml:space="preserve">  calculate shrunken per-well residual effect</w:t>
      </w:r>
    </w:p>
    <w:p>
      <w:pPr>
        <w:pStyle w:val="CodeBlock"/>
      </w:pPr>
      <w:r>
        <w:t xml:space="preserve">  calculate shrunken per-well target median</w:t>
      </w:r>
    </w:p>
    <w:p>
      <w:pPr>
        <w:pStyle w:val="CodeBlock"/>
      </w:pPr>
      <w:r>
        <w:t xml:space="preserve">  choose empirical weight from 0.0 to 1.0 by inner-validation MAE</w:t>
      </w:r>
    </w:p>
    <w:p>
      <w:pPr>
        <w:pStyle w:val="CodeBlock"/>
      </w:pPr>
      <w:r>
        <w:t xml:space="preserve">  refit on all train</w:t>
      </w:r>
    </w:p>
    <w:p>
      <w:pPr>
        <w:pStyle w:val="CodeBlock"/>
      </w:pPr>
      <w:r>
        <w:t xml:space="preserve">  predict holdout</w:t>
      </w:r>
    </w:p>
    <w:p>
      <w:pPr>
        <w:pStyle w:val="CodeBlock"/>
      </w:pPr>
      <w:r>
        <w:t xml:space="preserve">  report MAE, median AE, RMSE, R2</w:t>
      </w:r>
    </w:p>
    <w:p>
      <w:pPr>
        <w:pStyle w:val="CodeBlock"/>
      </w:pPr>
      <w:r>
        <w:t xml:space="preserve"> </w:t>
      </w:r>
    </w:p>
    <w:p>
      <w:pPr>
        <w:pStyle w:val="CodeBlock"/>
      </w:pPr>
      <w:r>
        <w:t>FOR each well:</w:t>
      </w:r>
    </w:p>
    <w:p>
      <w:pPr>
        <w:pStyle w:val="CodeBlock"/>
      </w:pPr>
      <w:r>
        <w:t xml:space="preserve">  daily_level = median usable session-start level per day</w:t>
      </w:r>
    </w:p>
    <w:p>
      <w:pPr>
        <w:pStyle w:val="CodeBlock"/>
      </w:pPr>
      <w:r>
        <w:t xml:space="preserve">  raw_trend = Theil-Sen slope</w:t>
      </w:r>
    </w:p>
    <w:p>
      <w:pPr>
        <w:pStyle w:val="CodeBlock"/>
      </w:pPr>
      <w:r>
        <w:t xml:space="preserve">  shrunk_trend = shrink raw trend toward fleet median</w:t>
      </w:r>
    </w:p>
    <w:p>
      <w:pPr>
        <w:pStyle w:val="CodeBlock"/>
      </w:pPr>
      <w:r>
        <w:t xml:space="preserve">  classify stability from raw trend and median net-cycle change</w:t>
      </w:r>
    </w:p>
    <w:p>
      <w:pPr>
        <w:pStyle w:val="CodeBlock"/>
      </w:pPr>
      <w:r>
        <w:t xml:space="preserve">  assign website evidence tier from usable transitions and days</w:t>
      </w:r>
    </w:p>
    <w:p>
      <w:pPr>
        <w:pStyle w:val="CodeBlock"/>
      </w:pPr>
      <w:r>
        <w:t xml:space="preserve"> </w:t>
      </w:r>
    </w:p>
    <w:p>
      <w:pPr>
        <w:pStyle w:val="CodeBlock"/>
      </w:pPr>
      <w:r>
        <w:t>ROOT WEBSITE:</w:t>
      </w:r>
    </w:p>
    <w:p>
      <w:pPr>
        <w:pStyle w:val="CodeBlock"/>
      </w:pPr>
      <w:r>
        <w:t xml:space="preserve">  convert horizon to days</w:t>
      </w:r>
    </w:p>
    <w:p>
      <w:pPr>
        <w:pStyle w:val="CodeBlock"/>
      </w:pPr>
      <w:r>
        <w:t xml:space="preserve">  derive pump and recovery sensitivities from well summary</w:t>
      </w:r>
    </w:p>
    <w:p>
      <w:pPr>
        <w:pStyle w:val="CodeBlock"/>
      </w:pPr>
      <w:r>
        <w:t xml:space="preserve">  combine base trend and scenario factors</w:t>
      </w:r>
    </w:p>
    <w:p>
      <w:pPr>
        <w:pStyle w:val="CodeBlock"/>
      </w:pPr>
      <w:r>
        <w:t xml:space="preserve">  change = 30 * effective_trend * log(1 + days/30)</w:t>
      </w:r>
    </w:p>
    <w:p>
      <w:pPr>
        <w:pStyle w:val="CodeBlock"/>
      </w:pPr>
      <w:r>
        <w:t xml:space="preserve">  attach heuristic expanding interval</w:t>
      </w:r>
    </w:p>
    <w:p>
      <w:pPr>
        <w:pStyle w:val="CodeBlock"/>
      </w:pPr>
      <w:r>
        <w:t xml:space="preserve"> </w:t>
      </w:r>
    </w:p>
    <w:p>
      <w:pPr>
        <w:pStyle w:val="CodeBlock"/>
      </w:pPr>
      <w:r>
        <w:t>RAINFALL VALIDATION:</w:t>
      </w:r>
    </w:p>
    <w:p>
      <w:pPr>
        <w:pStyle w:val="CodeBlock"/>
      </w:pPr>
      <w:r>
        <w:t xml:space="preserve">  download NASA POWER PRECTOTCORR</w:t>
      </w:r>
    </w:p>
    <w:p>
      <w:pPr>
        <w:pStyle w:val="CodeBlock"/>
      </w:pPr>
      <w:r>
        <w:t xml:space="preserve">  shift daily rain by one day</w:t>
      </w:r>
    </w:p>
    <w:p>
      <w:pPr>
        <w:pStyle w:val="CodeBlock"/>
      </w:pPr>
      <w:r>
        <w:t xml:space="preserve">  create 1, 3, 7, 14-day prior sums</w:t>
      </w:r>
    </w:p>
    <w:p>
      <w:pPr>
        <w:pStyle w:val="CodeBlock"/>
      </w:pPr>
      <w:r>
        <w:t xml:space="preserve">  select lag set on 24–25 July</w:t>
      </w:r>
    </w:p>
    <w:p>
      <w:pPr>
        <w:pStyle w:val="CodeBlock"/>
      </w:pPr>
      <w:r>
        <w:t xml:space="preserve">  evaluate 26–29 July</w:t>
      </w:r>
    </w:p>
    <w:p>
      <w:pPr>
        <w:pStyle w:val="CodeBlock"/>
      </w:pPr>
      <w:r>
        <w:t xml:space="preserve"> </w:t>
      </w:r>
    </w:p>
    <w:p>
      <w:pPr>
        <w:pStyle w:val="CodeBlock"/>
      </w:pPr>
      <w:r>
        <w:t>RAINFALL SCENARIO PAGE:</w:t>
      </w:r>
    </w:p>
    <w:p>
      <w:pPr>
        <w:pStyle w:val="CodeBlock"/>
      </w:pPr>
      <w:r>
        <w:t xml:space="preserve">  construct monthly q25/median/q75 climatology for 2001–2025</w:t>
      </w:r>
    </w:p>
    <w:p>
      <w:pPr>
        <w:pStyle w:val="CodeBlock"/>
      </w:pPr>
      <w:r>
        <w:t xml:space="preserve">  spread selected monthly total evenly within each month</w:t>
      </w:r>
    </w:p>
    <w:p>
      <w:pPr>
        <w:pStyle w:val="CodeBlock"/>
      </w:pPr>
      <w:r>
        <w:t xml:space="preserve">  adjust daily trend by bounded rainfall signal and recovery sensitivity</w:t>
      </w:r>
    </w:p>
    <w:p>
      <w:pPr>
        <w:pStyle w:val="CodeBlock"/>
      </w:pPr>
      <w:r>
        <w:t xml:space="preserve">  accumulate with 1/(1+d/30) decay</w:t>
      </w:r>
    </w:p>
    <w:p>
      <w:pPr>
        <w:pStyle w:val="CodeBlock"/>
      </w:pPr>
      <w:r>
        <w:t xml:space="preserve">  retain heuristic uncertainty, scaled by validation MAE ratio</w:t>
      </w:r>
    </w:p>
    <w:p>
      <w:pPr>
        <w:pStyle w:val="Heading1"/>
        <w:pageBreakBefore/>
      </w:pPr>
      <w:r>
        <w:rPr>
          <w:b/>
        </w:rPr>
        <w:t>Appendix B. Glossary</w:t>
      </w:r>
    </w:p>
    <w:tbl>
      <w:tblPr>
        <w:tblStyle w:val="TableGrid"/>
        <w:tblW w:type="auto" w:w="0"/>
        <w:jc w:val="center"/>
        <w:tblLayout w:type="fixed"/>
        <w:tblLook w:firstColumn="1" w:firstRow="1" w:lastColumn="0" w:lastRow="0" w:noHBand="0" w:noVBand="1" w:val="04A0"/>
        <w:tblBorders>
          <w:top w:val="single" w:sz="4" w:color="D8E0E5"/>
          <w:left w:val="single" w:sz="4" w:color="D8E0E5"/>
          <w:bottom w:val="single" w:sz="4" w:color="D8E0E5"/>
          <w:right w:val="single" w:sz="4" w:color="D8E0E5"/>
          <w:insideH w:val="single" w:sz="4" w:color="D8E0E5"/>
          <w:insideV w:val="single" w:sz="4" w:color="D8E0E5"/>
        </w:tblBorders>
      </w:tblPr>
      <w:tblGrid>
        <w:gridCol w:w="5046"/>
        <w:gridCol w:w="5046"/>
      </w:tblGrid>
      <w:tr>
        <w:trPr>
          <w:cantSplit/>
          <w:tblHeader w:val="true"/>
        </w:trPr>
        <w:tc>
          <w:tcPr>
            <w:tcW w:type="dxa" w:w="3600"/>
            <w:vAlign w:val="center"/>
            <w:tcMar>
              <w:top w:w="65" w:type="dxa"/>
              <w:start w:w="100" w:type="dxa"/>
              <w:bottom w:w="65" w:type="dxa"/>
              <w:end w:w="100" w:type="dxa"/>
            </w:tcMar>
            <w:shd w:fill="17324D"/>
          </w:tcPr>
          <w:p>
            <w:pPr>
              <w:spacing w:after="0" w:line="240" w:lineRule="auto"/>
            </w:pPr>
            <w:r>
              <w:rPr>
                <w:b/>
                <w:color w:val="FFFFFF"/>
                <w:sz w:val="16"/>
              </w:rPr>
              <w:t>Term</w:t>
            </w:r>
          </w:p>
        </w:tc>
        <w:tc>
          <w:tcPr>
            <w:tcW w:type="dxa" w:w="6400"/>
            <w:vAlign w:val="center"/>
            <w:tcMar>
              <w:top w:w="65" w:type="dxa"/>
              <w:start w:w="100" w:type="dxa"/>
              <w:bottom w:w="65" w:type="dxa"/>
              <w:end w:w="100" w:type="dxa"/>
            </w:tcMar>
            <w:shd w:fill="17324D"/>
          </w:tcPr>
          <w:p>
            <w:pPr>
              <w:spacing w:after="0" w:line="240" w:lineRule="auto"/>
            </w:pPr>
            <w:r>
              <w:rPr>
                <w:b/>
                <w:color w:val="FFFFFF"/>
                <w:sz w:val="16"/>
              </w:rPr>
              <w:t>Meaning in this work</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Aquifer recharge</w:t>
            </w:r>
          </w:p>
        </w:tc>
        <w:tc>
          <w:tcPr>
            <w:tcW w:type="dxa" w:w="6400"/>
            <w:vAlign w:val="center"/>
            <w:tcMar>
              <w:top w:w="65" w:type="dxa"/>
              <w:start w:w="100" w:type="dxa"/>
              <w:bottom w:w="65" w:type="dxa"/>
              <w:end w:w="100" w:type="dxa"/>
            </w:tcMar>
          </w:tcPr>
          <w:p>
            <w:pPr>
              <w:spacing w:after="0" w:line="240" w:lineRule="auto"/>
            </w:pPr>
            <w:r>
              <w:rPr>
                <w:b w:val="0"/>
                <w:color w:val="222B32"/>
                <w:sz w:val="16"/>
              </w:rPr>
              <w:t>Water entering the groundwater or connected-fracture system</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Dynamic level</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Water depth measured while pumping or under recent pumping influence</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Static level</w:t>
            </w:r>
          </w:p>
        </w:tc>
        <w:tc>
          <w:tcPr>
            <w:tcW w:type="dxa" w:w="6400"/>
            <w:vAlign w:val="center"/>
            <w:tcMar>
              <w:top w:w="65" w:type="dxa"/>
              <w:start w:w="100" w:type="dxa"/>
              <w:bottom w:w="65" w:type="dxa"/>
              <w:end w:w="100" w:type="dxa"/>
            </w:tcMar>
          </w:tcPr>
          <w:p>
            <w:pPr>
              <w:spacing w:after="0" w:line="240" w:lineRule="auto"/>
            </w:pPr>
            <w:r>
              <w:rPr>
                <w:b w:val="0"/>
                <w:color w:val="222B32"/>
                <w:sz w:val="16"/>
              </w:rPr>
              <w:t>Water depth after a defined non-pumping recovery period</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Drawdown</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Here, stop depth minus start depth within a pumping session</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Recovery</w:t>
            </w:r>
          </w:p>
        </w:tc>
        <w:tc>
          <w:tcPr>
            <w:tcW w:type="dxa" w:w="6400"/>
            <w:vAlign w:val="center"/>
            <w:tcMar>
              <w:top w:w="65" w:type="dxa"/>
              <w:start w:w="100" w:type="dxa"/>
              <w:bottom w:w="65" w:type="dxa"/>
              <w:end w:w="100" w:type="dxa"/>
            </w:tcMar>
          </w:tcPr>
          <w:p>
            <w:pPr>
              <w:spacing w:after="0" w:line="240" w:lineRule="auto"/>
            </w:pPr>
            <w:r>
              <w:rPr>
                <w:b w:val="0"/>
                <w:color w:val="222B32"/>
                <w:sz w:val="16"/>
              </w:rPr>
              <w:t>Next start depth minus previous stop depth</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m bgs</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Metres below ground surface</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MAE</w:t>
            </w:r>
          </w:p>
        </w:tc>
        <w:tc>
          <w:tcPr>
            <w:tcW w:type="dxa" w:w="6400"/>
            <w:vAlign w:val="center"/>
            <w:tcMar>
              <w:top w:w="65" w:type="dxa"/>
              <w:start w:w="100" w:type="dxa"/>
              <w:bottom w:w="65" w:type="dxa"/>
              <w:end w:w="100" w:type="dxa"/>
            </w:tcMar>
          </w:tcPr>
          <w:p>
            <w:pPr>
              <w:spacing w:after="0" w:line="240" w:lineRule="auto"/>
            </w:pPr>
            <w:r>
              <w:rPr>
                <w:b w:val="0"/>
                <w:color w:val="222B32"/>
                <w:sz w:val="16"/>
              </w:rPr>
              <w:t>Mean absolute error</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Median AE</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Median absolute error</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RMSE</w:t>
            </w:r>
          </w:p>
        </w:tc>
        <w:tc>
          <w:tcPr>
            <w:tcW w:type="dxa" w:w="6400"/>
            <w:vAlign w:val="center"/>
            <w:tcMar>
              <w:top w:w="65" w:type="dxa"/>
              <w:start w:w="100" w:type="dxa"/>
              <w:bottom w:w="65" w:type="dxa"/>
              <w:end w:w="100" w:type="dxa"/>
            </w:tcMar>
          </w:tcPr>
          <w:p>
            <w:pPr>
              <w:spacing w:after="0" w:line="240" w:lineRule="auto"/>
            </w:pPr>
            <w:r>
              <w:rPr>
                <w:b w:val="0"/>
                <w:color w:val="222B32"/>
                <w:sz w:val="16"/>
              </w:rPr>
              <w:t>Root mean squared error</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Huber regression</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Robust regression that reduces the influence of large residuals</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Ridge</w:t>
            </w:r>
          </w:p>
        </w:tc>
        <w:tc>
          <w:tcPr>
            <w:tcW w:type="dxa" w:w="6400"/>
            <w:vAlign w:val="center"/>
            <w:tcMar>
              <w:top w:w="65" w:type="dxa"/>
              <w:start w:w="100" w:type="dxa"/>
              <w:bottom w:w="65" w:type="dxa"/>
              <w:end w:w="100" w:type="dxa"/>
            </w:tcMar>
          </w:tcPr>
          <w:p>
            <w:pPr>
              <w:spacing w:after="0" w:line="240" w:lineRule="auto"/>
            </w:pPr>
            <w:r>
              <w:rPr>
                <w:b w:val="0"/>
                <w:color w:val="222B32"/>
                <w:sz w:val="16"/>
              </w:rPr>
              <w:t>Quadratic coefficient penalty used for numerical stability</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Partial pooling</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Combining fleet-wide learning with shrunken well-specific effects</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Theil–Sen slope</w:t>
            </w:r>
          </w:p>
        </w:tc>
        <w:tc>
          <w:tcPr>
            <w:tcW w:type="dxa" w:w="6400"/>
            <w:vAlign w:val="center"/>
            <w:tcMar>
              <w:top w:w="65" w:type="dxa"/>
              <w:start w:w="100" w:type="dxa"/>
              <w:bottom w:w="65" w:type="dxa"/>
              <w:end w:w="100" w:type="dxa"/>
            </w:tcMar>
          </w:tcPr>
          <w:p>
            <w:pPr>
              <w:spacing w:after="0" w:line="240" w:lineRule="auto"/>
            </w:pPr>
            <w:r>
              <w:rPr>
                <w:b w:val="0"/>
                <w:color w:val="222B32"/>
                <w:sz w:val="16"/>
              </w:rPr>
              <w:t>Median of pairwise slopes, resistant to isolated outliers</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Chronological holdout</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Later data withheld from model fitting and used only for evaluation</w:t>
            </w:r>
          </w:p>
        </w:tc>
      </w:tr>
      <w:tr>
        <w:trPr>
          <w:cantSplit/>
        </w:trPr>
        <w:tc>
          <w:tcPr>
            <w:tcW w:type="dxa" w:w="3600"/>
            <w:vAlign w:val="center"/>
            <w:tcMar>
              <w:top w:w="65" w:type="dxa"/>
              <w:start w:w="100" w:type="dxa"/>
              <w:bottom w:w="65" w:type="dxa"/>
              <w:end w:w="100" w:type="dxa"/>
            </w:tcMar>
          </w:tcPr>
          <w:p>
            <w:pPr>
              <w:spacing w:after="0" w:line="240" w:lineRule="auto"/>
            </w:pPr>
            <w:r>
              <w:rPr>
                <w:b w:val="0"/>
                <w:color w:val="222B32"/>
                <w:sz w:val="16"/>
              </w:rPr>
              <w:t>Climatology</w:t>
            </w:r>
          </w:p>
        </w:tc>
        <w:tc>
          <w:tcPr>
            <w:tcW w:type="dxa" w:w="6400"/>
            <w:vAlign w:val="center"/>
            <w:tcMar>
              <w:top w:w="65" w:type="dxa"/>
              <w:start w:w="100" w:type="dxa"/>
              <w:bottom w:w="65" w:type="dxa"/>
              <w:end w:w="100" w:type="dxa"/>
            </w:tcMar>
          </w:tcPr>
          <w:p>
            <w:pPr>
              <w:spacing w:after="0" w:line="240" w:lineRule="auto"/>
            </w:pPr>
            <w:r>
              <w:rPr>
                <w:b w:val="0"/>
                <w:color w:val="222B32"/>
                <w:sz w:val="16"/>
              </w:rPr>
              <w:t>Historical seasonal distribution, not a weather forecast</w:t>
            </w:r>
          </w:p>
        </w:tc>
      </w:tr>
      <w:tr>
        <w:trPr>
          <w:cantSplit/>
        </w:trPr>
        <w:tc>
          <w:tcPr>
            <w:tcW w:type="dxa" w:w="3600"/>
            <w:vAlign w:val="center"/>
            <w:tcMar>
              <w:top w:w="65" w:type="dxa"/>
              <w:start w:w="100" w:type="dxa"/>
              <w:bottom w:w="65" w:type="dxa"/>
              <w:end w:w="100" w:type="dxa"/>
            </w:tcMar>
            <w:shd w:fill="F4F8FA"/>
          </w:tcPr>
          <w:p>
            <w:pPr>
              <w:spacing w:after="0" w:line="240" w:lineRule="auto"/>
            </w:pPr>
            <w:r>
              <w:rPr>
                <w:b w:val="0"/>
                <w:color w:val="222B32"/>
                <w:sz w:val="16"/>
              </w:rPr>
              <w:t>Scenario</w:t>
            </w:r>
          </w:p>
        </w:tc>
        <w:tc>
          <w:tcPr>
            <w:tcW w:type="dxa" w:w="6400"/>
            <w:vAlign w:val="center"/>
            <w:tcMar>
              <w:top w:w="65" w:type="dxa"/>
              <w:start w:w="100" w:type="dxa"/>
              <w:bottom w:w="65" w:type="dxa"/>
              <w:end w:w="100" w:type="dxa"/>
            </w:tcMar>
            <w:shd w:fill="F4F8FA"/>
          </w:tcPr>
          <w:p>
            <w:pPr>
              <w:spacing w:after="0" w:line="240" w:lineRule="auto"/>
            </w:pPr>
            <w:r>
              <w:rPr>
                <w:b w:val="0"/>
                <w:color w:val="222B32"/>
                <w:sz w:val="16"/>
              </w:rPr>
              <w:t>Conditional illustration under stated assumptions, not a validated prediction</w:t>
            </w:r>
          </w:p>
        </w:tc>
      </w:tr>
    </w:tbl>
    <w:p>
      <w:pPr>
        <w:spacing w:after="0"/>
      </w:pPr>
    </w:p>
    <w:sectPr w:rsidR="00FC693F" w:rsidRPr="0006063C" w:rsidSect="00034616">
      <w:headerReference w:type="default" r:id="rId9"/>
      <w:footerReference w:type="default" r:id="rId10"/>
      <w:pgSz w:w="11906" w:h="16838"/>
      <w:pgMar w:top="935" w:right="879" w:bottom="879"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86670"/>
        <w:sz w:val="14"/>
      </w:rPr>
      <w:t xml:space="preserve">26 SEPTEMBER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0000"/>
        <w:sz w:val="14"/>
      </w:rPr>
      <w:t>BENGALURU BOREWELL FORECASTING POC  •  MATHEMATICAL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59" w:lineRule="auto"/>
    </w:pPr>
    <w:rPr>
      <w:rFonts w:ascii="Aptos" w:hAnsi="Aptos"/>
      <w:color w:val="222B3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6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ind w:left="340" w:hanging="159"/>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ind w:left="397" w:hanging="198"/>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Display">
    <w:name w:val="Equation Display"/>
    <w:pPr>
      <w:keepLines/>
      <w:spacing w:before="80" w:after="140"/>
      <w:jc w:val="center"/>
    </w:pPr>
    <w:rPr>
      <w:rFonts w:ascii="Cambria Math" w:hAnsi="Cambria Math"/>
      <w:color w:val="222B32"/>
      <w:sz w:val="19"/>
    </w:rPr>
  </w:style>
  <w:style w:type="paragraph" w:customStyle="1" w:styleId="CodeBlock">
    <w:name w:val="Code Block"/>
    <w:pPr>
      <w:keepLines w:val="0"/>
      <w:spacing w:before="20" w:after="20"/>
      <w:ind w:left="198" w:right="142"/>
    </w:pPr>
    <w:rPr>
      <w:rFonts w:ascii="Aptos Mono" w:hAnsi="Aptos Mono"/>
      <w:color w:val="263641"/>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ailabhiramsrinivas-art.github.io/borewell-water-forecast/" TargetMode="External"/><Relationship Id="rId12" Type="http://schemas.openxmlformats.org/officeDocument/2006/relationships/hyperlink" Target="https://mailabhiramsrinivas-art.github.io/borewell-water-forecast/comparison/" TargetMode="External"/><Relationship Id="rId13" Type="http://schemas.openxmlformats.org/officeDocument/2006/relationships/hyperlink" Target="https://mailabhiramsrinivas-art.github.io/borewell-water-forecast/validation/" TargetMode="External"/><Relationship Id="rId14" Type="http://schemas.openxmlformats.org/officeDocument/2006/relationships/hyperlink" Target="https://mailabhiramsrinivas-art.github.io/borewell-water-forecast/models/" TargetMode="External"/><Relationship Id="rId15" Type="http://schemas.openxmlformats.org/officeDocument/2006/relationships/hyperlink" Target="https://github.com/mailabhiramsrinivas-art/borewell-water-forecast"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 Id="rId50" Type="http://schemas.openxmlformats.org/officeDocument/2006/relationships/image" Target="media/image35.png"/><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60" Type="http://schemas.openxmlformats.org/officeDocument/2006/relationships/image" Target="media/image45.png"/><Relationship Id="rId61" Type="http://schemas.openxmlformats.org/officeDocument/2006/relationships/image" Target="media/image46.png"/><Relationship Id="rId62" Type="http://schemas.openxmlformats.org/officeDocument/2006/relationships/image" Target="media/image47.png"/><Relationship Id="rId63" Type="http://schemas.openxmlformats.org/officeDocument/2006/relationships/image" Target="media/image48.png"/><Relationship Id="rId64" Type="http://schemas.openxmlformats.org/officeDocument/2006/relationships/image" Target="media/image49.png"/><Relationship Id="rId65" Type="http://schemas.openxmlformats.org/officeDocument/2006/relationships/image" Target="media/image50.pn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png"/><Relationship Id="rId70" Type="http://schemas.openxmlformats.org/officeDocument/2006/relationships/image" Target="media/image55.png"/><Relationship Id="rId71" Type="http://schemas.openxmlformats.org/officeDocument/2006/relationships/hyperlink" Target="https://power.larc.nasa.gov/docs/services/api/temporal/daily/" TargetMode="External"/><Relationship Id="rId72" Type="http://schemas.openxmlformats.org/officeDocument/2006/relationships/image" Target="media/image56.png"/><Relationship Id="rId73" Type="http://schemas.openxmlformats.org/officeDocument/2006/relationships/image" Target="media/image57.png"/><Relationship Id="rId74" Type="http://schemas.openxmlformats.org/officeDocument/2006/relationships/image" Target="media/image58.png"/><Relationship Id="rId75" Type="http://schemas.openxmlformats.org/officeDocument/2006/relationships/image" Target="media/image59.png"/><Relationship Id="rId76" Type="http://schemas.openxmlformats.org/officeDocument/2006/relationships/image" Target="media/image60.png"/><Relationship Id="rId77" Type="http://schemas.openxmlformats.org/officeDocument/2006/relationships/image" Target="media/image61.png"/><Relationship Id="rId78" Type="http://schemas.openxmlformats.org/officeDocument/2006/relationships/image" Target="media/image62.png"/><Relationship Id="rId79" Type="http://schemas.openxmlformats.org/officeDocument/2006/relationships/image" Target="media/image63.png"/><Relationship Id="rId80" Type="http://schemas.openxmlformats.org/officeDocument/2006/relationships/image" Target="media/image64.png"/><Relationship Id="rId81" Type="http://schemas.openxmlformats.org/officeDocument/2006/relationships/image" Target="media/image65.png"/><Relationship Id="rId82" Type="http://schemas.openxmlformats.org/officeDocument/2006/relationships/image" Target="media/image66.png"/><Relationship Id="rId83" Type="http://schemas.openxmlformats.org/officeDocument/2006/relationships/image" Target="media/image67.png"/><Relationship Id="rId84" Type="http://schemas.openxmlformats.org/officeDocument/2006/relationships/image" Target="media/image68.png"/><Relationship Id="rId85" Type="http://schemas.openxmlformats.org/officeDocument/2006/relationships/image" Target="media/image69.png"/><Relationship Id="rId86" Type="http://schemas.openxmlformats.org/officeDocument/2006/relationships/image" Target="media/image70.png"/><Relationship Id="rId87" Type="http://schemas.openxmlformats.org/officeDocument/2006/relationships/image" Target="media/image71.png"/><Relationship Id="rId88" Type="http://schemas.openxmlformats.org/officeDocument/2006/relationships/image" Target="media/image72.png"/><Relationship Id="rId89" Type="http://schemas.openxmlformats.org/officeDocument/2006/relationships/image" Target="media/image73.png"/><Relationship Id="rId90" Type="http://schemas.openxmlformats.org/officeDocument/2006/relationships/image" Target="media/image74.png"/><Relationship Id="rId91" Type="http://schemas.openxmlformats.org/officeDocument/2006/relationships/image" Target="media/image75.png"/><Relationship Id="rId92" Type="http://schemas.openxmlformats.org/officeDocument/2006/relationships/image" Target="media/image76.png"/><Relationship Id="rId93" Type="http://schemas.openxmlformats.org/officeDocument/2006/relationships/image" Target="media/image77.png"/><Relationship Id="rId94" Type="http://schemas.openxmlformats.org/officeDocument/2006/relationships/image" Target="media/image78.png"/><Relationship Id="rId95" Type="http://schemas.openxmlformats.org/officeDocument/2006/relationships/image" Target="media/image79.png"/><Relationship Id="rId96" Type="http://schemas.openxmlformats.org/officeDocument/2006/relationships/image" Target="media/image80.png"/><Relationship Id="rId97" Type="http://schemas.openxmlformats.org/officeDocument/2006/relationships/image" Target="media/image81.png"/><Relationship Id="rId98" Type="http://schemas.openxmlformats.org/officeDocument/2006/relationships/image" Target="media/image82.png"/><Relationship Id="rId99" Type="http://schemas.openxmlformats.org/officeDocument/2006/relationships/image" Target="media/image83.png"/><Relationship Id="rId100" Type="http://schemas.openxmlformats.org/officeDocument/2006/relationships/image" Target="media/image84.png"/><Relationship Id="rId101" Type="http://schemas.openxmlformats.org/officeDocument/2006/relationships/image" Target="media/image85.png"/><Relationship Id="rId102" Type="http://schemas.openxmlformats.org/officeDocument/2006/relationships/image" Target="media/image86.png"/><Relationship Id="rId103" Type="http://schemas.openxmlformats.org/officeDocument/2006/relationships/image" Target="media/image87.png"/><Relationship Id="rId104" Type="http://schemas.openxmlformats.org/officeDocument/2006/relationships/image" Target="media/image88.png"/><Relationship Id="rId105" Type="http://schemas.openxmlformats.org/officeDocument/2006/relationships/image" Target="media/image89.png"/><Relationship Id="rId106" Type="http://schemas.openxmlformats.org/officeDocument/2006/relationships/image" Target="media/image90.png"/><Relationship Id="rId107" Type="http://schemas.openxmlformats.org/officeDocument/2006/relationships/image" Target="media/image91.png"/><Relationship Id="rId108" Type="http://schemas.openxmlformats.org/officeDocument/2006/relationships/image" Target="media/image9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Mathematical and Technical Handoff for the Bengaluru Borewell Forecasting Proof of Concept</dc:title>
  <dc:subject>Data, model, validation, rainfall, website, and deployment specification</dc:subject>
  <dc:creator>Abhiram Srinivas project handoff</dc:creator>
  <cp:keywords/>
  <dc:description>Generated from the canonical Markdown handoff and visually verified.</dc:description>
  <cp:lastModifiedBy/>
  <cp:revision>1</cp:revision>
  <dcterms:created xsi:type="dcterms:W3CDTF">2013-12-23T23:15:00Z</dcterms:created>
  <dcterms:modified xsi:type="dcterms:W3CDTF">2013-12-23T23:15:00Z</dcterms:modified>
  <cp:category/>
</cp:coreProperties>
</file>