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19" w:type="dxa"/>
        <w:jc w:val="center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510"/>
        <w:gridCol w:w="2699"/>
        <w:gridCol w:w="4188"/>
      </w:tblGrid>
      <w:tr w:rsidR="00FC517C" w:rsidRPr="00CC1719" w14:paraId="64F14DE7" w14:textId="77777777" w:rsidTr="00FC517C">
        <w:trPr>
          <w:trHeight w:val="237"/>
          <w:tblHeader/>
          <w:jc w:val="center"/>
        </w:trPr>
        <w:tc>
          <w:tcPr>
            <w:tcW w:w="10019" w:type="dxa"/>
            <w:gridSpan w:val="4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002060"/>
            <w:tcMar>
              <w:top w:w="210" w:type="dxa"/>
              <w:left w:w="240" w:type="dxa"/>
              <w:bottom w:w="195" w:type="dxa"/>
              <w:right w:w="240" w:type="dxa"/>
            </w:tcMar>
            <w:vAlign w:val="center"/>
          </w:tcPr>
          <w:p w14:paraId="7FE73BE2" w14:textId="77777777" w:rsidR="00FC517C" w:rsidRPr="00CC1719" w:rsidRDefault="00FC517C" w:rsidP="00C56EF3">
            <w:pPr>
              <w:spacing w:line="240" w:lineRule="auto"/>
              <w:jc w:val="center"/>
              <w:rPr>
                <w:rFonts w:cstheme="minorHAnsi"/>
                <w:b/>
                <w:bCs/>
                <w:color w:val="FFFFFF" w:themeColor="background1"/>
                <w:sz w:val="22"/>
                <w:szCs w:val="22"/>
              </w:rPr>
            </w:pPr>
            <w:r w:rsidRPr="00CC1719">
              <w:rPr>
                <w:rFonts w:cstheme="minorHAnsi"/>
                <w:b/>
                <w:bCs/>
                <w:color w:val="FFFFFF" w:themeColor="background1"/>
                <w:sz w:val="22"/>
                <w:szCs w:val="22"/>
              </w:rPr>
              <w:t>Unwaivable BARS To Establishing Good Moral Character</w:t>
            </w:r>
          </w:p>
        </w:tc>
      </w:tr>
      <w:tr w:rsidR="00FC517C" w:rsidRPr="00CC1719" w14:paraId="285CBCD6" w14:textId="77777777" w:rsidTr="00FC517C">
        <w:trPr>
          <w:trHeight w:val="219"/>
          <w:tblHeader/>
          <w:jc w:val="center"/>
        </w:trPr>
        <w:tc>
          <w:tcPr>
            <w:tcW w:w="162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BFBFBF" w:themeFill="background1" w:themeFillShade="BF"/>
            <w:tcMar>
              <w:top w:w="210" w:type="dxa"/>
              <w:left w:w="240" w:type="dxa"/>
              <w:bottom w:w="195" w:type="dxa"/>
              <w:right w:w="240" w:type="dxa"/>
            </w:tcMar>
            <w:vAlign w:val="center"/>
          </w:tcPr>
          <w:p w14:paraId="18467A0D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Trigger</w:t>
            </w:r>
          </w:p>
        </w:tc>
        <w:tc>
          <w:tcPr>
            <w:tcW w:w="1510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BFBFBF" w:themeFill="background1" w:themeFillShade="BF"/>
            <w:tcMar>
              <w:left w:w="29" w:type="dxa"/>
              <w:right w:w="29" w:type="dxa"/>
            </w:tcMar>
            <w:vAlign w:val="center"/>
          </w:tcPr>
          <w:p w14:paraId="62C5041C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Offense</w:t>
            </w:r>
          </w:p>
        </w:tc>
        <w:tc>
          <w:tcPr>
            <w:tcW w:w="2699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BFBFBF" w:themeFill="background1" w:themeFillShade="BF"/>
            <w:tcMar>
              <w:top w:w="210" w:type="dxa"/>
              <w:left w:w="240" w:type="dxa"/>
              <w:bottom w:w="195" w:type="dxa"/>
              <w:right w:w="240" w:type="dxa"/>
            </w:tcMar>
            <w:vAlign w:val="center"/>
            <w:hideMark/>
          </w:tcPr>
          <w:p w14:paraId="3B3B99A3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Citation</w:t>
            </w:r>
          </w:p>
        </w:tc>
        <w:tc>
          <w:tcPr>
            <w:tcW w:w="4187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BFBFBF" w:themeFill="background1" w:themeFillShade="BF"/>
            <w:tcMar>
              <w:top w:w="210" w:type="dxa"/>
              <w:left w:w="240" w:type="dxa"/>
              <w:bottom w:w="195" w:type="dxa"/>
              <w:right w:w="240" w:type="dxa"/>
            </w:tcMar>
            <w:vAlign w:val="center"/>
            <w:hideMark/>
          </w:tcPr>
          <w:p w14:paraId="7881D887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Description</w:t>
            </w:r>
          </w:p>
        </w:tc>
      </w:tr>
      <w:tr w:rsidR="00FC517C" w:rsidRPr="00CC1719" w14:paraId="15051014" w14:textId="77777777" w:rsidTr="00FC517C">
        <w:trPr>
          <w:trHeight w:val="851"/>
          <w:jc w:val="center"/>
        </w:trPr>
        <w:tc>
          <w:tcPr>
            <w:tcW w:w="1622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08C53915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 xml:space="preserve">Conduct </w:t>
            </w:r>
          </w:p>
        </w:tc>
        <w:tc>
          <w:tcPr>
            <w:tcW w:w="1510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112B9E38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Controlled Substance Violation</w:t>
            </w:r>
          </w:p>
        </w:tc>
        <w:tc>
          <w:tcPr>
            <w:tcW w:w="2699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516177AD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9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101(f)(3)</w:t>
              </w:r>
            </w:hyperlink>
          </w:p>
          <w:p w14:paraId="2338FD91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0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316.10(b)(2)(iii), (iv)</w:t>
              </w:r>
            </w:hyperlink>
          </w:p>
        </w:tc>
        <w:tc>
          <w:tcPr>
            <w:tcW w:w="4187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5C6475B9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Violated any law relating to controlled substances, except for simple possession of 30g or less of marijuana</w:t>
            </w:r>
          </w:p>
        </w:tc>
      </w:tr>
      <w:tr w:rsidR="00FC517C" w:rsidRPr="00CC1719" w14:paraId="46D25F1F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7E4688E2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72FE3A16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False Testimony under Oath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1E076517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1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101(f)(6)</w:t>
              </w:r>
            </w:hyperlink>
          </w:p>
          <w:p w14:paraId="1CBDEA04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2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316.10(b)(2)(vi)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3CC759F2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False testimony for the purpose of obtaining any immigration benefit (</w:t>
            </w:r>
            <w:proofErr w:type="gramStart"/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whether or not</w:t>
            </w:r>
            <w:proofErr w:type="gramEnd"/>
            <w:r w:rsidRPr="00CC1719">
              <w:rPr>
                <w:rFonts w:asciiTheme="minorHAnsi" w:hAnsiTheme="minorHAnsi" w:cstheme="minorHAnsi"/>
                <w:sz w:val="22"/>
                <w:szCs w:val="22"/>
              </w:rPr>
              <w:t xml:space="preserve"> material)</w:t>
            </w:r>
          </w:p>
        </w:tc>
      </w:tr>
      <w:tr w:rsidR="00FC517C" w:rsidRPr="00CC1719" w14:paraId="06A564A1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0F9809AC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56B7C40E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Prostitution Offenses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62E92C3E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3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101(f)(3)</w:t>
              </w:r>
            </w:hyperlink>
          </w:p>
          <w:p w14:paraId="26533A97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4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316.10(b)(2)(vii)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61FB7431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Engaged in prostitution, attempted or procured to import prostitution, or received proceeds from prostitution</w:t>
            </w:r>
          </w:p>
        </w:tc>
      </w:tr>
      <w:tr w:rsidR="00FC517C" w:rsidRPr="00CC1719" w14:paraId="7DFAA405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12122C63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5E3D98C5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Smuggling of a Person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7C1AB05A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5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101(f)(3)</w:t>
              </w:r>
            </w:hyperlink>
          </w:p>
          <w:p w14:paraId="26EC7764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6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316.10(b)(2)(viii)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58ACF332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Involved in smuggling of a person to enter or try to enter the United States as defined in the inadmissibility grounds</w:t>
            </w:r>
          </w:p>
        </w:tc>
      </w:tr>
      <w:tr w:rsidR="00FC517C" w:rsidRPr="00CC1719" w14:paraId="3F118136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13735260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4A2BD868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Polygamy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0F19FC14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7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101(f)(3)</w:t>
              </w:r>
            </w:hyperlink>
          </w:p>
          <w:p w14:paraId="72E84D20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8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316.10(b)(2)(ix)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54E3B7DD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Practiced polygamy as defined in the inadmissibility grounds</w:t>
            </w:r>
          </w:p>
        </w:tc>
      </w:tr>
      <w:tr w:rsidR="00FC517C" w:rsidRPr="00CC1719" w14:paraId="34EE7A7D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1D96CBFC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3D1C5472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Income from illegal gambling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02E06159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9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101(f)(4)</w:t>
              </w:r>
            </w:hyperlink>
          </w:p>
          <w:p w14:paraId="75035531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0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316.10(b)(2)(xi)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1BE82C0C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Derives income principally from illegal gambling activities</w:t>
            </w:r>
          </w:p>
        </w:tc>
      </w:tr>
      <w:tr w:rsidR="00FC517C" w:rsidRPr="00CC1719" w14:paraId="52737D5D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3BDDD4BE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483753DD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Habitual Drunkard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0D993322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1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101(f)(1)</w:t>
              </w:r>
            </w:hyperlink>
          </w:p>
          <w:p w14:paraId="494B5DC4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2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316.10(b)(2)(xii)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6B590DCE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Is or was a habitual drunkard</w:t>
            </w:r>
          </w:p>
        </w:tc>
      </w:tr>
      <w:tr w:rsidR="00FC517C" w:rsidRPr="00CC1719" w14:paraId="39620D24" w14:textId="77777777" w:rsidTr="00FC517C">
        <w:trPr>
          <w:trHeight w:val="678"/>
          <w:jc w:val="center"/>
        </w:trPr>
        <w:tc>
          <w:tcPr>
            <w:tcW w:w="1622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339D376C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Admission</w:t>
            </w:r>
          </w:p>
        </w:tc>
        <w:tc>
          <w:tcPr>
            <w:tcW w:w="1510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3163ED85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Controlled Substance Violation</w:t>
            </w:r>
          </w:p>
        </w:tc>
        <w:tc>
          <w:tcPr>
            <w:tcW w:w="2699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619BE580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3" w:history="1">
              <w:r w:rsidRPr="00CC1719">
                <w:rPr>
                  <w:rStyle w:val="Hyperlink"/>
                  <w:rFonts w:cstheme="minorHAnsi"/>
                  <w:sz w:val="22"/>
                  <w:szCs w:val="22"/>
                </w:rPr>
                <w:t>INA 101(f)(3)</w:t>
              </w:r>
            </w:hyperlink>
          </w:p>
          <w:p w14:paraId="34C045B4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4" w:history="1">
              <w:r w:rsidRPr="00CC1719">
                <w:rPr>
                  <w:rStyle w:val="Hyperlink"/>
                  <w:rFonts w:cstheme="minorHAnsi"/>
                  <w:sz w:val="22"/>
                  <w:szCs w:val="22"/>
                </w:rPr>
                <w:t>8 CFR 316.10(b)(2)(iii), (iv)</w:t>
              </w:r>
            </w:hyperlink>
          </w:p>
        </w:tc>
        <w:tc>
          <w:tcPr>
            <w:tcW w:w="4187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4F3EDAF0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Admission to violating any law related to controlled substances, except for simple possession of 30g or less of marijuana</w:t>
            </w:r>
            <w:r w:rsidRPr="00CC1719">
              <w:rPr>
                <w:rStyle w:val="FootnoteReference"/>
                <w:rFonts w:asciiTheme="minorHAnsi" w:hAnsiTheme="minorHAnsi" w:cstheme="minorHAnsi"/>
                <w:position w:val="0"/>
                <w:sz w:val="22"/>
                <w:szCs w:val="22"/>
              </w:rPr>
              <w:footnoteReference w:id="1"/>
            </w:r>
          </w:p>
        </w:tc>
      </w:tr>
      <w:tr w:rsidR="00FC517C" w:rsidRPr="00CC1719" w14:paraId="5F84A233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019F03C3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4C5FEF9C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One or More Crimes Involving Moral Turpitude (CIMTs)</w:t>
            </w:r>
          </w:p>
        </w:tc>
        <w:tc>
          <w:tcPr>
            <w:tcW w:w="2699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17780E1D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5" w:history="1">
              <w:r w:rsidRPr="00CC1719">
                <w:rPr>
                  <w:rStyle w:val="Hyperlink"/>
                  <w:rFonts w:cstheme="minorHAnsi"/>
                  <w:sz w:val="22"/>
                  <w:szCs w:val="22"/>
                </w:rPr>
                <w:t>INA 101(f)(3)</w:t>
              </w:r>
            </w:hyperlink>
          </w:p>
          <w:p w14:paraId="73C236B0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6" w:history="1">
              <w:r w:rsidRPr="00CC1719">
                <w:rPr>
                  <w:rStyle w:val="Hyperlink"/>
                  <w:rFonts w:cstheme="minorHAnsi"/>
                  <w:sz w:val="22"/>
                  <w:szCs w:val="22"/>
                </w:rPr>
                <w:t>8 CFR 316.10(b)(2)(</w:t>
              </w:r>
              <w:proofErr w:type="spellStart"/>
              <w:r w:rsidRPr="00CC1719">
                <w:rPr>
                  <w:rStyle w:val="Hyperlink"/>
                  <w:rFonts w:cstheme="minorHAnsi"/>
                  <w:sz w:val="22"/>
                  <w:szCs w:val="22"/>
                </w:rPr>
                <w:t>i</w:t>
              </w:r>
              <w:proofErr w:type="spellEnd"/>
              <w:r w:rsidRPr="00CC1719">
                <w:rPr>
                  <w:rStyle w:val="Hyperlink"/>
                  <w:rFonts w:cstheme="minorHAnsi"/>
                  <w:sz w:val="22"/>
                  <w:szCs w:val="22"/>
                </w:rPr>
                <w:t>), (iv)</w:t>
              </w:r>
            </w:hyperlink>
          </w:p>
        </w:tc>
        <w:tc>
          <w:tcPr>
            <w:tcW w:w="4187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7CB8FB10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Admission to one or more CIMTs except for one petty offense</w:t>
            </w:r>
            <w:r w:rsidRPr="00CC1719">
              <w:rPr>
                <w:rStyle w:val="FootnoteReference"/>
                <w:rFonts w:asciiTheme="minorHAnsi" w:hAnsiTheme="minorHAnsi" w:cstheme="minorHAnsi"/>
                <w:position w:val="0"/>
                <w:sz w:val="22"/>
                <w:szCs w:val="22"/>
              </w:rPr>
              <w:footnoteReference w:id="2"/>
            </w:r>
          </w:p>
        </w:tc>
      </w:tr>
      <w:tr w:rsidR="00FC517C" w:rsidRPr="00CC1719" w14:paraId="413593E0" w14:textId="77777777" w:rsidTr="00FC517C">
        <w:trPr>
          <w:trHeight w:val="631"/>
          <w:jc w:val="center"/>
        </w:trPr>
        <w:tc>
          <w:tcPr>
            <w:tcW w:w="1622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7E4F756F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Conviction</w:t>
            </w:r>
          </w:p>
        </w:tc>
        <w:tc>
          <w:tcPr>
            <w:tcW w:w="1510" w:type="dxa"/>
            <w:tcBorders>
              <w:top w:val="single" w:sz="12" w:space="0" w:color="000000" w:themeColor="text1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49592DA4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Gambling Offenses</w:t>
            </w:r>
          </w:p>
        </w:tc>
        <w:tc>
          <w:tcPr>
            <w:tcW w:w="2699" w:type="dxa"/>
            <w:tcBorders>
              <w:top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7D38D267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7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101(f)(4)</w:t>
              </w:r>
            </w:hyperlink>
          </w:p>
          <w:p w14:paraId="07ECB3DB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8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316.10(b)(2)(x)</w:t>
              </w:r>
            </w:hyperlink>
          </w:p>
        </w:tc>
        <w:tc>
          <w:tcPr>
            <w:tcW w:w="4187" w:type="dxa"/>
            <w:tcBorders>
              <w:top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1EBC848B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Conviction for two or more gambling offenses</w:t>
            </w:r>
          </w:p>
        </w:tc>
      </w:tr>
      <w:tr w:rsidR="00FC517C" w:rsidRPr="00CC1719" w14:paraId="31FEE4E9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3F76C7E0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4ADEAB80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One or More Crimes Involving Moral Turpitude (CIMTs)</w:t>
            </w:r>
          </w:p>
        </w:tc>
        <w:tc>
          <w:tcPr>
            <w:tcW w:w="2699" w:type="dxa"/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5B662025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9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101(f)(3)</w:t>
              </w:r>
            </w:hyperlink>
          </w:p>
          <w:p w14:paraId="77EC12B1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0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</w:t>
              </w:r>
              <w:proofErr w:type="spellStart"/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</w:t>
              </w:r>
              <w:proofErr w:type="spellEnd"/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), (iv)</w:t>
              </w:r>
            </w:hyperlink>
          </w:p>
        </w:tc>
        <w:tc>
          <w:tcPr>
            <w:tcW w:w="418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3695F5AE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>Conviction for one or more CIMTs except for one petty offense</w:t>
            </w:r>
          </w:p>
        </w:tc>
      </w:tr>
      <w:tr w:rsidR="00FC517C" w:rsidRPr="00CC1719" w14:paraId="100044AD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1AA08A2D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bottom w:val="single" w:sz="6" w:space="0" w:color="CCCCCC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1BE1976C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Aggregate Sentence of 5 Years or More</w:t>
            </w:r>
          </w:p>
        </w:tc>
        <w:tc>
          <w:tcPr>
            <w:tcW w:w="2699" w:type="dxa"/>
            <w:tcBorders>
              <w:bottom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387AD11E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1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101(f)(3)</w:t>
              </w:r>
            </w:hyperlink>
          </w:p>
          <w:p w14:paraId="5AB53F4B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2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316.10(b)(2)(ii), (iv)</w:t>
              </w:r>
            </w:hyperlink>
          </w:p>
        </w:tc>
        <w:tc>
          <w:tcPr>
            <w:tcW w:w="4187" w:type="dxa"/>
            <w:tcBorders>
              <w:bottom w:val="single" w:sz="6" w:space="0" w:color="CCCCCC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764A0073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 xml:space="preserve">Conviction of two or more offenses with combined sentence of 5 years or more </w:t>
            </w:r>
          </w:p>
        </w:tc>
      </w:tr>
      <w:tr w:rsidR="00FC517C" w:rsidRPr="00CC1719" w14:paraId="2E6788BB" w14:textId="77777777" w:rsidTr="00FC517C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bottom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75574EED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bottom w:val="single" w:sz="12" w:space="0" w:color="000000" w:themeColor="text1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317BCF23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Incarceration for 180 Days</w:t>
            </w:r>
          </w:p>
        </w:tc>
        <w:tc>
          <w:tcPr>
            <w:tcW w:w="2699" w:type="dxa"/>
            <w:tcBorders>
              <w:bottom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75C64110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3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INA 101(f)(7)</w:t>
              </w:r>
            </w:hyperlink>
          </w:p>
          <w:p w14:paraId="51BAEA5D" w14:textId="77777777" w:rsidR="00FC517C" w:rsidRPr="00CC1719" w:rsidRDefault="00FC517C" w:rsidP="00C56EF3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4" w:history="1">
              <w:r w:rsidRPr="00CC1719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8 CFR 316.10(b)(2)(v)</w:t>
              </w:r>
            </w:hyperlink>
          </w:p>
        </w:tc>
        <w:tc>
          <w:tcPr>
            <w:tcW w:w="4187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0ABDCCD4" w14:textId="77777777" w:rsidR="00FC517C" w:rsidRPr="00CC1719" w:rsidRDefault="00FC517C" w:rsidP="00C56EF3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 xml:space="preserve">Confined </w:t>
            </w:r>
            <w:proofErr w:type="gramStart"/>
            <w:r w:rsidRPr="00CC1719"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  <w:t>as a result of</w:t>
            </w:r>
            <w:proofErr w:type="gramEnd"/>
            <w:r w:rsidRPr="00CC1719"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  <w:t xml:space="preserve"> a conviction</w:t>
            </w:r>
            <w:r w:rsidRPr="00CC1719">
              <w:rPr>
                <w:rFonts w:asciiTheme="minorHAnsi" w:hAnsiTheme="minorHAnsi" w:cstheme="minorHAnsi"/>
                <w:sz w:val="22"/>
                <w:szCs w:val="22"/>
              </w:rPr>
              <w:t xml:space="preserve"> for 180 days or more during the lookback period (regardless of commission date)</w:t>
            </w:r>
          </w:p>
        </w:tc>
      </w:tr>
    </w:tbl>
    <w:p w14:paraId="743A88B1" w14:textId="77777777" w:rsidR="00CC3DFD" w:rsidRDefault="00CC3DFD"/>
    <w:sectPr w:rsidR="00CC3DFD" w:rsidSect="00E0428F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D0B20" w14:textId="77777777" w:rsidR="00997243" w:rsidRDefault="00997243" w:rsidP="00FC517C">
      <w:pPr>
        <w:spacing w:line="240" w:lineRule="auto"/>
      </w:pPr>
      <w:r>
        <w:separator/>
      </w:r>
    </w:p>
  </w:endnote>
  <w:endnote w:type="continuationSeparator" w:id="0">
    <w:p w14:paraId="0FBF50A2" w14:textId="77777777" w:rsidR="00997243" w:rsidRDefault="00997243" w:rsidP="00FC51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2E8D4" w14:textId="77777777" w:rsidR="002E192A" w:rsidRDefault="002E19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C2E21" w14:textId="77777777" w:rsidR="002E192A" w:rsidRDefault="002E192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567E8" w14:textId="77777777" w:rsidR="002E192A" w:rsidRDefault="002E19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C2AA3" w14:textId="77777777" w:rsidR="00997243" w:rsidRDefault="00997243" w:rsidP="00FC517C">
      <w:pPr>
        <w:spacing w:line="240" w:lineRule="auto"/>
      </w:pPr>
      <w:r>
        <w:separator/>
      </w:r>
    </w:p>
  </w:footnote>
  <w:footnote w:type="continuationSeparator" w:id="0">
    <w:p w14:paraId="00E5641F" w14:textId="77777777" w:rsidR="00997243" w:rsidRDefault="00997243" w:rsidP="00FC517C">
      <w:pPr>
        <w:spacing w:line="240" w:lineRule="auto"/>
      </w:pPr>
      <w:r>
        <w:continuationSeparator/>
      </w:r>
    </w:p>
  </w:footnote>
  <w:footnote w:id="1">
    <w:p w14:paraId="54F52BC0" w14:textId="77777777" w:rsidR="00FC517C" w:rsidRDefault="00FC517C" w:rsidP="00FC517C">
      <w:pPr>
        <w:pStyle w:val="FootnoteText"/>
        <w:spacing w:after="0"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>NOTE: This regulation (which is only triggered if they admit to a CIMT, but “there was never a formal charge…” etc.) conflicts with the statute at 8 U.S.C. § 1101(f)(3), which does not require a conviction.</w:t>
      </w:r>
    </w:p>
  </w:footnote>
  <w:footnote w:id="2">
    <w:p w14:paraId="5C9C38F8" w14:textId="77777777" w:rsidR="00FC517C" w:rsidRDefault="00FC517C" w:rsidP="00FC517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ab/>
        <w:t>NOTE: This regulation (which is only triggered if they admit to a CIMT, but “there was never a formal charge…” etc.) conflicts with the statute at 8 U.S.C. § 1101(f)(3), which does not require a conviction.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93E80" w14:textId="77777777" w:rsidR="002E192A" w:rsidRDefault="002E19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6FAC0" w14:textId="77777777" w:rsidR="002E192A" w:rsidRPr="005E5F04" w:rsidRDefault="002E192A" w:rsidP="002E192A">
    <w:pPr>
      <w:pStyle w:val="Header"/>
    </w:pPr>
  </w:p>
  <w:p w14:paraId="20425001" w14:textId="77777777" w:rsidR="002E192A" w:rsidRDefault="002E19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75" w:type="dxa"/>
      <w:jc w:val="center"/>
      <w:tblBorders>
        <w:top w:val="single" w:sz="4" w:space="0" w:color="002060"/>
        <w:left w:val="single" w:sz="4" w:space="0" w:color="002060"/>
        <w:bottom w:val="single" w:sz="4" w:space="0" w:color="002060"/>
        <w:right w:val="single" w:sz="4" w:space="0" w:color="002060"/>
      </w:tblBorders>
      <w:tblLook w:val="04A0" w:firstRow="1" w:lastRow="0" w:firstColumn="1" w:lastColumn="0" w:noHBand="0" w:noVBand="1"/>
    </w:tblPr>
    <w:tblGrid>
      <w:gridCol w:w="1964"/>
      <w:gridCol w:w="8111"/>
    </w:tblGrid>
    <w:tr w:rsidR="00E0428F" w:rsidRPr="00860D2F" w14:paraId="0598C56F" w14:textId="77777777" w:rsidTr="00FB1B5F">
      <w:trPr>
        <w:trHeight w:val="1875"/>
        <w:jc w:val="center"/>
      </w:trPr>
      <w:tc>
        <w:tcPr>
          <w:tcW w:w="1345" w:type="dxa"/>
          <w:tcMar>
            <w:left w:w="0" w:type="dxa"/>
            <w:right w:w="0" w:type="dxa"/>
          </w:tcMar>
        </w:tcPr>
        <w:p w14:paraId="3024117F" w14:textId="77777777" w:rsidR="00E0428F" w:rsidRPr="00860D2F" w:rsidRDefault="00E0428F" w:rsidP="00E0428F">
          <w:pPr>
            <w:tabs>
              <w:tab w:val="center" w:pos="4680"/>
            </w:tabs>
            <w:spacing w:line="192" w:lineRule="auto"/>
            <w:jc w:val="center"/>
            <w:rPr>
              <w:rFonts w:ascii="Times New Roman" w:eastAsia="Calibri" w:hAnsi="Times New Roman"/>
              <w:b/>
            </w:rPr>
          </w:pPr>
          <w:r w:rsidRPr="00860D2F">
            <w:rPr>
              <w:rFonts w:ascii="Times New Roman" w:eastAsia="Calibri" w:hAnsi="Times New Roman"/>
              <w:b/>
              <w:noProof/>
            </w:rPr>
            <w:drawing>
              <wp:inline distT="0" distB="0" distL="0" distR="0" wp14:anchorId="50DAF0EA" wp14:editId="7A5926AF">
                <wp:extent cx="1243965" cy="1243965"/>
                <wp:effectExtent l="0" t="0" r="0" b="0"/>
                <wp:docPr id="21088869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43965" cy="1243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30" w:type="dxa"/>
          <w:tcMar>
            <w:left w:w="115" w:type="dxa"/>
            <w:right w:w="115" w:type="dxa"/>
          </w:tcMar>
          <w:vAlign w:val="center"/>
        </w:tcPr>
        <w:p w14:paraId="72C00130" w14:textId="77777777" w:rsidR="00E0428F" w:rsidRDefault="00E0428F" w:rsidP="00E0428F">
          <w:pPr>
            <w:spacing w:line="240" w:lineRule="auto"/>
            <w:jc w:val="center"/>
            <w:rPr>
              <w:rFonts w:ascii="Amasis MT Pro" w:hAnsi="Amasis MT Pro" w:cs="Calibri"/>
              <w:b/>
              <w:bCs/>
              <w:color w:val="002060"/>
              <w:sz w:val="36"/>
              <w:szCs w:val="22"/>
            </w:rPr>
          </w:pPr>
          <w:r>
            <w:rPr>
              <w:rFonts w:ascii="Amasis MT Pro" w:hAnsi="Amasis MT Pro" w:cs="Calibri"/>
              <w:b/>
              <w:bCs/>
              <w:color w:val="002060"/>
              <w:sz w:val="36"/>
              <w:szCs w:val="22"/>
            </w:rPr>
            <w:t xml:space="preserve">Legal Bars to Establishing </w:t>
          </w:r>
        </w:p>
        <w:p w14:paraId="4AFA764A" w14:textId="77777777" w:rsidR="00E0428F" w:rsidRPr="001114F8" w:rsidRDefault="00E0428F" w:rsidP="00E0428F">
          <w:pPr>
            <w:spacing w:line="240" w:lineRule="auto"/>
            <w:jc w:val="center"/>
            <w:rPr>
              <w:rFonts w:cs="Calibri"/>
              <w:b/>
              <w:bCs/>
              <w:i/>
              <w:iCs/>
              <w:color w:val="002060"/>
              <w:sz w:val="22"/>
              <w:szCs w:val="22"/>
              <w:u w:val="single"/>
            </w:rPr>
          </w:pPr>
          <w:r>
            <w:rPr>
              <w:rFonts w:ascii="Amasis MT Pro" w:hAnsi="Amasis MT Pro" w:cs="Calibri"/>
              <w:b/>
              <w:bCs/>
              <w:color w:val="002060"/>
              <w:sz w:val="36"/>
              <w:szCs w:val="22"/>
            </w:rPr>
            <w:t>Good Moral Character</w:t>
          </w:r>
        </w:p>
      </w:tc>
    </w:tr>
  </w:tbl>
  <w:p w14:paraId="193D1A7D" w14:textId="77777777" w:rsidR="002E192A" w:rsidRDefault="002E19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17C"/>
    <w:rsid w:val="000C60EC"/>
    <w:rsid w:val="002E192A"/>
    <w:rsid w:val="00347057"/>
    <w:rsid w:val="003C73BB"/>
    <w:rsid w:val="00422338"/>
    <w:rsid w:val="006E603A"/>
    <w:rsid w:val="00997243"/>
    <w:rsid w:val="00A81679"/>
    <w:rsid w:val="00AA17F0"/>
    <w:rsid w:val="00AB127E"/>
    <w:rsid w:val="00CC3DFD"/>
    <w:rsid w:val="00DF3E03"/>
    <w:rsid w:val="00E0428F"/>
    <w:rsid w:val="00F076C9"/>
    <w:rsid w:val="00F26375"/>
    <w:rsid w:val="00FC5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2180ED"/>
  <w15:chartTrackingRefBased/>
  <w15:docId w15:val="{6E5521D3-CDA9-4E20-8285-4BF2423A9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17C"/>
    <w:pPr>
      <w:spacing w:after="0" w:line="312" w:lineRule="auto"/>
      <w:jc w:val="both"/>
    </w:pPr>
    <w:rPr>
      <w:rFonts w:ascii="Calibri" w:eastAsia="Times New Roman" w:hAnsi="Calibri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517C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17C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17C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17C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17C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17C"/>
    <w:pPr>
      <w:keepNext/>
      <w:keepLines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17C"/>
    <w:pPr>
      <w:keepNext/>
      <w:keepLines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17C"/>
    <w:pPr>
      <w:keepNext/>
      <w:keepLines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17C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1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1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1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1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1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1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1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1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1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17C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C5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17C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C5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17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C51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17C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C51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1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1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17C"/>
    <w:rPr>
      <w:b/>
      <w:bCs/>
      <w:smallCaps/>
      <w:color w:val="2F5496" w:themeColor="accent1" w:themeShade="BF"/>
      <w:spacing w:val="5"/>
    </w:rPr>
  </w:style>
  <w:style w:type="character" w:styleId="FootnoteReference">
    <w:name w:val="footnote reference"/>
    <w:uiPriority w:val="99"/>
    <w:semiHidden/>
    <w:rsid w:val="00FC517C"/>
    <w:rPr>
      <w:position w:val="6"/>
      <w:sz w:val="18"/>
    </w:rPr>
  </w:style>
  <w:style w:type="paragraph" w:styleId="FootnoteText">
    <w:name w:val="footnote text"/>
    <w:basedOn w:val="Normal"/>
    <w:link w:val="FootnoteTextChar"/>
    <w:uiPriority w:val="99"/>
    <w:qFormat/>
    <w:rsid w:val="00FC517C"/>
    <w:pPr>
      <w:spacing w:after="120"/>
      <w:ind w:left="274" w:hanging="274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C517C"/>
    <w:rPr>
      <w:rFonts w:ascii="Calibri" w:eastAsia="Times New Roman" w:hAnsi="Calibri" w:cs="Times New Roman"/>
      <w:kern w:val="0"/>
      <w:sz w:val="20"/>
      <w14:ligatures w14:val="none"/>
    </w:rPr>
  </w:style>
  <w:style w:type="character" w:styleId="Hyperlink">
    <w:name w:val="Hyperlink"/>
    <w:uiPriority w:val="99"/>
    <w:unhideWhenUsed/>
    <w:rsid w:val="00FC517C"/>
    <w:rPr>
      <w:color w:val="0563C1"/>
      <w:u w:val="single"/>
    </w:rPr>
  </w:style>
  <w:style w:type="paragraph" w:styleId="Header">
    <w:name w:val="header"/>
    <w:basedOn w:val="Normal"/>
    <w:link w:val="HeaderChar"/>
    <w:unhideWhenUsed/>
    <w:rsid w:val="002E192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2E192A"/>
    <w:rPr>
      <w:rFonts w:ascii="Calibri" w:eastAsia="Times New Roman" w:hAnsi="Calibri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E192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192A"/>
    <w:rPr>
      <w:rFonts w:ascii="Calibri" w:eastAsia="Times New Roman" w:hAnsi="Calibri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scode.house.gov/view.xhtml?req=granuleid:USC-prelim-title8-section1101&amp;num=0&amp;edition=prelim" TargetMode="External"/><Relationship Id="rId18" Type="http://schemas.openxmlformats.org/officeDocument/2006/relationships/hyperlink" Target="https://www.ecfr.gov/current/title-8/chapter-I/subchapter-C/part-316/section-316.10" TargetMode="External"/><Relationship Id="rId26" Type="http://schemas.openxmlformats.org/officeDocument/2006/relationships/hyperlink" Target="https://www.ecfr.gov/current/title-8/chapter-I/subchapter-C/part-316/section-316.10" TargetMode="External"/><Relationship Id="rId39" Type="http://schemas.openxmlformats.org/officeDocument/2006/relationships/header" Target="header3.xml"/><Relationship Id="rId21" Type="http://schemas.openxmlformats.org/officeDocument/2006/relationships/hyperlink" Target="https://uscode.house.gov/view.xhtml?req=granuleid:USC-prelim-title8-section1101&amp;num=0&amp;edition=prelim" TargetMode="External"/><Relationship Id="rId34" Type="http://schemas.openxmlformats.org/officeDocument/2006/relationships/hyperlink" Target="https://www.ecfr.gov/current/title-8/chapter-I/subchapter-C/part-316/section-316.10" TargetMode="External"/><Relationship Id="rId42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ecfr.gov/current/title-8/chapter-I/subchapter-C/part-316/section-316.10" TargetMode="External"/><Relationship Id="rId20" Type="http://schemas.openxmlformats.org/officeDocument/2006/relationships/hyperlink" Target="https://www.ecfr.gov/current/title-8/chapter-I/subchapter-C/part-316/section-316.10" TargetMode="External"/><Relationship Id="rId29" Type="http://schemas.openxmlformats.org/officeDocument/2006/relationships/hyperlink" Target="https://uscode.house.gov/view.xhtml?req=granuleid:USC-prelim-title8-section1101&amp;num=0&amp;edition=prelim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uscode.house.gov/view.xhtml?req=granuleid:USC-prelim-title8-section1101&amp;num=0&amp;edition=prelim" TargetMode="External"/><Relationship Id="rId24" Type="http://schemas.openxmlformats.org/officeDocument/2006/relationships/hyperlink" Target="https://www.ecfr.gov/current/title-8/chapter-I/subchapter-C/part-316/section-316.10" TargetMode="External"/><Relationship Id="rId32" Type="http://schemas.openxmlformats.org/officeDocument/2006/relationships/hyperlink" Target="https://www.ecfr.gov/current/title-8/chapter-I/subchapter-C/part-316/section-316.10" TargetMode="External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uscode.house.gov/view.xhtml?req=granuleid:USC-prelim-title8-section1101&amp;num=0&amp;edition=prelim" TargetMode="External"/><Relationship Id="rId23" Type="http://schemas.openxmlformats.org/officeDocument/2006/relationships/hyperlink" Target="https://uscode.house.gov/view.xhtml?req=granuleid:USC-prelim-title8-section1101&amp;num=0&amp;edition=prelim" TargetMode="External"/><Relationship Id="rId28" Type="http://schemas.openxmlformats.org/officeDocument/2006/relationships/hyperlink" Target="https://www.ecfr.gov/current/title-8/chapter-I/subchapter-C/part-316/section-316.10" TargetMode="External"/><Relationship Id="rId36" Type="http://schemas.openxmlformats.org/officeDocument/2006/relationships/header" Target="header2.xml"/><Relationship Id="rId10" Type="http://schemas.openxmlformats.org/officeDocument/2006/relationships/hyperlink" Target="https://www.ecfr.gov/current/title-8/chapter-I/subchapter-C/part-316/section-316.10" TargetMode="External"/><Relationship Id="rId19" Type="http://schemas.openxmlformats.org/officeDocument/2006/relationships/hyperlink" Target="https://uscode.house.gov/view.xhtml?req=granuleid:USC-prelim-title8-section1101&amp;num=0&amp;edition=prelim" TargetMode="External"/><Relationship Id="rId31" Type="http://schemas.openxmlformats.org/officeDocument/2006/relationships/hyperlink" Target="https://uscode.house.gov/view.xhtml?req=granuleid:USC-prelim-title8-section1101&amp;num=0&amp;edition=prelim" TargetMode="External"/><Relationship Id="rId4" Type="http://schemas.openxmlformats.org/officeDocument/2006/relationships/styles" Target="styles.xml"/><Relationship Id="rId9" Type="http://schemas.openxmlformats.org/officeDocument/2006/relationships/hyperlink" Target="https://uscode.house.gov/view.xhtml?req=granuleid:USC-prelim-title8-section1101&amp;num=0&amp;edition=prelim" TargetMode="External"/><Relationship Id="rId14" Type="http://schemas.openxmlformats.org/officeDocument/2006/relationships/hyperlink" Target="https://www.ecfr.gov/current/title-8/chapter-I/subchapter-C/part-316/section-316.10" TargetMode="External"/><Relationship Id="rId22" Type="http://schemas.openxmlformats.org/officeDocument/2006/relationships/hyperlink" Target="https://www.ecfr.gov/current/title-8/chapter-I/subchapter-C/part-316/section-316.10" TargetMode="External"/><Relationship Id="rId27" Type="http://schemas.openxmlformats.org/officeDocument/2006/relationships/hyperlink" Target="https://uscode.house.gov/view.xhtml?req=granuleid:USC-prelim-title8-section1101&amp;num=0&amp;edition=prelim" TargetMode="External"/><Relationship Id="rId30" Type="http://schemas.openxmlformats.org/officeDocument/2006/relationships/hyperlink" Target="https://www.ecfr.gov/current/title-8/chapter-I/subchapter-C/part-316/section-316.10" TargetMode="External"/><Relationship Id="rId35" Type="http://schemas.openxmlformats.org/officeDocument/2006/relationships/header" Target="header1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ecfr.gov/current/title-8/chapter-I/subchapter-C/part-316/section-316.10" TargetMode="External"/><Relationship Id="rId17" Type="http://schemas.openxmlformats.org/officeDocument/2006/relationships/hyperlink" Target="https://uscode.house.gov/view.xhtml?req=granuleid:USC-prelim-title8-section1101&amp;num=0&amp;edition=prelim" TargetMode="External"/><Relationship Id="rId25" Type="http://schemas.openxmlformats.org/officeDocument/2006/relationships/hyperlink" Target="https://uscode.house.gov/view.xhtml?req=granuleid:USC-prelim-title8-section1101&amp;num=0&amp;edition=prelim" TargetMode="External"/><Relationship Id="rId33" Type="http://schemas.openxmlformats.org/officeDocument/2006/relationships/hyperlink" Target="https://uscode.house.gov/view.xhtml?req=granuleid:USC-prelim-title8-section1101&amp;num=0&amp;edition=prelim" TargetMode="External"/><Relationship Id="rId38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b8fbf8b-1220-443d-9737-fe6d9b6798d5" xsi:nil="true"/>
    <lcf76f155ced4ddcb4097134ff3c332f xmlns="b8d09027-3915-499f-b0e7-28fda8d51cc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CA09418D434985371152D78633BC" ma:contentTypeVersion="11" ma:contentTypeDescription="Create a new document." ma:contentTypeScope="" ma:versionID="1ff01b9c9ebe5baeac55163eb68a01fe">
  <xsd:schema xmlns:xsd="http://www.w3.org/2001/XMLSchema" xmlns:xs="http://www.w3.org/2001/XMLSchema" xmlns:p="http://schemas.microsoft.com/office/2006/metadata/properties" xmlns:ns2="b8d09027-3915-499f-b0e7-28fda8d51cc7" xmlns:ns3="4b8fbf8b-1220-443d-9737-fe6d9b6798d5" targetNamespace="http://schemas.microsoft.com/office/2006/metadata/properties" ma:root="true" ma:fieldsID="914701d973fbe8f1dcb4cc87e3d1187b" ns2:_="" ns3:_="">
    <xsd:import namespace="b8d09027-3915-499f-b0e7-28fda8d51cc7"/>
    <xsd:import namespace="4b8fbf8b-1220-443d-9737-fe6d9b6798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d09027-3915-499f-b0e7-28fda8d51c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bb89513-9dd9-4f4e-af2e-ee90c771495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8fbf8b-1220-443d-9737-fe6d9b6798d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5a67c6-d827-481f-92e5-c1baa14c95e0}" ma:internalName="TaxCatchAll" ma:showField="CatchAllData" ma:web="4b8fbf8b-1220-443d-9737-fe6d9b6798d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2FAEFE0-29F5-4BE9-97B8-E98CACFD43EE}">
  <ds:schemaRefs>
    <ds:schemaRef ds:uri="http://schemas.microsoft.com/office/2006/metadata/properties"/>
    <ds:schemaRef ds:uri="http://schemas.microsoft.com/office/infopath/2007/PartnerControls"/>
    <ds:schemaRef ds:uri="4b8fbf8b-1220-443d-9737-fe6d9b6798d5"/>
    <ds:schemaRef ds:uri="b8d09027-3915-499f-b0e7-28fda8d51cc7"/>
  </ds:schemaRefs>
</ds:datastoreItem>
</file>

<file path=customXml/itemProps2.xml><?xml version="1.0" encoding="utf-8"?>
<ds:datastoreItem xmlns:ds="http://schemas.openxmlformats.org/officeDocument/2006/customXml" ds:itemID="{CB3E0D11-4621-4A33-86C9-E06BC731B6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9AA9A-5063-4418-8E39-E4B2E286BCE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731</Words>
  <Characters>4171</Characters>
  <Application>Microsoft Office Word</Application>
  <DocSecurity>0</DocSecurity>
  <Lines>34</Lines>
  <Paragraphs>9</Paragraphs>
  <ScaleCrop>false</ScaleCrop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Jackson</dc:creator>
  <cp:keywords/>
  <dc:description/>
  <cp:lastModifiedBy>Daniel Jackson</cp:lastModifiedBy>
  <cp:revision>2</cp:revision>
  <dcterms:created xsi:type="dcterms:W3CDTF">2026-07-21T16:10:00Z</dcterms:created>
  <dcterms:modified xsi:type="dcterms:W3CDTF">2026-07-21T16:10:00Z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0x0101001BBECA09418D434985371152D78633BC</vt:lpwstr>
  </property>
</Properties>
</file>