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Structural equivalence - Automorphic equivalence - Regular equivalence - Brute force and Tabu search</w:t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1: Import Libraries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030095" cy="784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2: Create Edges and Plot the Network Graph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4829810" cy="26054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731510" cy="379603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3: Find Structurally equivalent nodes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6508750" cy="162179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4601210" cy="3365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4: Find Automorphic Equivalent nodes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790825" cy="342963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1884680" cy="224282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1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80870" cy="50863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80702" r="0" b="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5: Classify a Structural roles of Nodes in a graph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668010" cy="259143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1190625" cy="184848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9b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b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bc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bc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bc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bc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bc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bc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bc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d29b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d29b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d29bc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d29b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d29bc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d29b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29b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d29b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d29b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d29b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d29b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d29b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bc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bc"/>
    <w:pPr>
      <w:spacing w:before="160" w:after="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29bc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d29bc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d29bc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  <Pages>3</Pages>
  <Words>59</Words>
  <Characters>331</Characters>
  <CharactersWithSpaces>379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2026-08-03T02:00:00Z</dcterms:created>
  <dc:creator>LAB</dc:creator>
  <dc:description/>
  <dc:language>en-IN</dc:language>
  <cp:lastModifiedBy/>
  <dcterms:modified xsi:type="dcterms:W3CDTF">2026-09-13T20:48:23Z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