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DevOps and platform engineer with 20+ years building CI/CD, artifact management, and high-availability infrastructure across AWS, Azure, and Kubernetes. Currently Staff Engineer on GEICO's Artifact Management Platform — improved Artifactory from ~1 major incident/month to </w:t>
      </w:r>
      <w:r>
        <w:rPr>
          <w:b/>
          <w:sz w:val="21"/>
        </w:rPr>
        <w:t>four-nines (99.99%) Artifactory availability SLO</w:t>
      </w:r>
      <w:r>
        <w:rPr>
          <w:sz w:val="21"/>
        </w:rPr>
        <w:t xml:space="preserve">, technical lead for enterprise JFrog strategy, Entra ID platform auth, and SOC-grade platform operations. Previously Staff Release Engineer at Navan (SOC 2 Type II / IPO readiness). Track record of multi-million-dollar savings through HA Jenkins/Nexus migrations, global release operations at scale, and cross-org incident leadership. </w:t>
      </w:r>
      <w:r>
        <w:rPr>
          <w:b/>
          <w:sz w:val="21"/>
        </w:rPr>
        <w:t>Led</w:t>
      </w:r>
      <w:r>
        <w:rPr>
          <w:sz w:val="21"/>
        </w:rPr>
        <w:t xml:space="preserve"> the </w:t>
      </w:r>
      <w:r>
        <w:rPr>
          <w:b/>
          <w:sz w:val="21"/>
        </w:rPr>
        <w:t>OpenClaw cost-aware runtime plugin</w:t>
      </w:r>
      <w:r>
        <w:rPr>
          <w:sz w:val="21"/>
        </w:rPr>
        <w:t xml:space="preserve"> (originated the approach; primary implementer) for production browser-agent governance. Pursuing MS in Artificial Intelligence at Purdue; founder of [SmartTuna](https://smarttuna.ai/).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</w:p>
    <w:p>
      <w:pPr>
        <w:spacing w:after="40"/>
      </w:pPr>
      <w:r>
        <w:rPr>
          <w:i/>
          <w:sz w:val="21"/>
        </w:rPr>
        <w:t>Technical lead and primary architect for the team's largest cross-org initiatives — Identity, SRE, Network, Database Platform, and Developer Engineering.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 — investigated recurring production failures and drove remediation across platform, config, and operations; improved from </w:t>
      </w:r>
      <w:r>
        <w:rPr>
          <w:b/>
          <w:sz w:val="21"/>
        </w:rPr>
        <w:t>~1 major incident/month to four-nines (99.99%) Artifactory availability SLO</w:t>
      </w:r>
      <w:r>
        <w:rPr>
          <w:sz w:val="21"/>
        </w:rPr>
        <w:t xml:space="preserve"> completion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 (Phase 4)</w:t>
      </w:r>
      <w:r>
        <w:rPr>
          <w:sz w:val="21"/>
        </w:rPr>
        <w:t xml:space="preserve"> — validated Python/Java/Go publishing at 5,000 repos / 5,000 parallel artifacts; outcomes drive GEICO's enterprise artifact-management roadmap</w:t>
      </w:r>
    </w:p>
    <w:p>
      <w:pPr>
        <w:pStyle w:val="ResumeBullets"/>
        <w:spacing w:after="40"/>
      </w:pPr>
      <w:r>
        <w:rPr>
          <w:b/>
          <w:sz w:val="21"/>
        </w:rPr>
        <w:t>Architected Entra ID auth</w:t>
      </w:r>
      <w:r>
        <w:rPr>
          <w:sz w:val="21"/>
        </w:rPr>
        <w:t xml:space="preserve"> for </w:t>
      </w:r>
      <w:r>
        <w:rPr>
          <w:rFonts w:ascii="Consolas" w:hAnsi="Consolas"/>
          <w:sz w:val="21"/>
        </w:rPr>
        <w:t>amp-control-plane</w:t>
      </w:r>
      <w:r>
        <w:rPr>
          <w:sz w:val="21"/>
        </w:rPr>
        <w:t xml:space="preserve"> via cross-team RFC — separated NP/PD access and aligned with corporate SSO / service-to-service standards</w:t>
      </w:r>
    </w:p>
    <w:p>
      <w:pPr>
        <w:pStyle w:val="ResumeBullets"/>
        <w:spacing w:after="40"/>
      </w:pPr>
      <w:r>
        <w:rPr>
          <w:b/>
          <w:sz w:val="21"/>
        </w:rPr>
        <w:t>Zero-downtime platform upgrades</w:t>
      </w:r>
      <w:r>
        <w:rPr>
          <w:sz w:val="21"/>
        </w:rPr>
        <w:t xml:space="preserve"> — built automation pipeline for rolling Artifactory and X-Ray upgrades across Package Registry and Martech tenants on AKS with </w:t>
      </w:r>
      <w:r>
        <w:rPr>
          <w:b/>
          <w:sz w:val="21"/>
        </w:rPr>
        <w:t>zero customer impact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RCA and cross-team fix for Azure Firewall TLS DPI against S3-backed repos; owned CoE for April 2026 Azure East US outage (NOCIM-11695); AMP on-call lead</w:t>
      </w:r>
    </w:p>
    <w:p>
      <w:pPr>
        <w:pStyle w:val="ResumeBullets"/>
        <w:spacing w:after="40"/>
      </w:pPr>
      <w:r>
        <w:rPr>
          <w:b/>
          <w:sz w:val="21"/>
        </w:rPr>
        <w:t>AI-assisted platform ops</w:t>
      </w:r>
      <w:r>
        <w:rPr>
          <w:sz w:val="21"/>
        </w:rPr>
        <w:t xml:space="preserve"> — introduced MCP-based tooling (JFrog, Slack) and agent skills for support triage, RCA, and runbook workflows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deployed </w:t>
      </w:r>
      <w:r>
        <w:rPr>
          <w:b/>
          <w:sz w:val="21"/>
        </w:rPr>
        <w:t>HashiCorp Vault</w:t>
      </w:r>
      <w:r>
        <w:rPr>
          <w:sz w:val="21"/>
        </w:rPr>
        <w:t xml:space="preserve"> and </w:t>
      </w:r>
      <w:r>
        <w:rPr>
          <w:b/>
          <w:sz w:val="21"/>
        </w:rPr>
        <w:t>SonarCloud</w:t>
      </w:r>
      <w:r>
        <w:rPr>
          <w:sz w:val="21"/>
        </w:rPr>
        <w:t xml:space="preserve"> across CI/CD to support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>Built mobile CI/CD with Bitrise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 xml:space="preserve">Led 2 release engineers + 5 offshore NOC engineers; scaled release ops for ~500-person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 and enforced release process; hands-on Technical Operations in production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Built end-to-end CI/CD systems, AWS dynamic cluster provisioning (EC2, S3, EMR), and a PaaS tool for on-demand environments; led agile adoption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Automated build/release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 xml:space="preserve">CM/build/release/change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Hadoop/MapReduce/MongoDB ops</w:t>
      </w:r>
    </w:p>
    <w:p>
      <w:pPr>
        <w:pStyle w:val="ResumeBullets"/>
        <w:spacing w:after="40"/>
      </w:pPr>
      <w:r>
        <w:rPr>
          <w:sz w:val="21"/>
        </w:rPr>
        <w:t>Automated builds and CI (Maven, Ant, TeamCity, Jenkins); built CM portal with automated release notes; established company Git repos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(CruiseControl, Hudson/Jenkins); VM automation, JBoss deployment automation, defect-tracking rollout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Linux/Unix/Windows;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Purdue ECE 50874/59500 Final Project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 xml:space="preserve"> · Team 17 · IEEE-style report: "Design and Evaluation of a Cost-Aware Runtime for OpenClaw Browser Agents" · [github.com/mailming/openclaw](https://github.com/mailming/openclaw/tree/feature/llm-insights-manual-pricing)*</w:t>
      </w:r>
    </w:p>
    <w:p>
      <w:pPr>
        <w:pStyle w:val="ResumeBullets"/>
        <w:spacing w:after="40"/>
      </w:pPr>
      <w:r>
        <w:rPr>
          <w:b/>
          <w:sz w:val="21"/>
        </w:rPr>
        <w:t>Originated the cost-aware runtime concept</w:t>
      </w:r>
      <w:r>
        <w:rPr>
          <w:sz w:val="21"/>
        </w:rPr>
        <w:t xml:space="preserve"> and led end-to-end implementation — a governance layer around [OpenClaw](https://github.com/openclaw-ai/openclaw) browser agents with token/cost/step budgets and post-action policy enforcement, without rewriting core agent logic</w:t>
      </w:r>
    </w:p>
    <w:p>
      <w:pPr>
        <w:pStyle w:val="ResumeBullets"/>
        <w:spacing w:after="40"/>
      </w:pPr>
      <w:r>
        <w:rPr>
          <w:b/>
          <w:sz w:val="21"/>
        </w:rPr>
        <w:t>Designed and built the LLM Insights gateway plugin</w:t>
      </w:r>
      <w:r>
        <w:rPr>
          <w:sz w:val="21"/>
        </w:rPr>
        <w:t xml:space="preserve"> (primary implementation): rolling cost/latency aggregates, manual model pricing overrides, and usage-to-cost pipeline for multi-model agent operations</w:t>
      </w:r>
    </w:p>
    <w:p>
      <w:pPr>
        <w:pStyle w:val="ResumeBullets"/>
        <w:spacing w:after="40"/>
      </w:pPr>
      <w:r>
        <w:rPr>
          <w:sz w:val="21"/>
        </w:rPr>
        <w:t xml:space="preserve">Integrated </w:t>
      </w:r>
      <w:r>
        <w:rPr>
          <w:b/>
          <w:sz w:val="21"/>
        </w:rPr>
        <w:t>AgentOps</w:t>
      </w:r>
      <w:r>
        <w:rPr>
          <w:sz w:val="21"/>
        </w:rPr>
        <w:t xml:space="preserve"> (LLM routing, budget state) + </w:t>
      </w:r>
      <w:r>
        <w:rPr>
          <w:b/>
          <w:sz w:val="21"/>
        </w:rPr>
        <w:t>Langfuse</w:t>
      </w:r>
      <w:r>
        <w:rPr>
          <w:sz w:val="21"/>
        </w:rPr>
        <w:t xml:space="preserve"> (trace telemetry); deployed gateway, Playwright automation, and Telegram control for live demos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backend ([smarttuna](https://github.com/mailming/smarttuna)) + Astro UI ([zzsheepTrader](https://github.com/mailming/zzsheepTrader))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build/release engineering, artifact management (JFrog, Nexus, ACR),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Cloud:</w:t>
      </w:r>
      <w:r>
        <w:rPr>
          <w:sz w:val="21"/>
        </w:rPr>
        <w:t xml:space="preserve"> AWS, Azure (Entra ID, Azure Firewall, AKS), multi-region HA, Docker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II, Vault, Azure Key Vault, SonarCloud, OIDC/RBAC, audit remediation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technical lead, cross-org RFCs, on-call/incident ownership, global team coordination</w:t>
      </w:r>
    </w:p>
    <w:p>
      <w:pPr>
        <w:pStyle w:val="ResumeBullets"/>
        <w:spacing w:after="40"/>
      </w:pPr>
      <w:r>
        <w:rPr>
          <w:b/>
          <w:sz w:val="21"/>
        </w:rPr>
        <w:t>AI (supplemental):</w:t>
      </w:r>
      <w:r>
        <w:rPr>
          <w:sz w:val="21"/>
        </w:rPr>
        <w:t xml:space="preserve"> OpenClaw plugin/runtime integration, AgentOps/Langfuse observability, MCP integrations, multi-agent systems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Bitrise,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Groovy, Maven, Gradle, TypeScript,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OpenClaw, AgentOps, Langfuse, MCP servers, LangGraph, Playwright agents, Claude/GPT/Gemini,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