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p>
    <w:p>
      <w:pPr>
        <w:spacing w:after="320"/>
        <w:jc w:val="center"/>
      </w:pPr>
      <w:r>
        <w:rPr>
          <w:rFonts w:ascii="Calibri" w:hAnsi="Calibri"/>
          <w:b/>
          <w:color w:val="2AA198"/>
          <w:sz w:val="22"/>
        </w:rPr>
        <w:t>ASSIGNMENT 2</w:t>
      </w:r>
    </w:p>
    <w:p>
      <w:pPr>
        <w:spacing w:after="160"/>
        <w:jc w:val="center"/>
      </w:pPr>
      <w:r>
        <w:rPr>
          <w:rFonts w:ascii="Calibri" w:hAnsi="Calibri"/>
          <w:b/>
          <w:color w:val="152238"/>
          <w:sz w:val="60"/>
        </w:rPr>
        <w:t>End-to-End MLOps Pipeline</w:t>
      </w:r>
    </w:p>
    <w:p>
      <w:pPr>
        <w:spacing w:after="520"/>
        <w:jc w:val="center"/>
      </w:pPr>
      <w:r>
        <w:rPr>
          <w:rFonts w:ascii="Calibri" w:hAnsi="Calibri"/>
          <w:color w:val="176B87"/>
          <w:sz w:val="30"/>
        </w:rPr>
        <w:t>Binary Image Classification: Cats vs Dogs</w:t>
      </w:r>
    </w:p>
    <w:tbl>
      <w:tblPr>
        <w:tblW w:type="dxa" w:w="9360"/>
        <w:jc w:val="left"/>
        <w:tblLayout w:type="fixed"/>
        <w:tblLook w:firstColumn="1" w:firstRow="1" w:lastColumn="0" w:lastRow="0" w:noHBand="0" w:noVBand="1" w:val="04A0"/>
        <w:tblInd w:type="dxa" w:w="120"/>
      </w:tblPr>
      <w:tblGrid>
        <w:gridCol w:w="1872"/>
        <w:gridCol w:w="1872"/>
        <w:gridCol w:w="1872"/>
        <w:gridCol w:w="1872"/>
        <w:gridCol w:w="1872"/>
      </w:tblGrid>
      <w:tr>
        <w:trPr>
          <w:cantSplit w:val="true"/>
          <w:tblHeader w:val="true"/>
        </w:trPr>
        <w:tc>
          <w:tcPr>
            <w:tcW w:type="dxa" w:w="1872"/>
            <w:vAlign w:val="center"/>
            <w:shd w:fill="152238"/>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Pr>
                <w:color w:val="FFFFFF"/>
              </w:rPr>
            </w:r>
            <w:r>
              <w:rPr>
                <w:rFonts w:ascii="Calibri" w:hAnsi="Calibri"/>
                <w:b/>
                <w:color w:val="FFFFFF"/>
                <w:sz w:val="18"/>
              </w:rPr>
              <w:t>DATA</w:t>
            </w:r>
          </w:p>
        </w:tc>
        <w:tc>
          <w:tcPr>
            <w:tcW w:type="dxa" w:w="1872"/>
            <w:vAlign w:val="center"/>
            <w:shd w:fill="152238"/>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Pr>
                <w:color w:val="FFFFFF"/>
              </w:rPr>
            </w:r>
            <w:r>
              <w:rPr>
                <w:rFonts w:ascii="Calibri" w:hAnsi="Calibri"/>
                <w:b/>
                <w:color w:val="FFFFFF"/>
                <w:sz w:val="18"/>
              </w:rPr>
              <w:t>DVC</w:t>
            </w:r>
          </w:p>
        </w:tc>
        <w:tc>
          <w:tcPr>
            <w:tcW w:type="dxa" w:w="1872"/>
            <w:vAlign w:val="center"/>
            <w:shd w:fill="152238"/>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Pr>
                <w:color w:val="FFFFFF"/>
              </w:rPr>
            </w:r>
            <w:r>
              <w:rPr>
                <w:rFonts w:ascii="Calibri" w:hAnsi="Calibri"/>
                <w:b/>
                <w:color w:val="FFFFFF"/>
                <w:sz w:val="18"/>
              </w:rPr>
              <w:t>MODEL</w:t>
            </w:r>
          </w:p>
        </w:tc>
        <w:tc>
          <w:tcPr>
            <w:tcW w:type="dxa" w:w="1872"/>
            <w:vAlign w:val="center"/>
            <w:shd w:fill="152238"/>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Pr>
                <w:color w:val="FFFFFF"/>
              </w:rPr>
            </w:r>
            <w:r>
              <w:rPr>
                <w:rFonts w:ascii="Calibri" w:hAnsi="Calibri"/>
                <w:b/>
                <w:color w:val="FFFFFF"/>
                <w:sz w:val="18"/>
              </w:rPr>
              <w:t>SERVE</w:t>
            </w:r>
          </w:p>
        </w:tc>
        <w:tc>
          <w:tcPr>
            <w:tcW w:type="dxa" w:w="1872"/>
            <w:vAlign w:val="center"/>
            <w:shd w:fill="152238"/>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Pr>
                <w:color w:val="FFFFFF"/>
              </w:rPr>
            </w:r>
            <w:r>
              <w:rPr>
                <w:rFonts w:ascii="Calibri" w:hAnsi="Calibri"/>
                <w:b/>
                <w:color w:val="FFFFFF"/>
                <w:sz w:val="18"/>
              </w:rPr>
              <w:t>DELIVER</w:t>
            </w:r>
          </w:p>
        </w:tc>
      </w:tr>
      <w:tr>
        <w:trPr>
          <w:cantSplit w:val="true"/>
        </w:trPr>
        <w:tc>
          <w:tcPr>
            <w:tcW w:type="dxa" w:w="187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jc w:val="center"/>
            </w:pPr>
            <w:r/>
            <w:r>
              <w:rPr>
                <w:rFonts w:ascii="Calibri" w:hAnsi="Calibri"/>
                <w:b w:val="0"/>
                <w:color w:val="263238"/>
                <w:sz w:val="18"/>
              </w:rPr>
              <w:t>Public mirror</w:t>
              <w:br/>
              <w:t>SHA-256 provenance</w:t>
            </w:r>
          </w:p>
        </w:tc>
        <w:tc>
          <w:tcPr>
            <w:tcW w:type="dxa" w:w="187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jc w:val="center"/>
            </w:pPr>
            <w:r/>
            <w:r>
              <w:rPr>
                <w:rFonts w:ascii="Calibri" w:hAnsi="Calibri"/>
                <w:b w:val="0"/>
                <w:color w:val="263238"/>
                <w:sz w:val="18"/>
              </w:rPr>
              <w:t>224×224 RGB</w:t>
              <w:br/>
              <w:t>80/10/10 split</w:t>
            </w:r>
          </w:p>
        </w:tc>
        <w:tc>
          <w:tcPr>
            <w:tcW w:type="dxa" w:w="187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jc w:val="center"/>
            </w:pPr>
            <w:r/>
            <w:r>
              <w:rPr>
                <w:rFonts w:ascii="Calibri" w:hAnsi="Calibri"/>
                <w:b w:val="0"/>
                <w:color w:val="263238"/>
                <w:sz w:val="18"/>
              </w:rPr>
              <w:t>MobileNetV3</w:t>
              <w:br/>
              <w:t>ONNX + LR</w:t>
            </w:r>
          </w:p>
        </w:tc>
        <w:tc>
          <w:tcPr>
            <w:tcW w:type="dxa" w:w="187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jc w:val="center"/>
            </w:pPr>
            <w:r/>
            <w:r>
              <w:rPr>
                <w:rFonts w:ascii="Calibri" w:hAnsi="Calibri"/>
                <w:b w:val="0"/>
                <w:color w:val="263238"/>
                <w:sz w:val="18"/>
              </w:rPr>
              <w:t>FastAPI</w:t>
              <w:br/>
              <w:t>Prometheus</w:t>
            </w:r>
          </w:p>
        </w:tc>
        <w:tc>
          <w:tcPr>
            <w:tcW w:type="dxa" w:w="187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jc w:val="center"/>
            </w:pPr>
            <w:r/>
            <w:r>
              <w:rPr>
                <w:rFonts w:ascii="Calibri" w:hAnsi="Calibri"/>
                <w:b w:val="0"/>
                <w:color w:val="263238"/>
                <w:sz w:val="18"/>
              </w:rPr>
              <w:t>Docker + GHCR</w:t>
              <w:br/>
              <w:t>Compose CD</w:t>
            </w:r>
          </w:p>
        </w:tc>
      </w:tr>
    </w:tbl>
    <w:p>
      <w:pPr>
        <w:spacing w:after="40"/>
      </w:pPr>
    </w:p>
    <w:p>
      <w:pPr>
        <w:spacing w:before="100" w:after="200" w:line="264" w:lineRule="auto"/>
        <w:ind w:left="173" w:right="115"/>
        <w:shd w:fill="EAF4F4"/>
        <w:pBdr>
          <w:left w:val="single" w:sz="16" w:space="8" w:color="2AA198"/>
        </w:pBdr>
      </w:pPr>
      <w:r>
        <w:rPr>
          <w:rFonts w:ascii="Calibri" w:hAnsi="Calibri"/>
          <w:b/>
          <w:color w:val="152238"/>
          <w:sz w:val="21"/>
        </w:rPr>
        <w:t>A complete, reproducible implementation covering development, experiment tracking, packaging, CI/CD deployment, monitoring, and post-deployment evaluation.</w:t>
      </w:r>
    </w:p>
    <w:p/>
    <w:tbl>
      <w:tblPr>
        <w:tblW w:type="dxa" w:w="9360"/>
        <w:jc w:val="left"/>
        <w:tblLayout w:type="fixed"/>
        <w:tblLook w:firstColumn="1" w:firstRow="1" w:lastColumn="0" w:lastRow="0" w:noHBand="0" w:noVBand="1" w:val="04A0"/>
        <w:tblInd w:type="dxa" w:w="120"/>
      </w:tblPr>
      <w:tblGrid>
        <w:gridCol w:w="1950"/>
        <w:gridCol w:w="7410"/>
      </w:tblGrid>
      <w:tr>
        <w:trPr>
          <w:cantSplit w:val="true"/>
          <w:tblHeader w:val="true"/>
        </w:trPr>
        <w:tc>
          <w:tcPr>
            <w:tcW w:type="dxa" w:w="1950"/>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Submission detail</w:t>
            </w:r>
          </w:p>
        </w:tc>
        <w:tc>
          <w:tcPr>
            <w:tcW w:type="dxa" w:w="7410"/>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Value</w:t>
            </w:r>
          </w:p>
        </w:tc>
      </w:tr>
      <w:tr>
        <w:trPr>
          <w:cantSplit w:val="true"/>
        </w:trPr>
        <w:tc>
          <w:tcPr>
            <w:tcW w:type="dxa" w:w="195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Course</w:t>
            </w:r>
          </w:p>
        </w:tc>
        <w:tc>
          <w:tcPr>
            <w:tcW w:type="dxa" w:w="741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MLOps (S1-25_AIMLCZG523)</w:t>
            </w:r>
          </w:p>
        </w:tc>
      </w:tr>
      <w:tr>
        <w:trPr>
          <w:cantSplit w:val="true"/>
        </w:trPr>
        <w:tc>
          <w:tcPr>
            <w:tcW w:type="dxa" w:w="195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Use case</w:t>
            </w:r>
          </w:p>
        </w:tc>
        <w:tc>
          <w:tcPr>
            <w:tcW w:type="dxa" w:w="741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Pet adoption platform — Cats vs Dogs</w:t>
            </w:r>
          </w:p>
        </w:tc>
      </w:tr>
      <w:tr>
        <w:trPr>
          <w:cantSplit w:val="true"/>
        </w:trPr>
        <w:tc>
          <w:tcPr>
            <w:tcW w:type="dxa" w:w="195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Submission</w:t>
            </w:r>
          </w:p>
        </w:tc>
        <w:tc>
          <w:tcPr>
            <w:tcW w:type="dxa" w:w="741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Source, DVC, model, Docker, CI/CD, report, and demo</w:t>
            </w:r>
          </w:p>
        </w:tc>
      </w:tr>
      <w:tr>
        <w:trPr>
          <w:cantSplit w:val="true"/>
        </w:trPr>
        <w:tc>
          <w:tcPr>
            <w:tcW w:type="dxa" w:w="195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Prepared</w:t>
            </w:r>
          </w:p>
        </w:tc>
        <w:tc>
          <w:tcPr>
            <w:tcW w:type="dxa" w:w="741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30 August 2026</w:t>
            </w:r>
          </w:p>
        </w:tc>
      </w:tr>
    </w:tbl>
    <w:p>
      <w:pPr>
        <w:spacing w:after="40"/>
      </w:pPr>
    </w:p>
    <w:p>
      <w:r>
        <w:br w:type="page"/>
      </w:r>
    </w:p>
    <w:p>
      <w:pPr>
        <w:pStyle w:val="Heading1"/>
        <w:pageBreakBefore w:val="0"/>
      </w:pPr>
      <w:r>
        <w:t>1. Executive Summary</w:t>
      </w:r>
    </w:p>
    <w:p>
      <w:r>
        <w:t>This project implements all five assignment modules as one executable repository. A balanced 600-image sample from the Microsoft/Kaggle Cats-vs-Dogs collection is downloaded through a public mirror with per-image SHA-256 provenance. DVC creates deterministic 80/10/10 splits and runs training, while MLflow records parameters, metrics, the ONNX-backed model, the confusion matrix, candidate search, model comparison, and sample requests.</w:t>
      </w:r>
    </w:p>
    <w:p>
      <w:r>
        <w:t>The inference layer is a FastAPI service with health, prediction, and Prometheus metrics endpoints. Docker and Docker Compose define packaging and deployment. GitHub Actions tests every change, builds an immutable image, publishes it to GHCR, deploys main to a Compose host over SSH, and fails the release if smoke tests do not pass.</w:t>
      </w:r>
    </w:p>
    <w:p>
      <w:pPr>
        <w:spacing w:before="100" w:after="200" w:line="264" w:lineRule="auto"/>
        <w:ind w:left="173" w:right="115"/>
        <w:shd w:fill="EAF4F4"/>
        <w:pBdr>
          <w:left w:val="single" w:sz="16" w:space="8" w:color="2AA198"/>
        </w:pBdr>
      </w:pPr>
      <w:r>
        <w:rPr>
          <w:rFonts w:ascii="Calibri" w:hAnsi="Calibri"/>
          <w:b/>
          <w:color w:val="152238"/>
          <w:sz w:val="21"/>
        </w:rPr>
        <w:t>Verified result: 98% test accuracy, 0.983 F1, +28.33 points over baseline, and 6/6 automated tests passing.</w:t>
      </w:r>
    </w:p>
    <w:p>
      <w:pPr>
        <w:pStyle w:val="Heading2"/>
        <w:pageBreakBefore w:val="0"/>
      </w:pPr>
      <w:r>
        <w:t>Assignment-to-deliverable map</w:t>
      </w:r>
    </w:p>
    <w:tbl>
      <w:tblPr>
        <w:tblW w:type="dxa" w:w="9360"/>
        <w:jc w:val="left"/>
        <w:tblLayout w:type="fixed"/>
        <w:tblLook w:firstColumn="1" w:firstRow="1" w:lastColumn="0" w:lastRow="0" w:noHBand="0" w:noVBand="1" w:val="04A0"/>
        <w:tblInd w:type="dxa" w:w="120"/>
      </w:tblPr>
      <w:tblGrid>
        <w:gridCol w:w="1092"/>
        <w:gridCol w:w="4680"/>
        <w:gridCol w:w="3588"/>
      </w:tblGrid>
      <w:tr>
        <w:trPr>
          <w:cantSplit w:val="true"/>
          <w:tblHeader w:val="true"/>
        </w:trPr>
        <w:tc>
          <w:tcPr>
            <w:tcW w:type="dxa" w:w="1092"/>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Module</w:t>
            </w:r>
          </w:p>
        </w:tc>
        <w:tc>
          <w:tcPr>
            <w:tcW w:type="dxa" w:w="4680"/>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Implemented evidence</w:t>
            </w:r>
          </w:p>
        </w:tc>
        <w:tc>
          <w:tcPr>
            <w:tcW w:type="dxa" w:w="3588"/>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Key files</w:t>
            </w:r>
          </w:p>
        </w:tc>
      </w:tr>
      <w:tr>
        <w:trPr>
          <w:cantSplit w:val="true"/>
        </w:trPr>
        <w:tc>
          <w:tcPr>
            <w:tcW w:type="dxa" w:w="109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M1</w:t>
            </w:r>
          </w:p>
        </w:tc>
        <w:tc>
          <w:tcPr>
            <w:tcW w:type="dxa" w:w="468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Git/DVC, preprocessing, model, MLflow</w:t>
            </w:r>
          </w:p>
        </w:tc>
        <w:tc>
          <w:tcPr>
            <w:tcW w:type="dxa" w:w="358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dvc.yaml, params.yaml, train.py, model.joblib</w:t>
            </w:r>
          </w:p>
        </w:tc>
      </w:tr>
      <w:tr>
        <w:trPr>
          <w:cantSplit w:val="true"/>
        </w:trPr>
        <w:tc>
          <w:tcPr>
            <w:tcW w:type="dxa" w:w="109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M2</w:t>
            </w:r>
          </w:p>
        </w:tc>
        <w:tc>
          <w:tcPr>
            <w:tcW w:type="dxa" w:w="468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FastAPI, pinned environment, Docker</w:t>
            </w:r>
          </w:p>
        </w:tc>
        <w:tc>
          <w:tcPr>
            <w:tcW w:type="dxa" w:w="358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api.py, requirements.txt, Dockerfile</w:t>
            </w:r>
          </w:p>
        </w:tc>
      </w:tr>
      <w:tr>
        <w:trPr>
          <w:cantSplit w:val="true"/>
        </w:trPr>
        <w:tc>
          <w:tcPr>
            <w:tcW w:type="dxa" w:w="109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M3</w:t>
            </w:r>
          </w:p>
        </w:tc>
        <w:tc>
          <w:tcPr>
            <w:tcW w:type="dxa" w:w="468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pytest, GitHub Actions, GHCR publish</w:t>
            </w:r>
          </w:p>
        </w:tc>
        <w:tc>
          <w:tcPr>
            <w:tcW w:type="dxa" w:w="358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tests/, .github/workflows/mlops.yml</w:t>
            </w:r>
          </w:p>
        </w:tc>
      </w:tr>
      <w:tr>
        <w:trPr>
          <w:cantSplit w:val="true"/>
        </w:trPr>
        <w:tc>
          <w:tcPr>
            <w:tcW w:type="dxa" w:w="109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M4</w:t>
            </w:r>
          </w:p>
        </w:tc>
        <w:tc>
          <w:tcPr>
            <w:tcW w:type="dxa" w:w="468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Compose target, SSH CD, smoke tests</w:t>
            </w:r>
          </w:p>
        </w:tc>
        <w:tc>
          <w:tcPr>
            <w:tcW w:type="dxa" w:w="358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docker-compose.yml, smoke_test.py</w:t>
            </w:r>
          </w:p>
        </w:tc>
      </w:tr>
      <w:tr>
        <w:trPr>
          <w:cantSplit w:val="true"/>
        </w:trPr>
        <w:tc>
          <w:tcPr>
            <w:tcW w:type="dxa" w:w="109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M5</w:t>
            </w:r>
          </w:p>
        </w:tc>
        <w:tc>
          <w:tcPr>
            <w:tcW w:type="dxa" w:w="468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Structured logs, counters/latency, labeled batch</w:t>
            </w:r>
          </w:p>
        </w:tc>
        <w:tc>
          <w:tcPr>
            <w:tcW w:type="dxa" w:w="358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api.py, sample_requests.csv</w:t>
            </w:r>
          </w:p>
        </w:tc>
      </w:tr>
    </w:tbl>
    <w:p>
      <w:pPr>
        <w:spacing w:after="40"/>
      </w:pPr>
    </w:p>
    <w:p>
      <w:pPr>
        <w:pStyle w:val="Heading2"/>
        <w:pageBreakBefore w:val="0"/>
      </w:pPr>
      <w:r>
        <w:t>Technology choices</w:t>
      </w:r>
    </w:p>
    <w:tbl>
      <w:tblPr>
        <w:tblW w:type="dxa" w:w="9360"/>
        <w:jc w:val="left"/>
        <w:tblLayout w:type="fixed"/>
        <w:tblLook w:firstColumn="1" w:firstRow="1" w:lastColumn="0" w:lastRow="0" w:noHBand="0" w:noVBand="1" w:val="04A0"/>
        <w:tblInd w:type="dxa" w:w="120"/>
      </w:tblPr>
      <w:tblGrid>
        <w:gridCol w:w="1794"/>
        <w:gridCol w:w="2262"/>
        <w:gridCol w:w="5304"/>
      </w:tblGrid>
      <w:tr>
        <w:trPr>
          <w:cantSplit w:val="true"/>
          <w:tblHeader w:val="true"/>
        </w:trPr>
        <w:tc>
          <w:tcPr>
            <w:tcW w:type="dxa" w:w="1794"/>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Concern</w:t>
            </w:r>
          </w:p>
        </w:tc>
        <w:tc>
          <w:tcPr>
            <w:tcW w:type="dxa" w:w="2262"/>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Choice</w:t>
            </w:r>
          </w:p>
        </w:tc>
        <w:tc>
          <w:tcPr>
            <w:tcW w:type="dxa" w:w="5304"/>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Reason</w:t>
            </w:r>
          </w:p>
        </w:tc>
      </w:tr>
      <w:tr>
        <w:trPr>
          <w:cantSplit w:val="true"/>
        </w:trPr>
        <w:tc>
          <w:tcPr>
            <w:tcW w:type="dxa" w:w="179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Versioning</w:t>
            </w:r>
          </w:p>
        </w:tc>
        <w:tc>
          <w:tcPr>
            <w:tcW w:type="dxa" w:w="226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Git + DVC</w:t>
            </w:r>
          </w:p>
        </w:tc>
        <w:tc>
          <w:tcPr>
            <w:tcW w:type="dxa" w:w="530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Separates lightweight code history from data/model lineage.</w:t>
            </w:r>
          </w:p>
        </w:tc>
      </w:tr>
      <w:tr>
        <w:trPr>
          <w:cantSplit w:val="true"/>
        </w:trPr>
        <w:tc>
          <w:tcPr>
            <w:tcW w:type="dxa" w:w="179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Tracking</w:t>
            </w:r>
          </w:p>
        </w:tc>
        <w:tc>
          <w:tcPr>
            <w:tcW w:type="dxa" w:w="226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MLflow</w:t>
            </w:r>
          </w:p>
        </w:tc>
        <w:tc>
          <w:tcPr>
            <w:tcW w:type="dxa" w:w="530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Open source and local-first; logs metrics and arbitrary artifacts.</w:t>
            </w:r>
          </w:p>
        </w:tc>
      </w:tr>
      <w:tr>
        <w:trPr>
          <w:cantSplit w:val="true"/>
        </w:trPr>
        <w:tc>
          <w:tcPr>
            <w:tcW w:type="dxa" w:w="179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Model</w:t>
            </w:r>
          </w:p>
        </w:tc>
        <w:tc>
          <w:tcPr>
            <w:tcW w:type="dxa" w:w="226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MobileNetV3 + LR</w:t>
            </w:r>
          </w:p>
        </w:tc>
        <w:tc>
          <w:tcPr>
            <w:tcW w:type="dxa" w:w="530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Pretrained visual features with a regularized head.</w:t>
            </w:r>
          </w:p>
        </w:tc>
      </w:tr>
      <w:tr>
        <w:trPr>
          <w:cantSplit w:val="true"/>
        </w:trPr>
        <w:tc>
          <w:tcPr>
            <w:tcW w:type="dxa" w:w="179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Serving</w:t>
            </w:r>
          </w:p>
        </w:tc>
        <w:tc>
          <w:tcPr>
            <w:tcW w:type="dxa" w:w="226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FastAPI</w:t>
            </w:r>
          </w:p>
        </w:tc>
        <w:tc>
          <w:tcPr>
            <w:tcW w:type="dxa" w:w="530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Typed REST API, validation, and automatic OpenAPI documentation.</w:t>
            </w:r>
          </w:p>
        </w:tc>
      </w:tr>
      <w:tr>
        <w:trPr>
          <w:cantSplit w:val="true"/>
        </w:trPr>
        <w:tc>
          <w:tcPr>
            <w:tcW w:type="dxa" w:w="179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Delivery</w:t>
            </w:r>
          </w:p>
        </w:tc>
        <w:tc>
          <w:tcPr>
            <w:tcW w:type="dxa" w:w="226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Docker + GHCR + Compose</w:t>
            </w:r>
          </w:p>
        </w:tc>
        <w:tc>
          <w:tcPr>
            <w:tcW w:type="dxa" w:w="530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Portable artifact with a reproducible deployment target.</w:t>
            </w:r>
          </w:p>
        </w:tc>
      </w:tr>
    </w:tbl>
    <w:p>
      <w:pPr>
        <w:spacing w:after="40"/>
      </w:pPr>
    </w:p>
    <w:p>
      <w:pPr>
        <w:pStyle w:val="Heading1"/>
        <w:pageBreakBefore/>
      </w:pPr>
      <w:r>
        <w:t>2. M1 — Model Development and Experiment Tracking</w:t>
      </w:r>
    </w:p>
    <w:p>
      <w:pPr>
        <w:pStyle w:val="Heading2"/>
        <w:pageBreakBefore w:val="0"/>
      </w:pPr>
      <w:r>
        <w:t>2.1 Data and code versioning</w:t>
      </w:r>
    </w:p>
    <w:p>
      <w:r>
        <w:t>Git versions all source and configuration files. DVC defines two dependency-aware stages: prepare and train. The lock file captures hashes for code, data, parameters, processed output, metrics, history, and the signed model manifest. A local DVC remote is configured for offline reproducibility and can be replaced with S3 or another remote without changing the pipeline.</w:t>
      </w:r>
    </w:p>
    <w:p>
      <w:pPr>
        <w:pStyle w:val="CodeBlock"/>
        <w:keepLines/>
        <w:shd w:fill="0D1117"/>
        <w:pBdr>
          <w:left w:val="single" w:sz="8" w:space="6" w:color="2AA198"/>
        </w:pBdr>
      </w:pPr>
      <w:r>
        <w:rPr>
          <w:rFonts w:ascii="Courier New" w:hAnsi="Courier New"/>
          <w:color w:val="E6EDF3"/>
          <w:sz w:val="16"/>
        </w:rPr>
        <w:t>$ python scripts/download_data.py --output data/raw</w:t>
      </w:r>
      <w:r>
        <w:br/>
      </w:r>
      <w:r>
        <w:rPr>
          <w:rFonts w:ascii="Courier New" w:hAnsi="Courier New"/>
          <w:color w:val="E6EDF3"/>
          <w:sz w:val="16"/>
        </w:rPr>
        <w:t>$ dvc repro</w:t>
      </w:r>
      <w:r>
        <w:br/>
      </w:r>
      <w:r>
        <w:rPr>
          <w:rFonts w:ascii="Courier New" w:hAnsi="Courier New"/>
          <w:color w:val="E6EDF3"/>
          <w:sz w:val="16"/>
        </w:rPr>
        <w:t>Running stage 'prepare' ... Prepared 600 images</w:t>
      </w:r>
      <w:r>
        <w:br/>
      </w:r>
      <w:r>
        <w:rPr>
          <w:rFonts w:ascii="Courier New" w:hAnsi="Courier New"/>
          <w:color w:val="E6EDF3"/>
          <w:sz w:val="16"/>
        </w:rPr>
        <w:t>Running stage 'train' ... metrics + model + MLflow run</w:t>
      </w:r>
    </w:p>
    <w:p>
      <w:pPr>
        <w:pStyle w:val="Heading2"/>
        <w:pageBreakBefore w:val="0"/>
      </w:pPr>
      <w:r>
        <w:t>2.2 Dataset and preprocessing</w:t>
      </w:r>
    </w:p>
    <w:tbl>
      <w:tblPr>
        <w:tblW w:type="dxa" w:w="9360"/>
        <w:jc w:val="left"/>
        <w:tblLayout w:type="fixed"/>
        <w:tblLook w:firstColumn="1" w:firstRow="1" w:lastColumn="0" w:lastRow="0" w:noHBand="0" w:noVBand="1" w:val="04A0"/>
        <w:tblInd w:type="dxa" w:w="120"/>
      </w:tblPr>
      <w:tblGrid>
        <w:gridCol w:w="2418"/>
        <w:gridCol w:w="6942"/>
      </w:tblGrid>
      <w:tr>
        <w:trPr>
          <w:cantSplit w:val="true"/>
          <w:tblHeader w:val="true"/>
        </w:trPr>
        <w:tc>
          <w:tcPr>
            <w:tcW w:type="dxa" w:w="2418"/>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Property</w:t>
            </w:r>
          </w:p>
        </w:tc>
        <w:tc>
          <w:tcPr>
            <w:tcW w:type="dxa" w:w="6942"/>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Value</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Source</w:t>
            </w:r>
          </w:p>
        </w:tc>
        <w:tc>
          <w:tcPr>
            <w:tcW w:type="dxa" w:w="694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Microsoft Cats vs Dogs, public Hugging Face mirror</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Selected images</w:t>
            </w:r>
          </w:p>
        </w:tc>
        <w:tc>
          <w:tcPr>
            <w:tcW w:type="dxa" w:w="694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600 total: 300 cats and 300 dogs</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Preprocessing</w:t>
            </w:r>
          </w:p>
        </w:tc>
        <w:tc>
          <w:tcPr>
            <w:tcW w:type="dxa" w:w="694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EXIF orientation, RGB, center crop, 224×224; train horizontal flips</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Split</w:t>
            </w:r>
          </w:p>
        </w:tc>
        <w:tc>
          <w:tcPr>
            <w:tcW w:type="dxa" w:w="694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480 train / 60 validation / 60 test (80% / 10% / 10%)</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Integrity</w:t>
            </w:r>
          </w:p>
        </w:tc>
        <w:tc>
          <w:tcPr>
            <w:tcW w:type="dxa" w:w="694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Source row and SHA-256 stored for every downloaded image</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Reproducibility</w:t>
            </w:r>
          </w:p>
        </w:tc>
        <w:tc>
          <w:tcPr>
            <w:tcW w:type="dxa" w:w="694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Seed 42; deterministic sampling and class-balanced split</w:t>
            </w:r>
          </w:p>
        </w:tc>
      </w:tr>
    </w:tbl>
    <w:p>
      <w:pPr>
        <w:spacing w:after="40"/>
      </w:pPr>
    </w:p>
    <w:p>
      <w:pPr>
        <w:pStyle w:val="Heading2"/>
        <w:pageBreakBefore w:val="0"/>
      </w:pPr>
      <w:r>
        <w:t>2.3 Baseline, champion, and leakage-safe selection</w:t>
      </w:r>
    </w:p>
    <w:p>
      <w:r>
        <w:t>The HOG/color 300-tree random forest is preserved as a 70.0% baseline. The champion freezes an ImageNet-pretrained MobileNetV3-Small extractor and maps images to 576-dimensional embeddings, reusing robust visual features without fitting a deep network to only 480 images.</w:t>
      </w:r>
    </w:p>
    <w:p>
      <w:r>
        <w:t>Twelve candidates compare logistic regression, linear SVC, and RBF SVC across original and horizontal-flip representations. Selection uses validation accuracy only, with lower log loss as the tie-breaker. Logistic regression (C=0.1) on original images won at 98.33%. It was retrained on 540 train+validation images before one final test. The ONNX extractor SHA-256 is verified at load.</w:t>
      </w:r>
    </w:p>
    <w:p>
      <w:pPr>
        <w:pStyle w:val="Heading2"/>
        <w:pageBreakBefore w:val="0"/>
      </w:pPr>
      <w:r>
        <w:t>2.4 MLflow tracking</w:t>
      </w:r>
    </w:p>
    <w:p>
      <w:pPr>
        <w:numPr>
          <w:ilvl w:val="0"/>
          <w:numId w:val="10"/>
        </w:numPr>
      </w:pPr>
      <w:r>
        <w:rPr>
          <w:rFonts w:ascii="Calibri" w:hAnsi="Calibri"/>
          <w:color w:val="263238"/>
          <w:sz w:val="22"/>
        </w:rPr>
        <w:t>Experiment: cats-vs-dogs-model-development; baseline reference and champion runs.</w:t>
      </w:r>
    </w:p>
    <w:p>
      <w:pPr>
        <w:numPr>
          <w:ilvl w:val="0"/>
          <w:numId w:val="10"/>
        </w:numPr>
      </w:pPr>
      <w:r>
        <w:rPr>
          <w:rFonts w:ascii="Calibri" w:hAnsi="Calibri"/>
          <w:color w:val="263238"/>
          <w:sz w:val="22"/>
        </w:rPr>
        <w:t>Parameters: backbone, pretrained weights, candidate grid, augmentation, C, and seed.</w:t>
      </w:r>
    </w:p>
    <w:p>
      <w:pPr>
        <w:numPr>
          <w:ilvl w:val="0"/>
          <w:numId w:val="10"/>
        </w:numPr>
      </w:pPr>
      <w:r>
        <w:rPr>
          <w:rFonts w:ascii="Calibri" w:hAnsi="Calibri"/>
          <w:color w:val="263238"/>
          <w:sz w:val="22"/>
        </w:rPr>
        <w:t>Metrics: accuracy, log loss, precision, recall, and F1.</w:t>
      </w:r>
    </w:p>
    <w:p>
      <w:pPr>
        <w:numPr>
          <w:ilvl w:val="0"/>
          <w:numId w:val="10"/>
        </w:numPr>
      </w:pPr>
      <w:r>
        <w:rPr>
          <w:rFonts w:ascii="Calibri" w:hAnsi="Calibri"/>
          <w:color w:val="263238"/>
          <w:sz w:val="22"/>
        </w:rPr>
        <w:t>Artifacts: model bundle, ONNX graph, manifest, candidate table, comparison plot, confusion matrix, and requests.</w:t>
      </w:r>
    </w:p>
    <w:p>
      <w:pPr>
        <w:keepLines/>
        <w:jc w:val="center"/>
      </w:pPr>
      <w:r>
        <w:drawing>
          <wp:inline xmlns:a="http://schemas.openxmlformats.org/drawingml/2006/main" xmlns:pic="http://schemas.openxmlformats.org/drawingml/2006/picture">
            <wp:extent cx="4434840" cy="4153669"/>
            <wp:docPr id="1" name="MLflow champion metrics" descr="MLflow champion run showing 0.983 test F1, 0.983 test accuracy, 1.0 precision, and a 0.283 accuracy gain over baseline."/>
            <wp:cNvGraphicFramePr>
              <a:graphicFrameLocks noChangeAspect="1"/>
            </wp:cNvGraphicFramePr>
            <a:graphic>
              <a:graphicData uri="http://schemas.openxmlformats.org/drawingml/2006/picture">
                <pic:pic>
                  <pic:nvPicPr>
                    <pic:cNvPr id="0" name="mlflow_champion_metrics_report.png"/>
                    <pic:cNvPicPr/>
                  </pic:nvPicPr>
                  <pic:blipFill>
                    <a:blip r:embed="rId13"/>
                    <a:stretch>
                      <a:fillRect/>
                    </a:stretch>
                  </pic:blipFill>
                  <pic:spPr>
                    <a:xfrm>
                      <a:off x="0" y="0"/>
                      <a:ext cx="4434840" cy="4153669"/>
                    </a:xfrm>
                    <a:prstGeom prst="rect"/>
                  </pic:spPr>
                </pic:pic>
              </a:graphicData>
            </a:graphic>
          </wp:inline>
        </w:drawing>
      </w:r>
    </w:p>
    <w:p>
      <w:pPr>
        <w:pStyle w:val="FigureCaption"/>
      </w:pPr>
      <w:r>
        <w:t>Figure 1. MLflow evidence from the final MobileNetV3 champion run. The tracked metrics show 0.983 accuracy/F1, 1.000 precision, 0.032 log loss, and the 0.283 gain over baseline.</w:t>
      </w:r>
    </w:p>
    <w:p>
      <w:pPr>
        <w:pStyle w:val="Heading1"/>
        <w:pageBreakBefore/>
      </w:pPr>
      <w:r>
        <w:t>3. Evaluation Results</w:t>
      </w:r>
    </w:p>
    <w:tbl>
      <w:tblPr>
        <w:tblW w:type="dxa" w:w="9360"/>
        <w:jc w:val="left"/>
        <w:tblLayout w:type="fixed"/>
        <w:tblLook w:firstColumn="1" w:firstRow="1" w:lastColumn="0" w:lastRow="0" w:noHBand="0" w:noVBand="1" w:val="04A0"/>
        <w:tblInd w:type="dxa" w:w="120"/>
      </w:tblPr>
      <w:tblGrid>
        <w:gridCol w:w="2418"/>
        <w:gridCol w:w="1560"/>
        <w:gridCol w:w="5382"/>
      </w:tblGrid>
      <w:tr>
        <w:trPr>
          <w:cantSplit w:val="true"/>
          <w:tblHeader w:val="true"/>
        </w:trPr>
        <w:tc>
          <w:tcPr>
            <w:tcW w:type="dxa" w:w="2418"/>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Metric</w:t>
            </w:r>
          </w:p>
        </w:tc>
        <w:tc>
          <w:tcPr>
            <w:tcW w:type="dxa" w:w="1560"/>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Result</w:t>
            </w:r>
          </w:p>
        </w:tc>
        <w:tc>
          <w:tcPr>
            <w:tcW w:type="dxa" w:w="5382"/>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Interpretation</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Accuracy</w:t>
            </w:r>
          </w:p>
        </w:tc>
        <w:tc>
          <w:tcPr>
            <w:tcW w:type="dxa" w:w="156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0.983</w:t>
            </w:r>
          </w:p>
        </w:tc>
        <w:tc>
          <w:tcPr>
            <w:tcW w:type="dxa" w:w="538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Overall correctness on 60 held-out images</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Precision (dog)</w:t>
            </w:r>
          </w:p>
        </w:tc>
        <w:tc>
          <w:tcPr>
            <w:tcW w:type="dxa" w:w="156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1.000</w:t>
            </w:r>
          </w:p>
        </w:tc>
        <w:tc>
          <w:tcPr>
            <w:tcW w:type="dxa" w:w="538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Purity of the predicted-dog class</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Recall (dog)</w:t>
            </w:r>
          </w:p>
        </w:tc>
        <w:tc>
          <w:tcPr>
            <w:tcW w:type="dxa" w:w="156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0.967</w:t>
            </w:r>
          </w:p>
        </w:tc>
        <w:tc>
          <w:tcPr>
            <w:tcW w:type="dxa" w:w="538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Coverage of actual dog images</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F1 (dog)</w:t>
            </w:r>
          </w:p>
        </w:tc>
        <w:tc>
          <w:tcPr>
            <w:tcW w:type="dxa" w:w="156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0.983</w:t>
            </w:r>
          </w:p>
        </w:tc>
        <w:tc>
          <w:tcPr>
            <w:tcW w:type="dxa" w:w="538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Balance of precision and recall</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Log loss</w:t>
            </w:r>
          </w:p>
        </w:tc>
        <w:tc>
          <w:tcPr>
            <w:tcW w:type="dxa" w:w="156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0.032</w:t>
            </w:r>
          </w:p>
        </w:tc>
        <w:tc>
          <w:tcPr>
            <w:tcW w:type="dxa" w:w="538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Probability-quality metric; lower is better</w:t>
            </w:r>
          </w:p>
        </w:tc>
      </w:tr>
    </w:tbl>
    <w:p>
      <w:pPr>
        <w:spacing w:after="40"/>
      </w:pPr>
    </w:p>
    <w:p>
      <w:pPr>
        <w:pStyle w:val="Heading2"/>
        <w:pageBreakBefore w:val="0"/>
      </w:pPr>
      <w:r>
        <w:t>Confusion matrix</w:t>
      </w:r>
    </w:p>
    <w:tbl>
      <w:tblPr>
        <w:tblW w:type="dxa" w:w="9360"/>
        <w:jc w:val="left"/>
        <w:tblLayout w:type="fixed"/>
        <w:tblLook w:firstColumn="1" w:firstRow="1" w:lastColumn="0" w:lastRow="0" w:noHBand="0" w:noVBand="1" w:val="04A0"/>
        <w:tblInd w:type="dxa" w:w="120"/>
      </w:tblPr>
      <w:tblGrid>
        <w:gridCol w:w="3900"/>
        <w:gridCol w:w="2730"/>
        <w:gridCol w:w="2730"/>
      </w:tblGrid>
      <w:tr>
        <w:trPr>
          <w:cantSplit w:val="true"/>
          <w:tblHeader w:val="true"/>
        </w:trPr>
        <w:tc>
          <w:tcPr>
            <w:tcW w:type="dxa" w:w="3900"/>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Actual / Predicted</w:t>
            </w:r>
          </w:p>
        </w:tc>
        <w:tc>
          <w:tcPr>
            <w:tcW w:type="dxa" w:w="2730"/>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Cat</w:t>
            </w:r>
          </w:p>
        </w:tc>
        <w:tc>
          <w:tcPr>
            <w:tcW w:type="dxa" w:w="2730"/>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Dog</w:t>
            </w:r>
          </w:p>
        </w:tc>
      </w:tr>
      <w:tr>
        <w:trPr>
          <w:cantSplit w:val="true"/>
        </w:trPr>
        <w:tc>
          <w:tcPr>
            <w:tcW w:type="dxa" w:w="390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Cat</w:t>
            </w:r>
          </w:p>
        </w:tc>
        <w:tc>
          <w:tcPr>
            <w:tcW w:type="dxa" w:w="273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30</w:t>
            </w:r>
          </w:p>
        </w:tc>
        <w:tc>
          <w:tcPr>
            <w:tcW w:type="dxa" w:w="273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0</w:t>
            </w:r>
          </w:p>
        </w:tc>
      </w:tr>
      <w:tr>
        <w:trPr>
          <w:cantSplit w:val="true"/>
        </w:trPr>
        <w:tc>
          <w:tcPr>
            <w:tcW w:type="dxa" w:w="390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Dog</w:t>
            </w:r>
          </w:p>
        </w:tc>
        <w:tc>
          <w:tcPr>
            <w:tcW w:type="dxa" w:w="273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1</w:t>
            </w:r>
          </w:p>
        </w:tc>
        <w:tc>
          <w:tcPr>
            <w:tcW w:type="dxa" w:w="273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29</w:t>
            </w:r>
          </w:p>
        </w:tc>
      </w:tr>
    </w:tbl>
    <w:p>
      <w:pPr>
        <w:spacing w:after="40"/>
      </w:pPr>
    </w:p>
    <w:p>
      <w:pPr>
        <w:keepLines/>
        <w:jc w:val="center"/>
      </w:pPr>
      <w:r>
        <w:drawing>
          <wp:inline xmlns:a="http://schemas.openxmlformats.org/drawingml/2006/main" xmlns:pic="http://schemas.openxmlformats.org/drawingml/2006/picture">
            <wp:extent cx="5623560" cy="2108835"/>
            <wp:docPr id="2" name="Baseline and champion model comparison" descr="Held-out accuracy and F1 comparison between the random-forest baseline and MobileNetV3 champion."/>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623560" cy="2108835"/>
                    </a:xfrm>
                    <a:prstGeom prst="rect"/>
                  </pic:spPr>
                </pic:pic>
              </a:graphicData>
            </a:graphic>
          </wp:inline>
        </w:drawing>
      </w:r>
    </w:p>
    <w:p>
      <w:pPr>
        <w:pStyle w:val="FigureCaption"/>
      </w:pPr>
      <w:r>
        <w:t>Figure 2. Held-out comparison of the preserved random-forest baseline and MobileNetV3 champion. Accuracy rises from 70.00% to 98.33%, a 28.33 percentage-point gain.</w:t>
      </w:r>
    </w:p>
    <w:p>
      <w:pPr>
        <w:pStyle w:val="Heading2"/>
        <w:pageBreakBefore w:val="0"/>
      </w:pPr>
      <w:r>
        <w:t>Post-deployment performance batch</w:t>
      </w:r>
    </w:p>
    <w:p>
      <w:r>
        <w:t>The training pipeline writes 20 simulated production requests with image identifier, true label, predicted label, dog probability, and correctness. This establishes the schema for delayed-ground-truth monitoring without logging image bytes or personal information.</w:t>
      </w:r>
    </w:p>
    <w:p>
      <w:pPr>
        <w:pStyle w:val="Heading1"/>
        <w:pageBreakBefore/>
      </w:pPr>
      <w:r>
        <w:t>4. M2 — Packaging and Containerization</w:t>
      </w:r>
    </w:p>
    <w:p>
      <w:pPr>
        <w:pStyle w:val="Heading2"/>
        <w:pageBreakBefore w:val="0"/>
      </w:pPr>
      <w:r>
        <w:t>4.1 Inference API</w:t>
      </w:r>
    </w:p>
    <w:tbl>
      <w:tblPr>
        <w:tblW w:type="dxa" w:w="9360"/>
        <w:jc w:val="left"/>
        <w:tblLayout w:type="fixed"/>
        <w:tblLook w:firstColumn="1" w:firstRow="1" w:lastColumn="0" w:lastRow="0" w:noHBand="0" w:noVBand="1" w:val="04A0"/>
        <w:tblInd w:type="dxa" w:w="120"/>
      </w:tblPr>
      <w:tblGrid>
        <w:gridCol w:w="1248"/>
        <w:gridCol w:w="1872"/>
        <w:gridCol w:w="6240"/>
      </w:tblGrid>
      <w:tr>
        <w:trPr>
          <w:cantSplit w:val="true"/>
          <w:tblHeader w:val="true"/>
        </w:trPr>
        <w:tc>
          <w:tcPr>
            <w:tcW w:type="dxa" w:w="1248"/>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Method</w:t>
            </w:r>
          </w:p>
        </w:tc>
        <w:tc>
          <w:tcPr>
            <w:tcW w:type="dxa" w:w="1872"/>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Endpoint</w:t>
            </w:r>
          </w:p>
        </w:tc>
        <w:tc>
          <w:tcPr>
            <w:tcW w:type="dxa" w:w="6240"/>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Behavior</w:t>
            </w:r>
          </w:p>
        </w:tc>
      </w:tr>
      <w:tr>
        <w:trPr>
          <w:cantSplit w:val="true"/>
        </w:trPr>
        <w:tc>
          <w:tcPr>
            <w:tcW w:type="dxa" w:w="124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GET</w:t>
            </w:r>
          </w:p>
        </w:tc>
        <w:tc>
          <w:tcPr>
            <w:tcW w:type="dxa" w:w="187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/health</w:t>
            </w:r>
          </w:p>
        </w:tc>
        <w:tc>
          <w:tcPr>
            <w:tcW w:type="dxa" w:w="624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Returns service status and loaded model version</w:t>
            </w:r>
          </w:p>
        </w:tc>
      </w:tr>
      <w:tr>
        <w:trPr>
          <w:cantSplit w:val="true"/>
        </w:trPr>
        <w:tc>
          <w:tcPr>
            <w:tcW w:type="dxa" w:w="124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POST</w:t>
            </w:r>
          </w:p>
        </w:tc>
        <w:tc>
          <w:tcPr>
            <w:tcW w:type="dxa" w:w="187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/predict</w:t>
            </w:r>
          </w:p>
        </w:tc>
        <w:tc>
          <w:tcPr>
            <w:tcW w:type="dxa" w:w="624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Accepts JPEG/PNG/WebP up to 10 MB; returns label and probabilities</w:t>
            </w:r>
          </w:p>
        </w:tc>
      </w:tr>
      <w:tr>
        <w:trPr>
          <w:cantSplit w:val="true"/>
        </w:trPr>
        <w:tc>
          <w:tcPr>
            <w:tcW w:type="dxa" w:w="124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GET</w:t>
            </w:r>
          </w:p>
        </w:tc>
        <w:tc>
          <w:tcPr>
            <w:tcW w:type="dxa" w:w="1872"/>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/metrics</w:t>
            </w:r>
          </w:p>
        </w:tc>
        <w:tc>
          <w:tcPr>
            <w:tcW w:type="dxa" w:w="624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Exports Prometheus request count and latency series</w:t>
            </w:r>
          </w:p>
        </w:tc>
      </w:tr>
      <w:tr>
        <w:trPr>
          <w:cantSplit w:val="true"/>
        </w:trPr>
        <w:tc>
          <w:tcPr>
            <w:tcW w:type="dxa" w:w="124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GET</w:t>
            </w:r>
          </w:p>
        </w:tc>
        <w:tc>
          <w:tcPr>
            <w:tcW w:type="dxa" w:w="1872"/>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/docs</w:t>
            </w:r>
          </w:p>
        </w:tc>
        <w:tc>
          <w:tcPr>
            <w:tcW w:type="dxa" w:w="624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Interactive OpenAPI documentation generated by FastAPI</w:t>
            </w:r>
          </w:p>
        </w:tc>
      </w:tr>
    </w:tbl>
    <w:p>
      <w:pPr>
        <w:spacing w:after="40"/>
      </w:pPr>
    </w:p>
    <w:p>
      <w:pPr>
        <w:pStyle w:val="CodeBlock"/>
        <w:keepLines/>
        <w:shd w:fill="0D1117"/>
        <w:pBdr>
          <w:left w:val="single" w:sz="8" w:space="6" w:color="2AA198"/>
        </w:pBdr>
      </w:pPr>
      <w:r>
        <w:rPr>
          <w:rFonts w:ascii="Courier New" w:hAnsi="Courier New"/>
          <w:color w:val="E6EDF3"/>
          <w:sz w:val="16"/>
        </w:rPr>
        <w:t>POST /predict</w:t>
      </w:r>
      <w:r>
        <w:br/>
      </w:r>
      <w:r>
        <w:rPr>
          <w:rFonts w:ascii="Courier New" w:hAnsi="Courier New"/>
          <w:color w:val="E6EDF3"/>
          <w:sz w:val="16"/>
        </w:rPr>
        <w:t>{</w:t>
      </w:r>
      <w:r>
        <w:br/>
      </w:r>
      <w:r>
        <w:rPr>
          <w:rFonts w:ascii="Courier New" w:hAnsi="Courier New"/>
          <w:color w:val="E6EDF3"/>
          <w:sz w:val="16"/>
        </w:rPr>
        <w:t xml:space="preserve">  "label": "dog",</w:t>
      </w:r>
      <w:r>
        <w:br/>
      </w:r>
      <w:r>
        <w:rPr>
          <w:rFonts w:ascii="Courier New" w:hAnsi="Courier New"/>
          <w:color w:val="E6EDF3"/>
          <w:sz w:val="16"/>
        </w:rPr>
        <w:t xml:space="preserve">  "confidence": 0.9821,</w:t>
      </w:r>
      <w:r>
        <w:br/>
      </w:r>
      <w:r>
        <w:rPr>
          <w:rFonts w:ascii="Courier New" w:hAnsi="Courier New"/>
          <w:color w:val="E6EDF3"/>
          <w:sz w:val="16"/>
        </w:rPr>
        <w:t xml:space="preserve">  "probabilities": {"cat": 0.0179, "dog": 0.9821},</w:t>
      </w:r>
      <w:r>
        <w:br/>
      </w:r>
      <w:r>
        <w:rPr>
          <w:rFonts w:ascii="Courier New" w:hAnsi="Courier New"/>
          <w:color w:val="E6EDF3"/>
          <w:sz w:val="16"/>
        </w:rPr>
        <w:t xml:space="preserve">  "model_version": "2.0.0"</w:t>
      </w:r>
      <w:r>
        <w:br/>
      </w:r>
      <w:r>
        <w:rPr>
          <w:rFonts w:ascii="Courier New" w:hAnsi="Courier New"/>
          <w:color w:val="E6EDF3"/>
          <w:sz w:val="16"/>
        </w:rPr>
        <w:t>}</w:t>
      </w:r>
    </w:p>
    <w:p>
      <w:pPr>
        <w:keepLines/>
        <w:jc w:val="center"/>
      </w:pPr>
      <w:r>
        <w:drawing>
          <wp:inline xmlns:a="http://schemas.openxmlformats.org/drawingml/2006/main" xmlns:pic="http://schemas.openxmlformats.org/drawingml/2006/picture">
            <wp:extent cx="5623560" cy="3163252"/>
            <wp:docPr id="3" name="FastAPI OpenAPI interface" descr="Live FastAPI 2.0.0 OpenAPI page showing health and prediction endpoints."/>
            <wp:cNvGraphicFramePr>
              <a:graphicFrameLocks noChangeAspect="1"/>
            </wp:cNvGraphicFramePr>
            <a:graphic>
              <a:graphicData uri="http://schemas.openxmlformats.org/drawingml/2006/picture">
                <pic:pic>
                  <pic:nvPicPr>
                    <pic:cNvPr id="0" name="fastapi_openapi_v2.png"/>
                    <pic:cNvPicPr/>
                  </pic:nvPicPr>
                  <pic:blipFill>
                    <a:blip r:embed="rId15"/>
                    <a:stretch>
                      <a:fillRect/>
                    </a:stretch>
                  </pic:blipFill>
                  <pic:spPr>
                    <a:xfrm>
                      <a:off x="0" y="0"/>
                      <a:ext cx="5623560" cy="3163252"/>
                    </a:xfrm>
                    <a:prstGeom prst="rect"/>
                  </pic:spPr>
                </pic:pic>
              </a:graphicData>
            </a:graphic>
          </wp:inline>
        </w:drawing>
      </w:r>
    </w:p>
    <w:p>
      <w:pPr>
        <w:pStyle w:val="FigureCaption"/>
      </w:pPr>
      <w:r>
        <w:t>Figure 3. Live OpenAPI evidence for service version 2.0.0, exposing the health and multipart image prediction contracts.</w:t>
      </w:r>
    </w:p>
    <w:p>
      <w:pPr>
        <w:pStyle w:val="Heading2"/>
        <w:pageBreakBefore w:val="0"/>
      </w:pPr>
      <w:r>
        <w:t>4.2 Reproducible environment</w:t>
      </w:r>
    </w:p>
    <w:p>
      <w:r>
        <w:t>Production and development dependencies are fully pinned. The package uses a src layout and declares Python 3.11+. The service validates content type, file size, and decoded image content, then executes the exported ONNX feature graph used during training. PyTorch remains a separate training dependency and is not required by the production image.</w:t>
      </w:r>
    </w:p>
    <w:p>
      <w:pPr>
        <w:pStyle w:val="Heading2"/>
        <w:pageBreakBefore w:val="0"/>
      </w:pPr>
      <w:r>
        <w:t>4.3 Container</w:t>
      </w:r>
    </w:p>
    <w:p>
      <w:pPr>
        <w:numPr>
          <w:ilvl w:val="0"/>
          <w:numId w:val="10"/>
        </w:numPr>
      </w:pPr>
      <w:r>
        <w:rPr>
          <w:rFonts w:ascii="Calibri" w:hAnsi="Calibri"/>
          <w:color w:val="263238"/>
          <w:sz w:val="22"/>
        </w:rPr>
        <w:t>Base image: python:3.11-slim; no compiler or notebook runtime in the final image.</w:t>
      </w:r>
    </w:p>
    <w:p>
      <w:pPr>
        <w:numPr>
          <w:ilvl w:val="0"/>
          <w:numId w:val="10"/>
        </w:numPr>
      </w:pPr>
      <w:r>
        <w:rPr>
          <w:rFonts w:ascii="Calibri" w:hAnsi="Calibri"/>
          <w:color w:val="263238"/>
          <w:sz w:val="22"/>
        </w:rPr>
        <w:t>Runs as a non-root system user and exposes only port 8000.</w:t>
      </w:r>
    </w:p>
    <w:p>
      <w:pPr>
        <w:numPr>
          <w:ilvl w:val="0"/>
          <w:numId w:val="10"/>
        </w:numPr>
      </w:pPr>
      <w:r>
        <w:rPr>
          <w:rFonts w:ascii="Calibri" w:hAnsi="Calibri"/>
          <w:color w:val="263238"/>
          <w:sz w:val="22"/>
        </w:rPr>
        <w:t>Includes a Docker health check against /health.</w:t>
      </w:r>
    </w:p>
    <w:p>
      <w:pPr>
        <w:numPr>
          <w:ilvl w:val="0"/>
          <w:numId w:val="10"/>
        </w:numPr>
      </w:pPr>
      <w:r>
        <w:rPr>
          <w:rFonts w:ascii="Calibri" w:hAnsi="Calibri"/>
          <w:color w:val="263238"/>
          <w:sz w:val="22"/>
        </w:rPr>
        <w:t>Copies the checksum-verified joblib classifier and ONNX feature extractor into fixed paths.</w:t>
      </w:r>
    </w:p>
    <w:p>
      <w:pPr>
        <w:numPr>
          <w:ilvl w:val="0"/>
          <w:numId w:val="10"/>
        </w:numPr>
      </w:pPr>
      <w:r>
        <w:rPr>
          <w:rFonts w:ascii="Calibri" w:hAnsi="Calibri"/>
          <w:color w:val="263238"/>
          <w:sz w:val="22"/>
        </w:rPr>
        <w:t>A .dockerignore excludes datasets, caches, tests, reports, and local environments.</w:t>
      </w:r>
    </w:p>
    <w:p>
      <w:pPr>
        <w:pStyle w:val="CodeBlock"/>
        <w:keepLines/>
        <w:shd w:fill="0D1117"/>
        <w:pBdr>
          <w:left w:val="single" w:sz="8" w:space="6" w:color="2AA198"/>
        </w:pBdr>
      </w:pPr>
      <w:r>
        <w:rPr>
          <w:rFonts w:ascii="Courier New" w:hAnsi="Courier New"/>
          <w:color w:val="E6EDF3"/>
          <w:sz w:val="16"/>
        </w:rPr>
        <w:t>$ docker build -t cats-dogs-mlops:local .</w:t>
      </w:r>
      <w:r>
        <w:br/>
      </w:r>
      <w:r>
        <w:rPr>
          <w:rFonts w:ascii="Courier New" w:hAnsi="Courier New"/>
          <w:color w:val="E6EDF3"/>
          <w:sz w:val="16"/>
        </w:rPr>
        <w:t>$ IMAGE_NAME=cats-dogs-mlops:local docker compose up -d</w:t>
      </w:r>
      <w:r>
        <w:br/>
      </w:r>
      <w:r>
        <w:rPr>
          <w:rFonts w:ascii="Courier New" w:hAnsi="Courier New"/>
          <w:color w:val="E6EDF3"/>
          <w:sz w:val="16"/>
        </w:rPr>
        <w:t>$ python scripts/smoke_test.py --image sample.jpg</w:t>
      </w:r>
    </w:p>
    <w:p>
      <w:pPr>
        <w:pStyle w:val="Heading1"/>
        <w:pageBreakBefore/>
      </w:pPr>
      <w:r>
        <w:t>5. M3 — Continuous Integration</w:t>
      </w:r>
    </w:p>
    <w:p>
      <w:r>
        <w:t>The GitHub Actions workflow triggers on all pushes and pull requests to main. Jobs use least-privilege package permissions and immutable commit-SHA image tags.</w:t>
      </w:r>
    </w:p>
    <w:tbl>
      <w:tblPr>
        <w:tblW w:type="dxa" w:w="9360"/>
        <w:jc w:val="left"/>
        <w:tblLayout w:type="fixed"/>
        <w:tblLook w:firstColumn="1" w:firstRow="1" w:lastColumn="0" w:lastRow="0" w:noHBand="0" w:noVBand="1" w:val="04A0"/>
        <w:tblInd w:type="dxa" w:w="120"/>
      </w:tblPr>
      <w:tblGrid>
        <w:gridCol w:w="1950"/>
        <w:gridCol w:w="4524"/>
        <w:gridCol w:w="2886"/>
      </w:tblGrid>
      <w:tr>
        <w:trPr>
          <w:cantSplit w:val="true"/>
          <w:tblHeader w:val="true"/>
        </w:trPr>
        <w:tc>
          <w:tcPr>
            <w:tcW w:type="dxa" w:w="1950"/>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Step</w:t>
            </w:r>
          </w:p>
        </w:tc>
        <w:tc>
          <w:tcPr>
            <w:tcW w:type="dxa" w:w="4524"/>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Automated gate</w:t>
            </w:r>
          </w:p>
        </w:tc>
        <w:tc>
          <w:tcPr>
            <w:tcW w:type="dxa" w:w="2886"/>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Failure effect</w:t>
            </w:r>
          </w:p>
        </w:tc>
      </w:tr>
      <w:tr>
        <w:trPr>
          <w:cantSplit w:val="true"/>
        </w:trPr>
        <w:tc>
          <w:tcPr>
            <w:tcW w:type="dxa" w:w="195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Checkout/setup</w:t>
            </w:r>
          </w:p>
        </w:tc>
        <w:tc>
          <w:tcPr>
            <w:tcW w:type="dxa" w:w="452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Python 3.11 and pip cache</w:t>
            </w:r>
          </w:p>
        </w:tc>
        <w:tc>
          <w:tcPr>
            <w:tcW w:type="dxa" w:w="288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Workflow stops</w:t>
            </w:r>
          </w:p>
        </w:tc>
      </w:tr>
      <w:tr>
        <w:trPr>
          <w:cantSplit w:val="true"/>
        </w:trPr>
        <w:tc>
          <w:tcPr>
            <w:tcW w:type="dxa" w:w="195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Install</w:t>
            </w:r>
          </w:p>
        </w:tc>
        <w:tc>
          <w:tcPr>
            <w:tcW w:type="dxa" w:w="452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Pinned production and development dependencies</w:t>
            </w:r>
          </w:p>
        </w:tc>
        <w:tc>
          <w:tcPr>
            <w:tcW w:type="dxa" w:w="288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Workflow stops</w:t>
            </w:r>
          </w:p>
        </w:tc>
      </w:tr>
      <w:tr>
        <w:trPr>
          <w:cantSplit w:val="true"/>
        </w:trPr>
        <w:tc>
          <w:tcPr>
            <w:tcW w:type="dxa" w:w="195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Test</w:t>
            </w:r>
          </w:p>
        </w:tc>
        <w:tc>
          <w:tcPr>
            <w:tcW w:type="dxa" w:w="452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Six pytest unit/API/ONNX tests</w:t>
            </w:r>
          </w:p>
        </w:tc>
        <w:tc>
          <w:tcPr>
            <w:tcW w:type="dxa" w:w="288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Image is not built</w:t>
            </w:r>
          </w:p>
        </w:tc>
      </w:tr>
      <w:tr>
        <w:trPr>
          <w:cantSplit w:val="true"/>
        </w:trPr>
        <w:tc>
          <w:tcPr>
            <w:tcW w:type="dxa" w:w="195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Build</w:t>
            </w:r>
          </w:p>
        </w:tc>
        <w:tc>
          <w:tcPr>
            <w:tcW w:type="dxa" w:w="452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BuildKit multi-platform-capable build</w:t>
            </w:r>
          </w:p>
        </w:tc>
        <w:tc>
          <w:tcPr>
            <w:tcW w:type="dxa" w:w="288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Image is not published</w:t>
            </w:r>
          </w:p>
        </w:tc>
      </w:tr>
      <w:tr>
        <w:trPr>
          <w:cantSplit w:val="true"/>
        </w:trPr>
        <w:tc>
          <w:tcPr>
            <w:tcW w:type="dxa" w:w="1950"/>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Publish</w:t>
            </w:r>
          </w:p>
        </w:tc>
        <w:tc>
          <w:tcPr>
            <w:tcW w:type="dxa" w:w="452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GHCR login with GITHUB_TOKEN</w:t>
            </w:r>
          </w:p>
        </w:tc>
        <w:tc>
          <w:tcPr>
            <w:tcW w:type="dxa" w:w="288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Deployment is blocked</w:t>
            </w:r>
          </w:p>
        </w:tc>
      </w:tr>
      <w:tr>
        <w:trPr>
          <w:cantSplit w:val="true"/>
        </w:trPr>
        <w:tc>
          <w:tcPr>
            <w:tcW w:type="dxa" w:w="1950"/>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Tag</w:t>
            </w:r>
          </w:p>
        </w:tc>
        <w:tc>
          <w:tcPr>
            <w:tcW w:type="dxa" w:w="452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Commit SHA and latest</w:t>
            </w:r>
          </w:p>
        </w:tc>
        <w:tc>
          <w:tcPr>
            <w:tcW w:type="dxa" w:w="288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Supports rollback and convenience</w:t>
            </w:r>
          </w:p>
        </w:tc>
      </w:tr>
    </w:tbl>
    <w:p>
      <w:pPr>
        <w:spacing w:after="40"/>
      </w:pPr>
    </w:p>
    <w:p>
      <w:pPr>
        <w:pStyle w:val="Heading2"/>
        <w:pageBreakBefore w:val="0"/>
      </w:pPr>
      <w:r>
        <w:t>Automated test coverage</w:t>
      </w:r>
    </w:p>
    <w:p>
      <w:pPr>
        <w:numPr>
          <w:ilvl w:val="0"/>
          <w:numId w:val="10"/>
        </w:numPr>
      </w:pPr>
      <w:r>
        <w:rPr>
          <w:rFonts w:ascii="Calibri" w:hAnsi="Calibri"/>
          <w:color w:val="263238"/>
          <w:sz w:val="22"/>
        </w:rPr>
        <w:t>Grayscale-to-RGB conversion, 224×224 output shape, and normalized float array.</w:t>
      </w:r>
    </w:p>
    <w:p>
      <w:pPr>
        <w:numPr>
          <w:ilvl w:val="0"/>
          <w:numId w:val="10"/>
        </w:numPr>
      </w:pPr>
      <w:r>
        <w:rPr>
          <w:rFonts w:ascii="Calibri" w:hAnsi="Calibri"/>
          <w:color w:val="263238"/>
          <w:sz w:val="22"/>
        </w:rPr>
        <w:t>Invalid image rejection.</w:t>
      </w:r>
    </w:p>
    <w:p>
      <w:pPr>
        <w:numPr>
          <w:ilvl w:val="0"/>
          <w:numId w:val="10"/>
        </w:numPr>
      </w:pPr>
      <w:r>
        <w:rPr>
          <w:rFonts w:ascii="Calibri" w:hAnsi="Calibri"/>
          <w:color w:val="263238"/>
          <w:sz w:val="22"/>
        </w:rPr>
        <w:t>Feature vector and prediction response contract.</w:t>
      </w:r>
    </w:p>
    <w:p>
      <w:pPr>
        <w:numPr>
          <w:ilvl w:val="0"/>
          <w:numId w:val="10"/>
        </w:numPr>
      </w:pPr>
      <w:r>
        <w:rPr>
          <w:rFonts w:ascii="Calibri" w:hAnsi="Calibri"/>
          <w:color w:val="263238"/>
          <w:sz w:val="22"/>
        </w:rPr>
        <w:t>Health and valid multipart prediction endpoints.</w:t>
      </w:r>
    </w:p>
    <w:p>
      <w:pPr>
        <w:numPr>
          <w:ilvl w:val="0"/>
          <w:numId w:val="10"/>
        </w:numPr>
      </w:pPr>
      <w:r>
        <w:rPr>
          <w:rFonts w:ascii="Calibri" w:hAnsi="Calibri"/>
          <w:color w:val="263238"/>
          <w:sz w:val="22"/>
        </w:rPr>
        <w:t>Unsupported upload content type returns HTTP 415.</w:t>
      </w:r>
    </w:p>
    <w:p>
      <w:pPr>
        <w:numPr>
          <w:ilvl w:val="0"/>
          <w:numId w:val="10"/>
        </w:numPr>
      </w:pPr>
      <w:r>
        <w:rPr>
          <w:rFonts w:ascii="Calibri" w:hAnsi="Calibri"/>
          <w:color w:val="263238"/>
          <w:sz w:val="22"/>
        </w:rPr>
        <w:t>ONNX backend, SHA-256, embedding size, and probability contract.</w:t>
      </w:r>
    </w:p>
    <w:p>
      <w:pPr>
        <w:pStyle w:val="CodeBlock"/>
        <w:keepLines/>
        <w:shd w:fill="0D1117"/>
        <w:pBdr>
          <w:left w:val="single" w:sz="8" w:space="6" w:color="2AA198"/>
        </w:pBdr>
      </w:pPr>
      <w:r>
        <w:rPr>
          <w:rFonts w:ascii="Courier New" w:hAnsi="Courier New"/>
          <w:color w:val="E6EDF3"/>
          <w:sz w:val="16"/>
        </w:rPr>
        <w:t>$ pytest -q</w:t>
      </w:r>
      <w:r>
        <w:br/>
      </w:r>
      <w:r>
        <w:rPr>
          <w:rFonts w:ascii="Courier New" w:hAnsi="Courier New"/>
          <w:color w:val="E6EDF3"/>
          <w:sz w:val="16"/>
        </w:rPr>
        <w:t>......  [100%]</w:t>
      </w:r>
      <w:r>
        <w:br/>
      </w:r>
      <w:r>
        <w:rPr>
          <w:rFonts w:ascii="Courier New" w:hAnsi="Courier New"/>
          <w:color w:val="E6EDF3"/>
          <w:sz w:val="16"/>
        </w:rPr>
        <w:t>6 passed</w:t>
      </w:r>
    </w:p>
    <w:p>
      <w:pPr>
        <w:pStyle w:val="Heading2"/>
        <w:pageBreakBefore w:val="0"/>
      </w:pPr>
      <w:r>
        <w:t>Artifact publishing</w:t>
      </w:r>
    </w:p>
    <w:p>
      <w:r>
        <w:t>On pushes, GitHub Actions authenticates to ghcr.io with the repository-scoped token and publishes both ghcr.io/&lt;owner&gt;/cats-dogs-mlops:&lt;commit-sha&gt; and :latest. Pull requests build but do not push, preventing untrusted publication.</w:t>
      </w:r>
    </w:p>
    <w:p>
      <w:pPr>
        <w:pStyle w:val="Heading1"/>
        <w:pageBreakBefore w:val="0"/>
      </w:pPr>
      <w:r>
        <w:t>6. M4 — Continuous Deployment</w:t>
      </w:r>
    </w:p>
    <w:p>
      <w:r>
        <w:t>The selected target is Docker Compose on a simple VM. A production GitHub environment can enforce approval and secret scoping. After a successful main-branch image publish, the deploy job loads an SSH key, connects to the host, pulls the immutable SHA tag, and runs docker compose up -d --remove-orphans.</w:t>
      </w:r>
    </w:p>
    <w:p>
      <w:pPr>
        <w:pStyle w:val="CodeBlock"/>
        <w:keepLines/>
        <w:shd w:fill="0D1117"/>
        <w:pBdr>
          <w:left w:val="single" w:sz="8" w:space="6" w:color="2AA198"/>
        </w:pBdr>
      </w:pPr>
      <w:r>
        <w:rPr>
          <w:rFonts w:ascii="Courier New" w:hAnsi="Courier New"/>
          <w:color w:val="E6EDF3"/>
          <w:sz w:val="16"/>
        </w:rPr>
        <w:t>push to main → tests → build → GHCR push → SSH deploy → smoke test</w:t>
      </w:r>
      <w:r>
        <w:br/>
      </w:r>
      <w:r>
        <w:rPr>
          <w:rFonts w:ascii="Courier New" w:hAnsi="Courier New"/>
          <w:color w:val="E6EDF3"/>
          <w:sz w:val="16"/>
        </w:rPr>
        <w:t>failure anywhere ─────────────────────────────────────→ release fails</w:t>
      </w:r>
    </w:p>
    <w:p>
      <w:pPr>
        <w:pStyle w:val="Heading2"/>
        <w:pageBreakBefore w:val="0"/>
      </w:pPr>
      <w:r>
        <w:t>Required deployment configuration</w:t>
      </w:r>
    </w:p>
    <w:tbl>
      <w:tblPr>
        <w:tblW w:type="dxa" w:w="9360"/>
        <w:jc w:val="left"/>
        <w:tblLayout w:type="fixed"/>
        <w:tblLook w:firstColumn="1" w:firstRow="1" w:lastColumn="0" w:lastRow="0" w:noHBand="0" w:noVBand="1" w:val="04A0"/>
        <w:tblInd w:type="dxa" w:w="120"/>
      </w:tblPr>
      <w:tblGrid>
        <w:gridCol w:w="2418"/>
        <w:gridCol w:w="1638"/>
        <w:gridCol w:w="5304"/>
      </w:tblGrid>
      <w:tr>
        <w:trPr>
          <w:cantSplit w:val="true"/>
          <w:tblHeader w:val="true"/>
        </w:trPr>
        <w:tc>
          <w:tcPr>
            <w:tcW w:type="dxa" w:w="2418"/>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Name</w:t>
            </w:r>
          </w:p>
        </w:tc>
        <w:tc>
          <w:tcPr>
            <w:tcW w:type="dxa" w:w="1638"/>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Type</w:t>
            </w:r>
          </w:p>
        </w:tc>
        <w:tc>
          <w:tcPr>
            <w:tcW w:type="dxa" w:w="5304"/>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Purpose</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DEPLOY_HOST</w:t>
            </w:r>
          </w:p>
        </w:tc>
        <w:tc>
          <w:tcPr>
            <w:tcW w:type="dxa" w:w="163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Secret</w:t>
            </w:r>
          </w:p>
        </w:tc>
        <w:tc>
          <w:tcPr>
            <w:tcW w:type="dxa" w:w="530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Docker Compose host DNS name or IP</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DEPLOY_USER</w:t>
            </w:r>
          </w:p>
        </w:tc>
        <w:tc>
          <w:tcPr>
            <w:tcW w:type="dxa" w:w="163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Secret</w:t>
            </w:r>
          </w:p>
        </w:tc>
        <w:tc>
          <w:tcPr>
            <w:tcW w:type="dxa" w:w="530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Least-privilege SSH account</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DEPLOY_SSH_KEY</w:t>
            </w:r>
          </w:p>
        </w:tc>
        <w:tc>
          <w:tcPr>
            <w:tcW w:type="dxa" w:w="163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Secret</w:t>
            </w:r>
          </w:p>
        </w:tc>
        <w:tc>
          <w:tcPr>
            <w:tcW w:type="dxa" w:w="530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Private deployment key</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DEPLOY_PATH</w:t>
            </w:r>
          </w:p>
        </w:tc>
        <w:tc>
          <w:tcPr>
            <w:tcW w:type="dxa" w:w="163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Variable</w:t>
            </w:r>
          </w:p>
        </w:tc>
        <w:tc>
          <w:tcPr>
            <w:tcW w:type="dxa" w:w="530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Host checkout path; defaults to /opt/cats-dogs-mlops</w:t>
            </w:r>
          </w:p>
        </w:tc>
      </w:tr>
    </w:tbl>
    <w:p>
      <w:pPr>
        <w:spacing w:after="40"/>
      </w:pPr>
    </w:p>
    <w:p>
      <w:pPr>
        <w:pStyle w:val="Heading2"/>
        <w:pageBreakBefore w:val="0"/>
      </w:pPr>
      <w:r>
        <w:t>Smoke test</w:t>
      </w:r>
    </w:p>
    <w:p>
      <w:r>
        <w:t>The smoke script retries health during startup, submits one multipart image, and requires HTTP 200 with a label and probability map. Any failure exits non-zero and fails deployment.</w:t>
      </w:r>
    </w:p>
    <w:p>
      <w:pPr>
        <w:pStyle w:val="Heading2"/>
        <w:pageBreakBefore w:val="0"/>
      </w:pPr>
      <w:r>
        <w:t>Rollback and deployment safeguards</w:t>
      </w:r>
    </w:p>
    <w:p>
      <w:pPr>
        <w:numPr>
          <w:ilvl w:val="0"/>
          <w:numId w:val="10"/>
        </w:numPr>
      </w:pPr>
      <w:r>
        <w:rPr>
          <w:rFonts w:ascii="Calibri" w:hAnsi="Calibri"/>
          <w:color w:val="263238"/>
          <w:sz w:val="22"/>
        </w:rPr>
        <w:t>Every release keeps an immutable commit-SHA image tag, so the host can redeploy a known-good version.</w:t>
      </w:r>
    </w:p>
    <w:p>
      <w:pPr>
        <w:numPr>
          <w:ilvl w:val="0"/>
          <w:numId w:val="10"/>
        </w:numPr>
      </w:pPr>
      <w:r>
        <w:rPr>
          <w:rFonts w:ascii="Calibri" w:hAnsi="Calibri"/>
          <w:color w:val="263238"/>
          <w:sz w:val="22"/>
        </w:rPr>
        <w:t>The production environment can require reviewer approval before SSH deployment begins.</w:t>
      </w:r>
    </w:p>
    <w:p>
      <w:pPr>
        <w:numPr>
          <w:ilvl w:val="0"/>
          <w:numId w:val="10"/>
        </w:numPr>
      </w:pPr>
      <w:r>
        <w:rPr>
          <w:rFonts w:ascii="Calibri" w:hAnsi="Calibri"/>
          <w:color w:val="263238"/>
          <w:sz w:val="22"/>
        </w:rPr>
        <w:t>Health and prediction checks gate success; a failed smoke test leaves a clear failed release record.</w:t>
      </w:r>
    </w:p>
    <w:p>
      <w:pPr>
        <w:pStyle w:val="Heading1"/>
        <w:pageBreakBefore w:val="0"/>
      </w:pPr>
      <w:r>
        <w:t>7. M5 — Monitoring, Logging, and Performance</w:t>
      </w:r>
    </w:p>
    <w:p>
      <w:pPr>
        <w:pStyle w:val="Heading2"/>
        <w:pageBreakBefore w:val="0"/>
      </w:pPr>
      <w:r>
        <w:t>Request/response logging</w:t>
      </w:r>
    </w:p>
    <w:p>
      <w:r>
        <w:t>Middleware emits request ID, HTTP method, route, status, and latency. Prediction logs contain only label, confidence, media type, and byte count. Filenames, image contents, and request bodies are excluded to avoid leaking user data.</w:t>
      </w:r>
    </w:p>
    <w:p>
      <w:pPr>
        <w:pStyle w:val="CodeBlock"/>
        <w:keepLines/>
        <w:shd w:fill="0D1117"/>
        <w:pBdr>
          <w:left w:val="single" w:sz="8" w:space="6" w:color="2AA198"/>
        </w:pBdr>
      </w:pPr>
      <w:r>
        <w:rPr>
          <w:rFonts w:ascii="Courier New" w:hAnsi="Courier New"/>
          <w:color w:val="E6EDF3"/>
          <w:sz w:val="16"/>
        </w:rPr>
        <w:t>INFO request id=... method=POST path=/predict status=200 latency_ms=48.21</w:t>
      </w:r>
      <w:r>
        <w:br/>
      </w:r>
      <w:r>
        <w:rPr>
          <w:rFonts w:ascii="Courier New" w:hAnsi="Courier New"/>
          <w:color w:val="E6EDF3"/>
          <w:sz w:val="16"/>
        </w:rPr>
        <w:t>INFO prediction label=dog confidence=0.5267 content_type=image/jpeg bytes=21989</w:t>
      </w:r>
    </w:p>
    <w:p>
      <w:pPr>
        <w:pStyle w:val="Heading2"/>
        <w:pageBreakBefore w:val="0"/>
      </w:pPr>
      <w:r>
        <w:t>Prometheus metrics</w:t>
      </w:r>
    </w:p>
    <w:tbl>
      <w:tblPr>
        <w:tblW w:type="dxa" w:w="9360"/>
        <w:jc w:val="left"/>
        <w:tblLayout w:type="fixed"/>
        <w:tblLook w:firstColumn="1" w:firstRow="1" w:lastColumn="0" w:lastRow="0" w:noHBand="0" w:noVBand="1" w:val="04A0"/>
        <w:tblInd w:type="dxa" w:w="120"/>
      </w:tblPr>
      <w:tblGrid>
        <w:gridCol w:w="3744"/>
        <w:gridCol w:w="2418"/>
        <w:gridCol w:w="3198"/>
      </w:tblGrid>
      <w:tr>
        <w:trPr>
          <w:cantSplit w:val="true"/>
          <w:tblHeader w:val="true"/>
        </w:trPr>
        <w:tc>
          <w:tcPr>
            <w:tcW w:type="dxa" w:w="3744"/>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Metric</w:t>
            </w:r>
          </w:p>
        </w:tc>
        <w:tc>
          <w:tcPr>
            <w:tcW w:type="dxa" w:w="2418"/>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Labels</w:t>
            </w:r>
          </w:p>
        </w:tc>
        <w:tc>
          <w:tcPr>
            <w:tcW w:type="dxa" w:w="3198"/>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Use</w:t>
            </w:r>
          </w:p>
        </w:tc>
      </w:tr>
      <w:tr>
        <w:trPr>
          <w:cantSplit w:val="true"/>
        </w:trPr>
        <w:tc>
          <w:tcPr>
            <w:tcW w:type="dxa" w:w="374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inference_requests_total</w:t>
            </w:r>
          </w:p>
        </w:tc>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endpoint, status</w:t>
            </w:r>
          </w:p>
        </w:tc>
        <w:tc>
          <w:tcPr>
            <w:tcW w:type="dxa" w:w="319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Traffic and error-rate monitoring</w:t>
            </w:r>
          </w:p>
        </w:tc>
      </w:tr>
      <w:tr>
        <w:trPr>
          <w:cantSplit w:val="true"/>
        </w:trPr>
        <w:tc>
          <w:tcPr>
            <w:tcW w:type="dxa" w:w="374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inference_latency_seconds</w:t>
            </w:r>
          </w:p>
        </w:tc>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endpoint</w:t>
            </w:r>
          </w:p>
        </w:tc>
        <w:tc>
          <w:tcPr>
            <w:tcW w:type="dxa" w:w="319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Latency distribution and SLO tracking</w:t>
            </w:r>
          </w:p>
        </w:tc>
      </w:tr>
      <w:tr>
        <w:trPr>
          <w:cantSplit w:val="true"/>
        </w:trPr>
        <w:tc>
          <w:tcPr>
            <w:tcW w:type="dxa" w:w="374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process_* / python_*</w:t>
            </w:r>
          </w:p>
        </w:tc>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standard</w:t>
            </w:r>
          </w:p>
        </w:tc>
        <w:tc>
          <w:tcPr>
            <w:tcW w:type="dxa" w:w="319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Runtime resource and garbage-collection signals</w:t>
            </w:r>
          </w:p>
        </w:tc>
      </w:tr>
    </w:tbl>
    <w:p>
      <w:pPr>
        <w:spacing w:after="40"/>
      </w:pPr>
    </w:p>
    <w:p>
      <w:pPr>
        <w:pStyle w:val="Heading2"/>
        <w:pageBreakBefore w:val="0"/>
      </w:pPr>
      <w:r>
        <w:t>Performance feedback loop</w:t>
      </w:r>
    </w:p>
    <w:p>
      <w:r>
        <w:t>The labeled-request CSV can be appended with production predictions and delayed true labels. A scheduled job can compute rolling accuracy/F1, compare them with the baseline, and trigger investigation or retraining when quality falls below an agreed threshold. Confidence histograms and input feature statistics can provide early drift signals even before labels arrive.</w:t>
      </w:r>
    </w:p>
    <w:p>
      <w:pPr>
        <w:pStyle w:val="Heading2"/>
        <w:pageBreakBefore w:val="0"/>
      </w:pPr>
      <w:r>
        <w:t>Operational recommendations</w:t>
      </w:r>
    </w:p>
    <w:p>
      <w:pPr>
        <w:numPr>
          <w:ilvl w:val="0"/>
          <w:numId w:val="10"/>
        </w:numPr>
      </w:pPr>
      <w:r>
        <w:rPr>
          <w:rFonts w:ascii="Calibri" w:hAnsi="Calibri"/>
          <w:color w:val="263238"/>
          <w:sz w:val="22"/>
        </w:rPr>
        <w:t>Alert when the 5xx rate exceeds 1% for 5 minutes or p95 latency exceeds the SLO.</w:t>
      </w:r>
    </w:p>
    <w:p>
      <w:pPr>
        <w:numPr>
          <w:ilvl w:val="0"/>
          <w:numId w:val="10"/>
        </w:numPr>
      </w:pPr>
      <w:r>
        <w:rPr>
          <w:rFonts w:ascii="Calibri" w:hAnsi="Calibri"/>
          <w:color w:val="263238"/>
          <w:sz w:val="22"/>
        </w:rPr>
        <w:t>Retain only non-sensitive structured logs and apply a bounded retention policy.</w:t>
      </w:r>
    </w:p>
    <w:p>
      <w:pPr>
        <w:numPr>
          <w:ilvl w:val="0"/>
          <w:numId w:val="10"/>
        </w:numPr>
      </w:pPr>
      <w:r>
        <w:rPr>
          <w:rFonts w:ascii="Calibri" w:hAnsi="Calibri"/>
          <w:color w:val="263238"/>
          <w:sz w:val="22"/>
        </w:rPr>
        <w:t>Evaluate quality by source/channel to expose sampling bias.</w:t>
      </w:r>
    </w:p>
    <w:p>
      <w:pPr>
        <w:numPr>
          <w:ilvl w:val="0"/>
          <w:numId w:val="10"/>
        </w:numPr>
      </w:pPr>
      <w:r>
        <w:rPr>
          <w:rFonts w:ascii="Calibri" w:hAnsi="Calibri"/>
          <w:color w:val="263238"/>
          <w:sz w:val="22"/>
        </w:rPr>
        <w:t>Promote a new model only after offline metrics and shadow-traffic checks pass.</w:t>
      </w:r>
    </w:p>
    <w:p>
      <w:pPr>
        <w:pStyle w:val="Heading1"/>
        <w:pageBreakBefore/>
      </w:pPr>
      <w:r>
        <w:t>8. Verification Evidence</w:t>
      </w:r>
    </w:p>
    <w:tbl>
      <w:tblPr>
        <w:tblW w:type="dxa" w:w="9360"/>
        <w:jc w:val="left"/>
        <w:tblLayout w:type="fixed"/>
        <w:tblLook w:firstColumn="1" w:firstRow="1" w:lastColumn="0" w:lastRow="0" w:noHBand="0" w:noVBand="1" w:val="04A0"/>
        <w:tblInd w:type="dxa" w:w="120"/>
      </w:tblPr>
      <w:tblGrid>
        <w:gridCol w:w="2418"/>
        <w:gridCol w:w="5226"/>
        <w:gridCol w:w="1716"/>
      </w:tblGrid>
      <w:tr>
        <w:trPr>
          <w:cantSplit w:val="true"/>
          <w:tblHeader w:val="true"/>
        </w:trPr>
        <w:tc>
          <w:tcPr>
            <w:tcW w:type="dxa" w:w="2418"/>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Check</w:t>
            </w:r>
          </w:p>
        </w:tc>
        <w:tc>
          <w:tcPr>
            <w:tcW w:type="dxa" w:w="5226"/>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Observed result</w:t>
            </w:r>
          </w:p>
        </w:tc>
        <w:tc>
          <w:tcPr>
            <w:tcW w:type="dxa" w:w="1716"/>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Status</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DVC reproduce</w:t>
            </w:r>
          </w:p>
        </w:tc>
        <w:tc>
          <w:tcPr>
            <w:tcW w:type="dxa" w:w="522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600 images, two stages, lock file updated</w:t>
            </w:r>
          </w:p>
        </w:tc>
        <w:tc>
          <w:tcPr>
            <w:tcW w:type="dxa" w:w="171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PASS</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Model artifacts</w:t>
            </w:r>
          </w:p>
        </w:tc>
        <w:tc>
          <w:tcPr>
            <w:tcW w:type="dxa" w:w="522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joblib 19 KB + ONNX 3.5 MB; hashes verified</w:t>
            </w:r>
          </w:p>
        </w:tc>
        <w:tc>
          <w:tcPr>
            <w:tcW w:type="dxa" w:w="171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PASS</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MLflow</w:t>
            </w:r>
          </w:p>
        </w:tc>
        <w:tc>
          <w:tcPr>
            <w:tcW w:type="dxa" w:w="522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Runs, parameters, metrics, and artifacts written</w:t>
            </w:r>
          </w:p>
        </w:tc>
        <w:tc>
          <w:tcPr>
            <w:tcW w:type="dxa" w:w="171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PASS</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pytest</w:t>
            </w:r>
          </w:p>
        </w:tc>
        <w:tc>
          <w:tcPr>
            <w:tcW w:type="dxa" w:w="522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6 passed, 0 warnings</w:t>
            </w:r>
          </w:p>
        </w:tc>
        <w:tc>
          <w:tcPr>
            <w:tcW w:type="dxa" w:w="171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PASS</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Live API</w:t>
            </w:r>
          </w:p>
        </w:tc>
        <w:tc>
          <w:tcPr>
            <w:tcW w:type="dxa" w:w="522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Health + prediction HTTP 200</w:t>
            </w:r>
          </w:p>
        </w:tc>
        <w:tc>
          <w:tcPr>
            <w:tcW w:type="dxa" w:w="171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PASS</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Monitoring</w:t>
            </w:r>
          </w:p>
        </w:tc>
        <w:tc>
          <w:tcPr>
            <w:tcW w:type="dxa" w:w="522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Request counters and latency exported</w:t>
            </w:r>
          </w:p>
        </w:tc>
        <w:tc>
          <w:tcPr>
            <w:tcW w:type="dxa" w:w="171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PASS</w:t>
            </w:r>
          </w:p>
        </w:tc>
      </w:tr>
      <w:tr>
        <w:trPr>
          <w:cantSplit w:val="true"/>
        </w:trPr>
        <w:tc>
          <w:tcPr>
            <w:tcW w:type="dxa" w:w="2418"/>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Compose manifest</w:t>
            </w:r>
          </w:p>
        </w:tc>
        <w:tc>
          <w:tcPr>
            <w:tcW w:type="dxa" w:w="522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Docker Compose configuration included</w:t>
            </w:r>
          </w:p>
        </w:tc>
        <w:tc>
          <w:tcPr>
            <w:tcW w:type="dxa" w:w="171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PASS</w:t>
            </w:r>
          </w:p>
        </w:tc>
      </w:tr>
      <w:tr>
        <w:trPr>
          <w:cantSplit w:val="true"/>
        </w:trPr>
        <w:tc>
          <w:tcPr>
            <w:tcW w:type="dxa" w:w="2418"/>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Model gain</w:t>
            </w:r>
          </w:p>
        </w:tc>
        <w:tc>
          <w:tcPr>
            <w:tcW w:type="dxa" w:w="522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+28.33 percentage points over baseline</w:t>
            </w:r>
          </w:p>
        </w:tc>
        <w:tc>
          <w:tcPr>
            <w:tcW w:type="dxa" w:w="171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PASS</w:t>
            </w:r>
          </w:p>
        </w:tc>
      </w:tr>
    </w:tbl>
    <w:p>
      <w:pPr>
        <w:spacing w:after="40"/>
      </w:pPr>
    </w:p>
    <w:p>
      <w:pPr>
        <w:pStyle w:val="Heading1"/>
        <w:pageBreakBefore w:val="0"/>
      </w:pPr>
      <w:r>
        <w:t>9. Reproduction and Demonstration</w:t>
      </w:r>
    </w:p>
    <w:p>
      <w:pPr>
        <w:pStyle w:val="Heading2"/>
        <w:pageBreakBefore w:val="0"/>
      </w:pPr>
      <w:r>
        <w:t>Reproduce training</w:t>
      </w:r>
    </w:p>
    <w:p>
      <w:pPr>
        <w:pStyle w:val="CodeBlock"/>
        <w:keepLines/>
        <w:shd w:fill="0D1117"/>
        <w:pBdr>
          <w:left w:val="single" w:sz="8" w:space="6" w:color="2AA198"/>
        </w:pBdr>
      </w:pPr>
      <w:r>
        <w:rPr>
          <w:rFonts w:ascii="Courier New" w:hAnsi="Courier New"/>
          <w:color w:val="E6EDF3"/>
          <w:sz w:val="16"/>
        </w:rPr>
        <w:t>python -m venv .venv</w:t>
      </w:r>
      <w:r>
        <w:br/>
      </w:r>
      <w:r>
        <w:rPr>
          <w:rFonts w:ascii="Courier New" w:hAnsi="Courier New"/>
          <w:color w:val="E6EDF3"/>
          <w:sz w:val="16"/>
        </w:rPr>
        <w:t>source .venv/bin/activate</w:t>
      </w:r>
      <w:r>
        <w:br/>
      </w:r>
      <w:r>
        <w:rPr>
          <w:rFonts w:ascii="Courier New" w:hAnsi="Courier New"/>
          <w:color w:val="E6EDF3"/>
          <w:sz w:val="16"/>
        </w:rPr>
        <w:t>pip install -r requirements.txt -r requirements-dev.txt -r requirements-train.txt</w:t>
      </w:r>
      <w:r>
        <w:br/>
      </w:r>
      <w:r>
        <w:rPr>
          <w:rFonts w:ascii="Courier New" w:hAnsi="Courier New"/>
          <w:color w:val="E6EDF3"/>
          <w:sz w:val="16"/>
        </w:rPr>
        <w:t>pip install .</w:t>
      </w:r>
      <w:r>
        <w:br/>
      </w:r>
      <w:r>
        <w:rPr>
          <w:rFonts w:ascii="Courier New" w:hAnsi="Courier New"/>
          <w:color w:val="E6EDF3"/>
          <w:sz w:val="16"/>
        </w:rPr>
        <w:t>python scripts/download_data.py --output data/raw</w:t>
      </w:r>
      <w:r>
        <w:br/>
      </w:r>
      <w:r>
        <w:rPr>
          <w:rFonts w:ascii="Courier New" w:hAnsi="Courier New"/>
          <w:color w:val="E6EDF3"/>
          <w:sz w:val="16"/>
        </w:rPr>
        <w:t>dvc repro</w:t>
      </w:r>
      <w:r>
        <w:br/>
      </w:r>
      <w:r>
        <w:rPr>
          <w:rFonts w:ascii="Courier New" w:hAnsi="Courier New"/>
          <w:color w:val="E6EDF3"/>
          <w:sz w:val="16"/>
        </w:rPr>
        <w:t>pytest -q</w:t>
      </w:r>
    </w:p>
    <w:p>
      <w:pPr>
        <w:pStyle w:val="Heading2"/>
        <w:pageBreakBefore w:val="0"/>
      </w:pPr>
      <w:r>
        <w:t>Run and inspect</w:t>
      </w:r>
    </w:p>
    <w:p>
      <w:pPr>
        <w:pStyle w:val="CodeBlock"/>
        <w:keepLines/>
        <w:shd w:fill="0D1117"/>
        <w:pBdr>
          <w:left w:val="single" w:sz="8" w:space="6" w:color="2AA198"/>
        </w:pBdr>
      </w:pPr>
      <w:r>
        <w:rPr>
          <w:rFonts w:ascii="Courier New" w:hAnsi="Courier New"/>
          <w:color w:val="E6EDF3"/>
          <w:sz w:val="16"/>
        </w:rPr>
        <w:t>uvicorn mlops_cats_dogs.api:app --host 0.0.0.0 --port 8000</w:t>
      </w:r>
      <w:r>
        <w:br/>
      </w:r>
      <w:r>
        <w:rPr>
          <w:rFonts w:ascii="Courier New" w:hAnsi="Courier New"/>
          <w:color w:val="E6EDF3"/>
          <w:sz w:val="16"/>
        </w:rPr>
        <w:t>curl http://localhost:8000/health</w:t>
      </w:r>
      <w:r>
        <w:br/>
      </w:r>
      <w:r>
        <w:rPr>
          <w:rFonts w:ascii="Courier New" w:hAnsi="Courier New"/>
          <w:color w:val="E6EDF3"/>
          <w:sz w:val="16"/>
        </w:rPr>
        <w:t>curl -X POST -F 'file=@sample.jpg' http://localhost:8000/predict</w:t>
      </w:r>
      <w:r>
        <w:br/>
      </w:r>
      <w:r>
        <w:rPr>
          <w:rFonts w:ascii="Courier New" w:hAnsi="Courier New"/>
          <w:color w:val="E6EDF3"/>
          <w:sz w:val="16"/>
        </w:rPr>
        <w:t>curl http://localhost:8000/metrics</w:t>
      </w:r>
      <w:r>
        <w:br/>
      </w:r>
      <w:r>
        <w:rPr>
          <w:rFonts w:ascii="Courier New" w:hAnsi="Courier New"/>
          <w:color w:val="E6EDF3"/>
          <w:sz w:val="16"/>
        </w:rPr>
        <w:t>mlflow ui --backend-store-uri ./mlruns</w:t>
      </w:r>
    </w:p>
    <w:p>
      <w:pPr>
        <w:pStyle w:val="Heading2"/>
        <w:pageBreakBefore w:val="0"/>
      </w:pPr>
      <w:r>
        <w:t>Submission contents</w:t>
      </w:r>
    </w:p>
    <w:tbl>
      <w:tblPr>
        <w:tblW w:type="dxa" w:w="9360"/>
        <w:jc w:val="left"/>
        <w:tblLayout w:type="fixed"/>
        <w:tblLook w:firstColumn="1" w:firstRow="1" w:lastColumn="0" w:lastRow="0" w:noHBand="0" w:noVBand="1" w:val="04A0"/>
        <w:tblInd w:type="dxa" w:w="120"/>
      </w:tblPr>
      <w:tblGrid>
        <w:gridCol w:w="7254"/>
        <w:gridCol w:w="2106"/>
      </w:tblGrid>
      <w:tr>
        <w:trPr>
          <w:cantSplit w:val="true"/>
          <w:tblHeader w:val="true"/>
        </w:trPr>
        <w:tc>
          <w:tcPr>
            <w:tcW w:type="dxa" w:w="7254"/>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keepNext/>
              <w:spacing w:before="0" w:after="40" w:line="252" w:lineRule="auto"/>
            </w:pPr>
            <w:r/>
            <w:r>
              <w:rPr>
                <w:rFonts w:ascii="Calibri" w:hAnsi="Calibri"/>
                <w:b/>
                <w:color w:val="152238"/>
                <w:sz w:val="18"/>
              </w:rPr>
              <w:t>Artifact</w:t>
            </w:r>
          </w:p>
        </w:tc>
        <w:tc>
          <w:tcPr>
            <w:tcW w:type="dxa" w:w="2106"/>
            <w:vAlign w:val="center"/>
            <w:shd w:fill="F2F4F7"/>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color w:val="152238"/>
                <w:sz w:val="18"/>
              </w:rPr>
              <w:t>Included</w:t>
            </w:r>
          </w:p>
        </w:tc>
      </w:tr>
      <w:tr>
        <w:trPr>
          <w:cantSplit w:val="true"/>
        </w:trPr>
        <w:tc>
          <w:tcPr>
            <w:tcW w:type="dxa" w:w="725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Source + tests + scripts</w:t>
            </w:r>
          </w:p>
        </w:tc>
        <w:tc>
          <w:tcPr>
            <w:tcW w:type="dxa" w:w="210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Yes</w:t>
            </w:r>
          </w:p>
        </w:tc>
      </w:tr>
      <w:tr>
        <w:trPr>
          <w:cantSplit w:val="true"/>
        </w:trPr>
        <w:tc>
          <w:tcPr>
            <w:tcW w:type="dxa" w:w="725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DVC pipeline and lock</w:t>
            </w:r>
          </w:p>
        </w:tc>
        <w:tc>
          <w:tcPr>
            <w:tcW w:type="dxa" w:w="210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Yes</w:t>
            </w:r>
          </w:p>
        </w:tc>
      </w:tr>
      <w:tr>
        <w:trPr>
          <w:cantSplit w:val="true"/>
        </w:trPr>
        <w:tc>
          <w:tcPr>
            <w:tcW w:type="dxa" w:w="725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Trained model and evaluation artifacts</w:t>
            </w:r>
          </w:p>
        </w:tc>
        <w:tc>
          <w:tcPr>
            <w:tcW w:type="dxa" w:w="210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Yes</w:t>
            </w:r>
          </w:p>
        </w:tc>
      </w:tr>
      <w:tr>
        <w:trPr>
          <w:cantSplit w:val="true"/>
        </w:trPr>
        <w:tc>
          <w:tcPr>
            <w:tcW w:type="dxa" w:w="725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Dockerfile + Compose</w:t>
            </w:r>
          </w:p>
        </w:tc>
        <w:tc>
          <w:tcPr>
            <w:tcW w:type="dxa" w:w="210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Yes</w:t>
            </w:r>
          </w:p>
        </w:tc>
      </w:tr>
      <w:tr>
        <w:trPr>
          <w:cantSplit w:val="true"/>
        </w:trPr>
        <w:tc>
          <w:tcPr>
            <w:tcW w:type="dxa" w:w="725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CI/CD workflow</w:t>
            </w:r>
          </w:p>
        </w:tc>
        <w:tc>
          <w:tcPr>
            <w:tcW w:type="dxa" w:w="210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Yes</w:t>
            </w:r>
          </w:p>
        </w:tc>
      </w:tr>
      <w:tr>
        <w:trPr>
          <w:cantSplit w:val="true"/>
        </w:trPr>
        <w:tc>
          <w:tcPr>
            <w:tcW w:type="dxa" w:w="7254"/>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Editable Word report and PDF report</w:t>
            </w:r>
          </w:p>
        </w:tc>
        <w:tc>
          <w:tcPr>
            <w:tcW w:type="dxa" w:w="2106"/>
            <w:vAlign w:val="center"/>
            <w:shd w:fill="F8FAFC"/>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Yes</w:t>
            </w:r>
          </w:p>
        </w:tc>
      </w:tr>
      <w:tr>
        <w:trPr>
          <w:cantSplit w:val="true"/>
        </w:trPr>
        <w:tc>
          <w:tcPr>
            <w:tcW w:type="dxa" w:w="7254"/>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Sub-five-minute demonstration video</w:t>
            </w:r>
          </w:p>
        </w:tc>
        <w:tc>
          <w:tcPr>
            <w:tcW w:type="dxa" w:w="2106"/>
            <w:vAlign w:val="center"/>
            <w:shd w:fill="FFFFFF"/>
            <w:tcBorders>
              <w:top w:val="single" w:sz="5" w:color="CBD5E1"/>
              <w:start w:val="single" w:sz="5" w:color="CBD5E1"/>
              <w:bottom w:val="single" w:sz="5" w:color="CBD5E1"/>
              <w:end w:val="single" w:sz="5" w:color="CBD5E1"/>
              <w:insideH w:val="single" w:sz="5" w:color="CBD5E1"/>
              <w:insideV w:val="single" w:sz="5" w:color="CBD5E1"/>
            </w:tcBorders>
            <w:tcMar>
              <w:top w:w="80" w:type="dxa"/>
              <w:bottom w:w="80" w:type="dxa"/>
              <w:start w:w="120" w:type="dxa"/>
              <w:end w:w="120" w:type="dxa"/>
            </w:tcMar>
          </w:tcPr>
          <w:p>
            <w:pPr>
              <w:spacing w:before="0" w:after="40" w:line="252" w:lineRule="auto"/>
            </w:pPr>
            <w:r/>
            <w:r>
              <w:rPr>
                <w:rFonts w:ascii="Calibri" w:hAnsi="Calibri"/>
                <w:b w:val="0"/>
                <w:color w:val="263238"/>
                <w:sz w:val="18"/>
              </w:rPr>
              <w:t>Yes</w:t>
            </w:r>
          </w:p>
        </w:tc>
      </w:tr>
    </w:tbl>
    <w:p>
      <w:pPr>
        <w:spacing w:after="40"/>
      </w:pPr>
    </w:p>
    <w:p>
      <w:pPr>
        <w:pStyle w:val="Heading2"/>
        <w:pageBreakBefore w:val="0"/>
      </w:pPr>
      <w:r>
        <w:t>Limitations and next steps</w:t>
      </w:r>
    </w:p>
    <w:p>
      <w:r>
        <w:t>The transfer-learning champion is strong on the fixed 60-image test split, but the 600-image teaching sample is not sufficient evidence for production. Promotion should require a larger external test set, source and breed slices, calibration monitoring, drift analysis, and fairness checks. The CI/CD configuration is complete but requires repository secrets, a GHCR namespace, and an external Compose host to execute the production deployment path.</w:t>
      </w:r>
    </w:p>
    <w:p>
      <w:pPr>
        <w:pStyle w:val="Heading1"/>
        <w:pageBreakBefore w:val="0"/>
      </w:pPr>
      <w:r>
        <w:t>References</w:t>
      </w:r>
    </w:p>
    <w:p>
      <w:pPr>
        <w:numPr>
          <w:ilvl w:val="0"/>
          <w:numId w:val="10"/>
        </w:numPr>
      </w:pPr>
      <w:r>
        <w:rPr>
          <w:rFonts w:ascii="Calibri" w:hAnsi="Calibri"/>
          <w:color w:val="263238"/>
          <w:sz w:val="22"/>
        </w:rPr>
      </w:r>
      <w:hyperlink r:id="rId16">
        <w:r>
          <w:rPr>
            <w:color w:val="176B87"/>
            <w:u w:val="single"/>
          </w:rPr>
          <w:t>Kaggle — Dogs vs Cats competition dataset</w:t>
        </w:r>
      </w:hyperlink>
    </w:p>
    <w:p>
      <w:pPr>
        <w:numPr>
          <w:ilvl w:val="0"/>
          <w:numId w:val="10"/>
        </w:numPr>
      </w:pPr>
      <w:r>
        <w:rPr>
          <w:rFonts w:ascii="Calibri" w:hAnsi="Calibri"/>
          <w:color w:val="263238"/>
          <w:sz w:val="22"/>
        </w:rPr>
      </w:r>
      <w:hyperlink r:id="rId17">
        <w:r>
          <w:rPr>
            <w:color w:val="176B87"/>
            <w:u w:val="single"/>
          </w:rPr>
          <w:t>TensorFlow Datasets — cats_vs_dogs catalog</w:t>
        </w:r>
      </w:hyperlink>
    </w:p>
    <w:p>
      <w:pPr>
        <w:numPr>
          <w:ilvl w:val="0"/>
          <w:numId w:val="10"/>
        </w:numPr>
      </w:pPr>
      <w:r>
        <w:rPr>
          <w:rFonts w:ascii="Calibri" w:hAnsi="Calibri"/>
          <w:color w:val="263238"/>
          <w:sz w:val="22"/>
        </w:rPr>
      </w:r>
      <w:hyperlink r:id="rId18">
        <w:r>
          <w:rPr>
            <w:color w:val="176B87"/>
            <w:u w:val="single"/>
          </w:rPr>
          <w:t>DVC documentation</w:t>
        </w:r>
      </w:hyperlink>
    </w:p>
    <w:p>
      <w:pPr>
        <w:numPr>
          <w:ilvl w:val="0"/>
          <w:numId w:val="10"/>
        </w:numPr>
      </w:pPr>
      <w:r>
        <w:rPr>
          <w:rFonts w:ascii="Calibri" w:hAnsi="Calibri"/>
          <w:color w:val="263238"/>
          <w:sz w:val="22"/>
        </w:rPr>
      </w:r>
      <w:hyperlink r:id="rId19">
        <w:r>
          <w:rPr>
            <w:color w:val="176B87"/>
            <w:u w:val="single"/>
          </w:rPr>
          <w:t>MLflow tracking documentation</w:t>
        </w:r>
      </w:hyperlink>
    </w:p>
    <w:p>
      <w:pPr>
        <w:numPr>
          <w:ilvl w:val="0"/>
          <w:numId w:val="10"/>
        </w:numPr>
      </w:pPr>
      <w:r>
        <w:rPr>
          <w:rFonts w:ascii="Calibri" w:hAnsi="Calibri"/>
          <w:color w:val="263238"/>
          <w:sz w:val="22"/>
        </w:rPr>
      </w:r>
      <w:hyperlink r:id="rId20">
        <w:r>
          <w:rPr>
            <w:color w:val="176B87"/>
            <w:u w:val="single"/>
          </w:rPr>
          <w:t>FastAPI documentation</w:t>
        </w:r>
      </w:hyperlink>
    </w:p>
    <w:p>
      <w:pPr>
        <w:numPr>
          <w:ilvl w:val="0"/>
          <w:numId w:val="10"/>
        </w:numPr>
      </w:pPr>
      <w:r>
        <w:rPr>
          <w:rFonts w:ascii="Calibri" w:hAnsi="Calibri"/>
          <w:color w:val="263238"/>
          <w:sz w:val="22"/>
        </w:rPr>
      </w:r>
      <w:hyperlink r:id="rId21">
        <w:r>
          <w:rPr>
            <w:color w:val="176B87"/>
            <w:u w:val="single"/>
          </w:rPr>
          <w:t>GitHub Container Registry documentation</w:t>
        </w:r>
      </w:hyperlink>
    </w:p>
    <w:p>
      <w:pPr>
        <w:numPr>
          <w:ilvl w:val="0"/>
          <w:numId w:val="10"/>
        </w:numPr>
      </w:pPr>
      <w:r>
        <w:rPr>
          <w:rFonts w:ascii="Calibri" w:hAnsi="Calibri"/>
          <w:color w:val="263238"/>
          <w:sz w:val="22"/>
        </w:rPr>
      </w:r>
      <w:hyperlink r:id="rId22">
        <w:r>
          <w:rPr>
            <w:color w:val="176B87"/>
            <w:u w:val="single"/>
          </w:rPr>
          <w:t>Prometheus Python client documentation</w:t>
        </w:r>
      </w:hyperlink>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pPr>
    <w:r/>
    <w:r>
      <w:rPr>
        <w:rFonts w:ascii="Calibri" w:hAnsi="Calibri"/>
        <w:color w:val="5B6573"/>
        <w:sz w:val="17"/>
      </w:rPr>
      <w:t>End-to-end open-source MLOps pipeline</w:t>
    </w:r>
    <w:r>
      <w:tab/>
    </w: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
      <w:rPr>
        <w:rFonts w:ascii="Calibri" w:hAnsi="Calibri"/>
        <w:b/>
        <w:color w:val="152238"/>
        <w:sz w:val="17"/>
      </w:rPr>
      <w:t>MLOps Assignment 2 | Cats vs Dogs</w:t>
    </w:r>
    <w:r>
      <w:tab/>
    </w:r>
    <w:r>
      <w:rPr>
        <w:rFonts w:ascii="Calibri" w:hAnsi="Calibri"/>
        <w:color w:val="5B6573"/>
        <w:sz w:val="17"/>
      </w:rPr>
      <w:t>End-to-End Pipeline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sz w:val="22"/>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sz w:val="22"/>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Rule="exact" w:line="200"/>
      <w:ind w:left="144" w:right="72"/>
    </w:pPr>
    <w:rPr>
      <w:rFonts w:ascii="Courier New" w:hAnsi="Courier New"/>
      <w:color w:val="E6EDF3"/>
      <w:sz w:val="16"/>
    </w:rPr>
  </w:style>
  <w:style w:type="paragraph" w:customStyle="1" w:styleId="FigureCaption">
    <w:name w:val="Figure Caption"/>
    <w:pPr>
      <w:keepLines/>
      <w:spacing w:before="80" w:after="160"/>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www.kaggle.com/competitions/dogs-vs-cats/data" TargetMode="External"/><Relationship Id="rId17" Type="http://schemas.openxmlformats.org/officeDocument/2006/relationships/hyperlink" Target="https://www.tensorflow.org/datasets/catalog/cats_vs_dogs" TargetMode="External"/><Relationship Id="rId18" Type="http://schemas.openxmlformats.org/officeDocument/2006/relationships/hyperlink" Target="https://dvc.org/doc" TargetMode="External"/><Relationship Id="rId19" Type="http://schemas.openxmlformats.org/officeDocument/2006/relationships/hyperlink" Target="https://mlflow.org/docs/latest/ml/tracking/" TargetMode="External"/><Relationship Id="rId20" Type="http://schemas.openxmlformats.org/officeDocument/2006/relationships/hyperlink" Target="https://fastapi.tiangolo.com/" TargetMode="External"/><Relationship Id="rId21" Type="http://schemas.openxmlformats.org/officeDocument/2006/relationships/hyperlink" Target="https://docs.github.com/packages/working-with-a-github-packages-registry/working-with-the-container-registry" TargetMode="External"/><Relationship Id="rId22" Type="http://schemas.openxmlformats.org/officeDocument/2006/relationships/hyperlink" Target="https://prometheus.github.io/client_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2 — Cats vs Dogs</dc:title>
  <dc:subject>End-to-end MLOps pipeline</dc:subject>
  <dc:creator>MLOps Assignment Submission</dc:creator>
  <cp:keywords>MLOps, DVC, MLflow, MobileNetV3, ONNX, FastAPI, Docker, CI/CD, Prometheus</cp:keywords>
  <dc:description>generated by python-docx</dc:description>
  <cp:lastModifiedBy/>
  <cp:revision>1</cp:revision>
  <dcterms:created xsi:type="dcterms:W3CDTF">2013-12-23T23:15:00Z</dcterms:created>
  <dcterms:modified xsi:type="dcterms:W3CDTF">2013-12-23T23:15:00Z</dcterms:modified>
  <cp:category/>
</cp:coreProperties>
</file>