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ЛИСТ ОЗНАКОМЛЕНИЯ</w:t>
      </w:r>
    </w:p>
    <w:p>
      <w:pPr>
        <w:jc w:val="center"/>
      </w:pPr>
      <w:r>
        <w:rPr>
          <w:i/>
          <w:sz w:val="19"/>
        </w:rPr>
        <w:t>Черновой starter-шаблон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Организация</w:t>
            </w:r>
          </w:p>
        </w:tc>
        <w:tc>
          <w:tcPr>
            <w:tcW w:type="dxa" w:w="6520"/>
            <w:vAlign w:val="center"/>
          </w:tcPr>
          <w:p>
            <w:r>
              <w:t>{{org.name}}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Сотрудник {{employee.name}}, должность {{employee.position}}, подтверждает ознакомление с перечнем локальных актов, утверждённым организацией.</w:t>
      </w:r>
    </w:p>
    <w:p>
      <w:r>
        <w:t>Перечень актов и порядок ознакомления должны быть заполнены работодателем перед публикацией шаблона.</w:t>
      </w:r>
    </w:p>
    <w:p/>
    <w:p>
      <w:r>
        <w:t>Сотрудник: __________________ / __________________</w:t>
      </w:r>
    </w:p>
    <w:p>
      <w:r>
        <w:t>Ответственный: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