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СЧЁТ № {{accounting.invoice_number}}</w:t>
      </w:r>
    </w:p>
    <w:p>
      <w:pPr>
        <w:jc w:val="center"/>
      </w:pPr>
      <w:r>
        <w:rPr>
          <w:i/>
          <w:sz w:val="19"/>
        </w:rPr>
        <w:t>Черновой starter-шаблон — не является первичным учётным документом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r>
              <w:t>{{accounting.invoice_date}}</w:t>
            </w:r>
          </w:p>
        </w:tc>
      </w:tr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6520"/>
            <w:vAlign w:val="center"/>
          </w:tcPr>
          <w:p>
            <w:r>
              <w:t>{{amount.total}} {{amount.currency}}</w:t>
            </w:r>
          </w:p>
        </w:tc>
      </w:tr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НДС</w:t>
            </w:r>
          </w:p>
        </w:tc>
        <w:tc>
          <w:tcPr>
            <w:tcW w:type="dxa" w:w="6520"/>
            <w:vAlign w:val="center"/>
          </w:tcPr>
          <w:p>
            <w:r>
              <w:t>{{amount.vat}}</w:t>
            </w:r>
          </w:p>
        </w:tc>
      </w:tr>
    </w:tbl>
    <w:p>
      <w:r>
        <w:t>Поставщик: {{org.name}}, ИНН {{org.inn}}, КПП {{org.kpp}}.</w:t>
      </w:r>
    </w:p>
    <w:p>
      <w:r>
        <w:t>Покупатель: {{counterparty.name}}.</w:t>
      </w:r>
    </w:p>
    <w:p>
      <w:r>
        <w:t>Назначение платежа и номенклатура должны быть заполнены из реестра или утверждённого шаблона.</w:t>
      </w:r>
    </w:p>
    <w:p/>
    <w:p>
      <w:r>
        <w:t>Ответственный: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