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СОГЛАСИЕ НА ОБРАБОТКУ ПЕРСОНАЛЬНЫХ ДАННЫХ</w:t>
      </w:r>
    </w:p>
    <w:p>
      <w:pPr>
        <w:jc w:val="center"/>
      </w:pPr>
      <w:r>
        <w:rPr>
          <w:i/>
          <w:sz w:val="19"/>
        </w:rPr>
        <w:t>Черновой starter-шаблон — требуется проверка ответственного за ПДн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</w:tbl>
    <w:p>
      <w:r>
        <w:t>Субъект персональных данных: {{employee.name}}.</w:t>
      </w:r>
    </w:p>
    <w:p>
      <w:r>
        <w:t>Оператор: {{org.name}}, ИНН {{org.inn}}, адрес {{org.legal_address}}.</w:t>
      </w:r>
    </w:p>
    <w:p>
      <w:r>
        <w:t>Перечень данных, цели, способы обработки, сроки хранения, порядок отзыва и трансграничная передача должны быть определены локальными актами оператора.</w:t>
      </w:r>
    </w:p>
    <w:p/>
    <w:p>
      <w:r>
        <w:t>Субъект персональных данных: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