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Chesswise: Chess Coaching Case Study</w:t>
      </w:r>
    </w:p>
    <w:p>
      <w:r>
        <w:t>A local chess-training application combining Stockfish analysis, a calibrated blunder-risk ranking experiment, PGN review, trap mode, and an interactive web board.</w:t>
      </w:r>
    </w:p>
    <w:p>
      <w:pPr>
        <w:pStyle w:val="Heading1"/>
      </w:pPr>
      <w:r>
        <w:t>Results from one source of truth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Validation result</w:t>
            </w:r>
          </w:p>
        </w:tc>
        <w:tc>
          <w:tcPr>
            <w:tcW w:type="dxa" w:w="2880"/>
          </w:tcPr>
          <w:p>
            <w:r>
              <w:t>How to interpret it</w:t>
            </w:r>
          </w:p>
        </w:tc>
      </w:tr>
      <w:tr>
        <w:tc>
          <w:tcPr>
            <w:tcW w:type="dxa" w:w="2880"/>
          </w:tcPr>
          <w:p>
            <w:r>
              <w:t>PR-AUC</w:t>
            </w:r>
          </w:p>
        </w:tc>
        <w:tc>
          <w:tcPr>
            <w:tcW w:type="dxa" w:w="2880"/>
          </w:tcPr>
          <w:p>
            <w:r>
              <w:t>0.225</w:t>
            </w:r>
          </w:p>
        </w:tc>
        <w:tc>
          <w:tcPr>
            <w:tcW w:type="dxa" w:w="2880"/>
          </w:tcPr>
          <w:p>
            <w:r>
              <w:t>Primary ranking metric for this imbalanced task</w:t>
            </w:r>
          </w:p>
        </w:tc>
      </w:tr>
      <w:tr>
        <w:tc>
          <w:tcPr>
            <w:tcW w:type="dxa" w:w="2880"/>
          </w:tcPr>
          <w:p>
            <w:r>
              <w:t>Top-10% lift</w:t>
            </w:r>
          </w:p>
        </w:tc>
        <w:tc>
          <w:tcPr>
            <w:tcW w:type="dxa" w:w="2880"/>
          </w:tcPr>
          <w:p>
            <w:r>
              <w:t>2.00x</w:t>
            </w:r>
          </w:p>
        </w:tc>
        <w:tc>
          <w:tcPr>
            <w:tcW w:type="dxa" w:w="2880"/>
          </w:tcPr>
          <w:p>
            <w:r>
              <w:t>Blunder rate among riskiest 10% divided by average rate</w:t>
            </w:r>
          </w:p>
        </w:tc>
      </w:tr>
      <w:tr>
        <w:tc>
          <w:tcPr>
            <w:tcW w:type="dxa" w:w="2880"/>
          </w:tcPr>
          <w:p>
            <w:r>
              <w:t>ROC-AUC</w:t>
            </w:r>
          </w:p>
        </w:tc>
        <w:tc>
          <w:tcPr>
            <w:tcW w:type="dxa" w:w="2880"/>
          </w:tcPr>
          <w:p>
            <w:r>
              <w:t>0.696 (0.684-0.709)</w:t>
            </w:r>
          </w:p>
        </w:tc>
        <w:tc>
          <w:tcPr>
            <w:tcW w:type="dxa" w:w="2880"/>
          </w:tcPr>
          <w:p>
            <w:r>
              <w:t>Grouped game-bootstrap 95% interval</w:t>
            </w:r>
          </w:p>
        </w:tc>
      </w:tr>
      <w:tr>
        <w:tc>
          <w:tcPr>
            <w:tcW w:type="dxa" w:w="2880"/>
          </w:tcPr>
          <w:p>
            <w:r>
              <w:t>Brier skill vs base rate</w:t>
            </w:r>
          </w:p>
        </w:tc>
        <w:tc>
          <w:tcPr>
            <w:tcW w:type="dxa" w:w="2880"/>
          </w:tcPr>
          <w:p>
            <w:r>
              <w:t>5.1%</w:t>
            </w:r>
          </w:p>
        </w:tc>
        <w:tc>
          <w:tcPr>
            <w:tcW w:type="dxa" w:w="2880"/>
          </w:tcPr>
          <w:p>
            <w:r>
              <w:t>Improvement over always predicting the training base rate</w:t>
            </w:r>
          </w:p>
        </w:tc>
      </w:tr>
      <w:tr>
        <w:tc>
          <w:tcPr>
            <w:tcW w:type="dxa" w:w="2880"/>
          </w:tcPr>
          <w:p>
            <w:r>
              <w:t>Brier score</w:t>
            </w:r>
          </w:p>
        </w:tc>
        <w:tc>
          <w:tcPr>
            <w:tcW w:type="dxa" w:w="2880"/>
          </w:tcPr>
          <w:p>
            <w:r>
              <w:t>0.107</w:t>
            </w:r>
          </w:p>
        </w:tc>
        <w:tc>
          <w:tcPr>
            <w:tcW w:type="dxa" w:w="2880"/>
          </w:tcPr>
          <w:p>
            <w:r>
              <w:t>Lower is better; compare with the base-rate predictor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87.0% vs 87.0%</w:t>
            </w:r>
          </w:p>
        </w:tc>
        <w:tc>
          <w:tcPr>
            <w:tcW w:type="dxa" w:w="2880"/>
          </w:tcPr>
          <w:p>
            <w:r>
              <w:t>Footnote only; majority class is stronger</w:t>
            </w:r>
          </w:p>
        </w:tc>
      </w:tr>
    </w:tbl>
    <w:p>
      <w:pPr>
        <w:pStyle w:val="Heading1"/>
      </w:pPr>
      <w:r>
        <w:t>What the model can and cannot claim</w:t>
      </w:r>
    </w:p>
    <w:p>
      <w:r>
        <w:t>The model is a position-ranking assistant, not an accurate standalone blunder detector. The data contains 1,038 games from four players, with 500 games each from two players. Labels use Stockfish depth 8 and a fixed 100-centipawn loss threshold, so they are noisy. The reported interval is a grouped bootstrap by game, not a player-held-out generalization result.</w:t>
      </w:r>
    </w:p>
    <w:p>
      <w:pPr>
        <w:pStyle w:val="Heading1"/>
      </w:pPr>
      <w:r>
        <w:t>Product and web experience</w:t>
      </w:r>
    </w:p>
    <w:p>
      <w:r>
        <w:t>The web board supports coach-only play, Stockfish, trap mode, optional Maia-2, saved games, PGN export, and move-by-move review. Review cards identify whether White or Black made each move, show the position before that move, and separate engine-confirmed losses from predicted risk.</w:t>
      </w:r>
    </w:p>
    <w:p>
      <w:pPr>
        <w:pStyle w:val="Heading1"/>
      </w:pPr>
      <w:r>
        <w:t>Verified status</w:t>
      </w:r>
    </w:p>
    <w:p>
      <w:pPr>
        <w:pStyle w:val="ListBullet"/>
      </w:pPr>
      <w:r>
        <w:t>11 backend tests pass.</w:t>
      </w:r>
    </w:p>
    <w:p>
      <w:pPr>
        <w:pStyle w:val="ListBullet"/>
      </w:pPr>
      <w:r>
        <w:t>Frontend production build passes.</w:t>
      </w:r>
    </w:p>
    <w:p>
      <w:pPr>
        <w:pStyle w:val="ListBullet"/>
      </w:pPr>
      <w:r>
        <w:t>GET /health, /predict, /move, and /trap-move return successfully.</w:t>
      </w:r>
    </w:p>
    <w:p>
      <w:pPr>
        <w:pStyle w:val="ListBullet"/>
      </w:pPr>
      <w:r>
        <w:t>Maia-2 weights and Docker Compose remain explicitly unverified environment work.</w:t>
      </w:r>
    </w:p>
    <w:p>
      <w:pPr>
        <w:pStyle w:val="Heading1"/>
      </w:pPr>
      <w:r>
        <w:t>Next experiments</w:t>
      </w:r>
    </w:p>
    <w:p>
      <w:r>
        <w:t>Collect more players across rating bands, use player-held-out evaluation, replace raw centipawn labels with win-probability loss, and validate ranking lift on a new player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