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Chesswise: Chess Coaching Case Study</w:t>
      </w:r>
    </w:p>
    <w:p>
      <w:r>
        <w:t>A local chess-training application combining Stockfish analysis, a calibrated blunder-risk ranking experiment, PGN review, trap mode, and an interactive web board.</w:t>
      </w:r>
    </w:p>
    <w:p>
      <w:pPr>
        <w:pStyle w:val="Heading1"/>
      </w:pPr>
      <w:r>
        <w:t>Results from one source of truth</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Validation result</w:t>
            </w:r>
          </w:p>
        </w:tc>
        <w:tc>
          <w:tcPr>
            <w:tcW w:type="dxa" w:w="2880"/>
          </w:tcPr>
          <w:p>
            <w:r>
              <w:t>How to interpret it</w:t>
            </w:r>
          </w:p>
        </w:tc>
      </w:tr>
      <w:tr>
        <w:tc>
          <w:tcPr>
            <w:tcW w:type="dxa" w:w="2880"/>
          </w:tcPr>
          <w:p>
            <w:r>
              <w:t>PR-AUC</w:t>
            </w:r>
          </w:p>
        </w:tc>
        <w:tc>
          <w:tcPr>
            <w:tcW w:type="dxa" w:w="2880"/>
          </w:tcPr>
          <w:p>
            <w:r>
              <w:t>0.228</w:t>
            </w:r>
          </w:p>
        </w:tc>
        <w:tc>
          <w:tcPr>
            <w:tcW w:type="dxa" w:w="2880"/>
          </w:tcPr>
          <w:p>
            <w:r>
              <w:t>Primary ranking metric for this imbalanced task</w:t>
            </w:r>
          </w:p>
        </w:tc>
      </w:tr>
      <w:tr>
        <w:tc>
          <w:tcPr>
            <w:tcW w:type="dxa" w:w="2880"/>
          </w:tcPr>
          <w:p>
            <w:r>
              <w:t>Top-10% lift</w:t>
            </w:r>
          </w:p>
        </w:tc>
        <w:tc>
          <w:tcPr>
            <w:tcW w:type="dxa" w:w="2880"/>
          </w:tcPr>
          <w:p>
            <w:r>
              <w:t>1.94x</w:t>
            </w:r>
          </w:p>
        </w:tc>
        <w:tc>
          <w:tcPr>
            <w:tcW w:type="dxa" w:w="2880"/>
          </w:tcPr>
          <w:p>
            <w:r>
              <w:t>Blunder rate among riskiest 10% divided by average rate</w:t>
            </w:r>
          </w:p>
        </w:tc>
      </w:tr>
      <w:tr>
        <w:tc>
          <w:tcPr>
            <w:tcW w:type="dxa" w:w="2880"/>
          </w:tcPr>
          <w:p>
            <w:r>
              <w:t>ROC-AUC</w:t>
            </w:r>
          </w:p>
        </w:tc>
        <w:tc>
          <w:tcPr>
            <w:tcW w:type="dxa" w:w="2880"/>
          </w:tcPr>
          <w:p>
            <w:r>
              <w:t>0.710 (0.697-0.724)</w:t>
            </w:r>
          </w:p>
        </w:tc>
        <w:tc>
          <w:tcPr>
            <w:tcW w:type="dxa" w:w="2880"/>
          </w:tcPr>
          <w:p>
            <w:r>
              <w:t>Grouped game-bootstrap 95% interval</w:t>
            </w:r>
          </w:p>
        </w:tc>
      </w:tr>
      <w:tr>
        <w:tc>
          <w:tcPr>
            <w:tcW w:type="dxa" w:w="2880"/>
          </w:tcPr>
          <w:p>
            <w:r>
              <w:t>Brier skill vs base rate</w:t>
            </w:r>
          </w:p>
        </w:tc>
        <w:tc>
          <w:tcPr>
            <w:tcW w:type="dxa" w:w="2880"/>
          </w:tcPr>
          <w:p>
            <w:r>
              <w:t>5.6%</w:t>
            </w:r>
          </w:p>
        </w:tc>
        <w:tc>
          <w:tcPr>
            <w:tcW w:type="dxa" w:w="2880"/>
          </w:tcPr>
          <w:p>
            <w:r>
              <w:t>Improvement over always predicting the training base rate</w:t>
            </w:r>
          </w:p>
        </w:tc>
      </w:tr>
      <w:tr>
        <w:tc>
          <w:tcPr>
            <w:tcW w:type="dxa" w:w="2880"/>
          </w:tcPr>
          <w:p>
            <w:r>
              <w:t>Brier score</w:t>
            </w:r>
          </w:p>
        </w:tc>
        <w:tc>
          <w:tcPr>
            <w:tcW w:type="dxa" w:w="2880"/>
          </w:tcPr>
          <w:p>
            <w:r>
              <w:t>0.107</w:t>
            </w:r>
          </w:p>
        </w:tc>
        <w:tc>
          <w:tcPr>
            <w:tcW w:type="dxa" w:w="2880"/>
          </w:tcPr>
          <w:p>
            <w:r>
              <w:t>Lower is better; compare with the base-rate predictor</w:t>
            </w:r>
          </w:p>
        </w:tc>
      </w:tr>
      <w:tr>
        <w:tc>
          <w:tcPr>
            <w:tcW w:type="dxa" w:w="2880"/>
          </w:tcPr>
          <w:p>
            <w:r>
              <w:t>Accuracy</w:t>
            </w:r>
          </w:p>
        </w:tc>
        <w:tc>
          <w:tcPr>
            <w:tcW w:type="dxa" w:w="2880"/>
          </w:tcPr>
          <w:p>
            <w:r>
              <w:t>87.0% vs 87.0%</w:t>
            </w:r>
          </w:p>
        </w:tc>
        <w:tc>
          <w:tcPr>
            <w:tcW w:type="dxa" w:w="2880"/>
          </w:tcPr>
          <w:p>
            <w:r>
              <w:t>Footnote only; majority class is stronger</w:t>
            </w:r>
          </w:p>
        </w:tc>
      </w:tr>
    </w:tbl>
    <w:p>
      <w:pPr>
        <w:pStyle w:val="Heading1"/>
      </w:pPr>
      <w:r>
        <w:t>What the model can and cannot claim</w:t>
      </w:r>
    </w:p>
    <w:p>
      <w:r>
        <w:t>The model is a position-ranking assistant, not an accurate standalone blunder detector. The data contains 1,038 games collected from four requested Lichess accounts, with 500 games each from two accounts; the games also contain many opponents. Labels use Stockfish depth 8 and a 100-centipawn loss threshold. This is called an engine mistake label in this report because a one-pawn loss is not equivalent to a human-psychology blunder, and the labels are noisy. The confidence intervals are grouped by game.</w:t>
      </w:r>
    </w:p>
    <w:p>
      <w:r>
        <w:t>This run uses a player-held-out split across 512 training players and 171 test players. The result is still preliminary because the source games are concentrated in four requested accounts and are not a representative sample of the Lichess population.</w:t>
      </w:r>
    </w:p>
    <w:p>
      <w:r>
        <w:t>No hard probability threshold is used in the product. The previous 0.348 threshold was removed after it produced very low recall on calibrated probabilities. The current product ranks positions and reports top-10% lift instead.</w:t>
      </w:r>
    </w:p>
    <w:p>
      <w:pPr>
        <w:pStyle w:val="Heading1"/>
      </w:pPr>
      <w:r>
        <w:t>Product and web experience</w:t>
      </w:r>
    </w:p>
    <w:p>
      <w:r>
        <w:t>The web board supports coach-only play, Stockfish, trap mode, optional Maia-2, saved games, PGN export, and move-by-move review. Review cards identify whether White or Black made each move, show the position before that move, and separate engine-confirmed losses from predicted risk. The board now refreshes correctly after Undo and Reset, keeps the move list synchronized, and shows a current-position panel with the side to move and last move. Board controls and analysis cards are centered and responsive on smaller screens.</w:t>
      </w:r>
    </w:p>
    <w:p>
      <w:pPr>
        <w:pStyle w:val="Heading1"/>
      </w:pPr>
      <w:r>
        <w:t>Verified status</w:t>
      </w:r>
    </w:p>
    <w:p>
      <w:pPr>
        <w:pStyle w:val="ListBullet"/>
      </w:pPr>
      <w:r>
        <w:t>11 backend tests pass.</w:t>
      </w:r>
    </w:p>
    <w:p>
      <w:pPr>
        <w:pStyle w:val="ListBullet"/>
      </w:pPr>
      <w:r>
        <w:t>Frontend TypeScript/Vite production build passes.</w:t>
      </w:r>
    </w:p>
    <w:p>
      <w:pPr>
        <w:pStyle w:val="ListBullet"/>
      </w:pPr>
      <w:r>
        <w:t>GET /health, /predict, /move, and /trap-move return successfully.</w:t>
      </w:r>
    </w:p>
    <w:p>
      <w:pPr>
        <w:pStyle w:val="ListBullet"/>
      </w:pPr>
      <w:r>
        <w:t>Browser smoke check confirmed the updated board layout and current-position panel.</w:t>
      </w:r>
    </w:p>
    <w:p>
      <w:pPr>
        <w:pStyle w:val="ListBullet"/>
      </w:pPr>
      <w:r>
        <w:t>Maia-2 weights and Docker Compose remain explicitly unverified environment work.</w:t>
      </w:r>
    </w:p>
    <w:p>
      <w:pPr>
        <w:pStyle w:val="Heading1"/>
      </w:pPr>
      <w:r>
        <w:t>Next experiments</w:t>
      </w:r>
    </w:p>
    <w:p>
      <w:r>
        <w:t>Collect more players across rating bands, use player-held-out evaluation, replace raw centipawn labels with win-probability loss, and validate ranking lift on a new player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