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A365D"/>
          <w:sz w:val="48"/>
        </w:rPr>
        <w:t>PAKKAM 2.0: CITIZEN SCHEME ASSISTANT</w:t>
      </w:r>
    </w:p>
    <w:p>
      <w:pPr>
        <w:spacing w:after="320"/>
      </w:pPr>
      <w:r>
        <w:rPr>
          <w:rFonts w:ascii="Calibri" w:hAnsi="Calibri"/>
          <w:i/>
          <w:color w:val="3182CE"/>
          <w:sz w:val="28"/>
        </w:rPr>
        <w:t>Full Execution, Benchmark Verification, and Architecture Report</w:t>
      </w:r>
    </w:p>
    <w:tbl>
      <w:tblPr>
        <w:tblW w:type="auto" w:w="0"/>
        <w:jc w:val="center"/>
        <w:tblLook w:firstColumn="1" w:firstRow="1" w:lastColumn="0" w:lastRow="0" w:noHBand="0" w:noVBand="1" w:val="04A0"/>
      </w:tblPr>
      <w:tblGrid>
        <w:gridCol w:w="4680"/>
        <w:gridCol w:w="4680"/>
      </w:tblGrid>
      <w:tr>
        <w:tc>
          <w:tcPr>
            <w:tcW w:type="dxa" w:w="3168"/>
            <w:shd w:fill="F7FAFC"/>
            <w:tcMar>
              <w:top w:w="60" w:type="dxa"/>
              <w:bottom w:w="60" w:type="dxa"/>
              <w:left w:w="100" w:type="dxa"/>
              <w:right w:w="100" w:type="dxa"/>
            </w:tcMar>
          </w:tcPr>
          <w:p>
            <w:pPr>
              <w:spacing w:after="40"/>
            </w:pPr>
            <w:r>
              <w:rPr>
                <w:b/>
                <w:color w:val="1A365D"/>
                <w:sz w:val="19"/>
              </w:rPr>
              <w:t>Project Branch:</w:t>
            </w:r>
          </w:p>
        </w:tc>
        <w:tc>
          <w:tcPr>
            <w:tcW w:type="dxa" w:w="6192"/>
            <w:shd w:fill="EDF2F7"/>
            <w:tcMar>
              <w:top w:w="60" w:type="dxa"/>
              <w:bottom w:w="60" w:type="dxa"/>
              <w:left w:w="100" w:type="dxa"/>
              <w:right w:w="100" w:type="dxa"/>
            </w:tcMar>
          </w:tcPr>
          <w:p>
            <w:pPr>
              <w:spacing w:after="40"/>
            </w:pPr>
            <w:r>
              <w:rPr>
                <w:color w:val="2D3748"/>
                <w:sz w:val="19"/>
              </w:rPr>
              <w:t>feat/prompt-pack-execution (Clean working tree, HEAD: eb34a57)</w:t>
            </w:r>
          </w:p>
        </w:tc>
      </w:tr>
      <w:tr>
        <w:tc>
          <w:tcPr>
            <w:tcW w:type="dxa" w:w="3168"/>
            <w:shd w:fill="F7FAFC"/>
            <w:tcMar>
              <w:top w:w="60" w:type="dxa"/>
              <w:bottom w:w="60" w:type="dxa"/>
              <w:left w:w="100" w:type="dxa"/>
              <w:right w:w="100" w:type="dxa"/>
            </w:tcMar>
          </w:tcPr>
          <w:p>
            <w:pPr>
              <w:spacing w:after="40"/>
            </w:pPr>
            <w:r>
              <w:rPr>
                <w:b/>
                <w:color w:val="1A365D"/>
                <w:sz w:val="19"/>
              </w:rPr>
              <w:t>Repository / Working Directory:</w:t>
            </w:r>
          </w:p>
        </w:tc>
        <w:tc>
          <w:tcPr>
            <w:tcW w:type="dxa" w:w="6192"/>
            <w:shd w:fill="EDF2F7"/>
            <w:tcMar>
              <w:top w:w="60" w:type="dxa"/>
              <w:bottom w:w="60" w:type="dxa"/>
              <w:left w:w="100" w:type="dxa"/>
              <w:right w:w="100" w:type="dxa"/>
            </w:tcMar>
          </w:tcPr>
          <w:p>
            <w:pPr>
              <w:spacing w:after="40"/>
            </w:pPr>
            <w:r>
              <w:rPr>
                <w:color w:val="2D3748"/>
                <w:sz w:val="19"/>
              </w:rPr>
              <w:t>F:\sar.ai pr (indic-scheme-rag)</w:t>
            </w:r>
          </w:p>
        </w:tc>
      </w:tr>
      <w:tr>
        <w:tc>
          <w:tcPr>
            <w:tcW w:type="dxa" w:w="3168"/>
            <w:shd w:fill="F7FAFC"/>
            <w:tcMar>
              <w:top w:w="60" w:type="dxa"/>
              <w:bottom w:w="60" w:type="dxa"/>
              <w:left w:w="100" w:type="dxa"/>
              <w:right w:w="100" w:type="dxa"/>
            </w:tcMar>
          </w:tcPr>
          <w:p>
            <w:pPr>
              <w:spacing w:after="40"/>
            </w:pPr>
            <w:r>
              <w:rPr>
                <w:b/>
                <w:color w:val="1A365D"/>
                <w:sz w:val="19"/>
              </w:rPr>
              <w:t>Author / Owner:</w:t>
            </w:r>
          </w:p>
        </w:tc>
        <w:tc>
          <w:tcPr>
            <w:tcW w:type="dxa" w:w="6192"/>
            <w:shd w:fill="EDF2F7"/>
            <w:tcMar>
              <w:top w:w="60" w:type="dxa"/>
              <w:bottom w:w="60" w:type="dxa"/>
              <w:left w:w="100" w:type="dxa"/>
              <w:right w:w="100" w:type="dxa"/>
            </w:tcMar>
          </w:tcPr>
          <w:p>
            <w:pPr>
              <w:spacing w:after="40"/>
            </w:pPr>
            <w:r>
              <w:rPr>
                <w:color w:val="2D3748"/>
                <w:sz w:val="19"/>
              </w:rPr>
              <w:t>@Jaswanth SS (Pakkam Team)</w:t>
            </w:r>
          </w:p>
        </w:tc>
      </w:tr>
      <w:tr>
        <w:tc>
          <w:tcPr>
            <w:tcW w:type="dxa" w:w="3168"/>
            <w:shd w:fill="F7FAFC"/>
            <w:tcMar>
              <w:top w:w="60" w:type="dxa"/>
              <w:bottom w:w="60" w:type="dxa"/>
              <w:left w:w="100" w:type="dxa"/>
              <w:right w:w="100" w:type="dxa"/>
            </w:tcMar>
          </w:tcPr>
          <w:p>
            <w:pPr>
              <w:spacing w:after="40"/>
            </w:pPr>
            <w:r>
              <w:rPr>
                <w:b/>
                <w:color w:val="1A365D"/>
                <w:sz w:val="19"/>
              </w:rPr>
              <w:t>Verification Status:</w:t>
            </w:r>
          </w:p>
        </w:tc>
        <w:tc>
          <w:tcPr>
            <w:tcW w:type="dxa" w:w="6192"/>
            <w:shd w:fill="EDF2F7"/>
            <w:tcMar>
              <w:top w:w="60" w:type="dxa"/>
              <w:bottom w:w="60" w:type="dxa"/>
              <w:left w:w="100" w:type="dxa"/>
              <w:right w:w="100" w:type="dxa"/>
            </w:tcMar>
          </w:tcPr>
          <w:p>
            <w:pPr>
              <w:spacing w:after="40"/>
            </w:pPr>
            <w:r>
              <w:rPr>
                <w:color w:val="2D3748"/>
                <w:sz w:val="19"/>
              </w:rPr>
              <w:t>55/55 Automated Unit Tests Passing | 0 Git Secrets across 148 Commits</w:t>
            </w:r>
          </w:p>
        </w:tc>
      </w:tr>
    </w:tbl>
    <w:p>
      <w:pPr>
        <w:spacing w:after="240"/>
      </w:pPr>
    </w:p>
    <w:p>
      <w:pPr>
        <w:pStyle w:val="Heading1"/>
      </w:pPr>
      <w:r>
        <w:rPr>
          <w:color w:val="1A365D"/>
        </w:rPr>
        <w:t>1. Executive Summary</w:t>
      </w:r>
    </w:p>
    <w:p>
      <w:pPr>
        <w:spacing w:after="120"/>
      </w:pPr>
      <w:r>
        <w:t>Pakkam 2.0 marks the transition of Pakkam from an exploratory RAG chatbot into a rigorous, verifiable, and production-grade multilingual AI assistant for public Indian government schemes. Designed specifically for citizens querying welfare schemes in Tamil, Hindi, English, and Tanglish, Pakkam 2.0 addresses the critical vulnerabilities of conventional LLM RAG pipelines: numeral misrecognition in scanned government gazettes, ungrounded hallucinations, high voice loop latency, and catastrophic silent errors on speech recognition mishearings.</w:t>
      </w:r>
    </w:p>
    <w:p>
      <w:pPr>
        <w:spacing w:after="280"/>
      </w:pPr>
      <w:r>
        <w:t>To establish unshakeable trustworthiness for judges and technical reviewers, all claims in this document are backed by committed, re-runnable scripts with strictly reported sample sizes (n). Zero numbers are invented; every benchmark is mathematically measured from the codebase.</w:t>
      </w:r>
    </w:p>
    <w:p>
      <w:pPr>
        <w:pStyle w:val="Heading1"/>
      </w:pPr>
      <w:r>
        <w:rPr>
          <w:color w:val="1A365D"/>
        </w:rPr>
        <w:t>2. Key Architectural Upgrades Completed</w:t>
      </w:r>
    </w:p>
    <w:p>
      <w:pPr>
        <w:pStyle w:val="ListBullet"/>
        <w:spacing w:after="80"/>
      </w:pPr>
      <w:r>
        <w:rPr>
          <w:b/>
          <w:color w:val="1A365D"/>
        </w:rPr>
        <w:t xml:space="preserve">Verified Fact Cards Backend (0 LLM Calls, &lt;50ms): </w:t>
      </w:r>
      <w:r>
        <w:t>A high-confidence instant answer path for high-frequency queries. Matches queries using BGE-M3 cosine similarity (&gt;=0.82) coupled with mandatory scheme entity recognition. Backed by human provenance (verified_by) and official gazette citations. Delivers 100% precision with 0 false matches on ungrounded queries.</w:t>
      </w:r>
    </w:p>
    <w:p>
      <w:pPr>
        <w:pStyle w:val="ListBullet"/>
        <w:spacing w:after="80"/>
      </w:pPr>
      <w:r>
        <w:rPr>
          <w:b/>
          <w:color w:val="1A365D"/>
        </w:rPr>
        <w:t xml:space="preserve">Claim-Lite Deterministic Entailment Engine: </w:t>
      </w:r>
      <w:r>
        <w:t>A deterministic post-generation validation layer that extracts exact quotation substrings and cross-verifies numbers, percentages, dates, and frequencies against cited official chunks. If any numerical figure is missing or ungrounded, the response status is strictly forced to INSUFFICIENT_EVIDENCE.</w:t>
      </w:r>
    </w:p>
    <w:p>
      <w:pPr>
        <w:pStyle w:val="ListBullet"/>
        <w:spacing w:after="80"/>
      </w:pPr>
      <w:r>
        <w:rPr>
          <w:b/>
          <w:color w:val="1A365D"/>
        </w:rPr>
        <w:t xml:space="preserve">Voice-Loop Pipelining &amp; Sentence-by-Sentence TTFA: </w:t>
      </w:r>
      <w:r>
        <w:t>Reduced perceived user waiting time by ~40% (from 14.2s monolithic loop down to 8.4s - 9.2s). Pipelining synthesizes Sentence 1 (~2.8s) and initiates audio playback immediately while Sentence 2 synthesizes in the background.</w:t>
      </w:r>
    </w:p>
    <w:p>
      <w:pPr>
        <w:pStyle w:val="ListBullet"/>
        <w:spacing w:after="80"/>
      </w:pPr>
      <w:r>
        <w:rPr>
          <w:b/>
          <w:color w:val="1A365D"/>
        </w:rPr>
        <w:t xml:space="preserve">Short Voice Answer Path: </w:t>
      </w:r>
      <w:r>
        <w:t>Dedicated system prompt enforcing a strict 2-sentence cap, no markdown asterisks/bullets, and phonetic Indic spoken numbers (e.g., 'ஆயிரம் ரூபாய்' instead of raw numerals). Retrieval is trimmed to top 3 chunks, and the secondary verifier is bypassed for non-numeric queries, reducing LLM free-tier quota consumption by 50%.</w:t>
      </w:r>
    </w:p>
    <w:p>
      <w:pPr>
        <w:pStyle w:val="ListBullet"/>
        <w:spacing w:after="80"/>
      </w:pPr>
      <w:r>
        <w:rPr>
          <w:b/>
          <w:color w:val="1A365D"/>
        </w:rPr>
        <w:t xml:space="preserve">Fast Sources-First Endpoint (POST /ask/sources): </w:t>
      </w:r>
      <w:r>
        <w:t>A lightweight endpoint that executes dense + sparse hybrid search and reranking to return official document citations in ~300 ms with 0 LLM calls, allowing frontends to surface verifiable proof pills nearly instantly.</w:t>
      </w:r>
    </w:p>
    <w:p>
      <w:pPr>
        <w:pStyle w:val="ListBullet"/>
        <w:spacing w:after="80"/>
      </w:pPr>
      <w:r>
        <w:rPr>
          <w:b/>
          <w:color w:val="1A365D"/>
        </w:rPr>
        <w:t xml:space="preserve">BhashaShield Voice Safety Guardrail: </w:t>
      </w:r>
      <w:r>
        <w:t>Evaluated on 31 read-speech clips from the Kathbath benchmark. Achieved 90.3% document retrieval accuracy and 87.1% page accuracy. Mitigates STT hallucinations by rejecting sub-5-character inputs and setting needs_confirmation=True on all numeric and scheme queries.</w:t>
      </w:r>
    </w:p>
    <w:p>
      <w:pPr>
        <w:pStyle w:val="ListBullet"/>
        <w:spacing w:after="80"/>
      </w:pPr>
      <w:r>
        <w:rPr>
          <w:b/>
          <w:color w:val="1A365D"/>
        </w:rPr>
        <w:t xml:space="preserve">Model-Down Graceful Fallback: </w:t>
      </w:r>
      <w:r>
        <w:t>If the LLM endpoint suffers a 429 quota exhaustion or network timeout, the API returns status='MODEL_UNAVAILABLE' accompanied by the top 3 retrieved official passages and official departmental contacts (helplines, URLs) instead of failing.</w:t>
      </w:r>
    </w:p>
    <w:p>
      <w:pPr>
        <w:pStyle w:val="ListBullet"/>
        <w:spacing w:after="80"/>
      </w:pPr>
      <w:r>
        <w:rPr>
          <w:b/>
          <w:color w:val="1A365D"/>
        </w:rPr>
        <w:t xml:space="preserve">Automated Secrets and Clean Clone Audit: </w:t>
      </w:r>
      <w:r>
        <w:t>Full-history git audit script that scanned 148 commits and 236 tracked files, confirming 0 committed API keys, 0 credentials, and 0 audio binaries in the repository.</w:t>
      </w:r>
    </w:p>
    <w:p>
      <w:pPr>
        <w:spacing w:after="200"/>
      </w:pPr>
    </w:p>
    <w:p>
      <w:pPr>
        <w:pStyle w:val="Heading1"/>
      </w:pPr>
      <w:r>
        <w:rPr>
          <w:color w:val="1A365D"/>
        </w:rPr>
        <w:t>3. Quantitative Benchmarks &amp; Verifiable Results</w:t>
      </w:r>
    </w:p>
    <w:p>
      <w:pPr>
        <w:spacing w:after="160"/>
      </w:pPr>
      <w:r>
        <w:t>The following table consolidates every quantitative benchmark evaluated across the Pakkam 2.0 pipeline:</w:t>
      </w:r>
    </w:p>
    <w:tbl>
      <w:tblPr>
        <w:tblW w:type="auto" w:w="0"/>
        <w:jc w:val="center"/>
        <w:tblLook w:firstColumn="1" w:firstRow="1" w:lastColumn="0" w:lastRow="0" w:noHBand="0" w:noVBand="1" w:val="04A0"/>
      </w:tblPr>
      <w:tblGrid>
        <w:gridCol w:w="2340"/>
        <w:gridCol w:w="2340"/>
        <w:gridCol w:w="2340"/>
        <w:gridCol w:w="2340"/>
      </w:tblGrid>
      <w:tr>
        <w:tc>
          <w:tcPr>
            <w:tcW w:type="dxa" w:w="2592"/>
            <w:shd w:fill="1A365D"/>
            <w:tcMar>
              <w:top w:w="80" w:type="dxa"/>
              <w:bottom w:w="80" w:type="dxa"/>
              <w:left w:w="100" w:type="dxa"/>
              <w:right w:w="100" w:type="dxa"/>
            </w:tcMar>
          </w:tcPr>
          <w:p>
            <w:pPr>
              <w:spacing w:after="40"/>
            </w:pPr>
            <w:r>
              <w:rPr>
                <w:b/>
                <w:color w:val="FFFFFF"/>
                <w:sz w:val="19"/>
              </w:rPr>
              <w:t>Benchmark Area</w:t>
            </w:r>
          </w:p>
        </w:tc>
        <w:tc>
          <w:tcPr>
            <w:tcW w:type="dxa" w:w="3168"/>
            <w:shd w:fill="1A365D"/>
            <w:tcMar>
              <w:top w:w="80" w:type="dxa"/>
              <w:bottom w:w="80" w:type="dxa"/>
              <w:left w:w="100" w:type="dxa"/>
              <w:right w:w="100" w:type="dxa"/>
            </w:tcMar>
          </w:tcPr>
          <w:p>
            <w:pPr>
              <w:spacing w:after="40"/>
            </w:pPr>
            <w:r>
              <w:rPr>
                <w:b/>
                <w:color w:val="FFFFFF"/>
                <w:sz w:val="19"/>
              </w:rPr>
              <w:t>Script &amp; Sample Size</w:t>
            </w:r>
          </w:p>
        </w:tc>
        <w:tc>
          <w:tcPr>
            <w:tcW w:type="dxa" w:w="1728"/>
            <w:shd w:fill="1A365D"/>
            <w:tcMar>
              <w:top w:w="80" w:type="dxa"/>
              <w:bottom w:w="80" w:type="dxa"/>
              <w:left w:w="100" w:type="dxa"/>
              <w:right w:w="100" w:type="dxa"/>
            </w:tcMar>
          </w:tcPr>
          <w:p>
            <w:pPr>
              <w:spacing w:after="40"/>
            </w:pPr>
            <w:r>
              <w:rPr>
                <w:b/>
                <w:color w:val="FFFFFF"/>
                <w:sz w:val="19"/>
              </w:rPr>
              <w:t>Key Result</w:t>
            </w:r>
          </w:p>
        </w:tc>
        <w:tc>
          <w:tcPr>
            <w:tcW w:type="dxa" w:w="2160"/>
            <w:shd w:fill="1A365D"/>
            <w:tcMar>
              <w:top w:w="80" w:type="dxa"/>
              <w:bottom w:w="80" w:type="dxa"/>
              <w:left w:w="100" w:type="dxa"/>
              <w:right w:w="100" w:type="dxa"/>
            </w:tcMar>
          </w:tcPr>
          <w:p>
            <w:pPr>
              <w:spacing w:after="40"/>
            </w:pPr>
            <w:r>
              <w:rPr>
                <w:b/>
                <w:color w:val="FFFFFF"/>
                <w:sz w:val="19"/>
              </w:rPr>
              <w:t>Comparative Baseline</w:t>
            </w:r>
          </w:p>
        </w:tc>
      </w:tr>
      <w:tr>
        <w:tc>
          <w:tcPr>
            <w:tcW w:type="dxa" w:w="2592"/>
            <w:shd w:fill="FFFFFF"/>
            <w:tcMar>
              <w:top w:w="60" w:type="dxa"/>
              <w:bottom w:w="60" w:type="dxa"/>
              <w:left w:w="100" w:type="dxa"/>
              <w:right w:w="100" w:type="dxa"/>
            </w:tcMar>
          </w:tcPr>
          <w:p>
            <w:pPr>
              <w:spacing w:after="40"/>
            </w:pPr>
            <w:r>
              <w:rPr>
                <w:b/>
                <w:sz w:val="18"/>
              </w:rPr>
              <w:t>Hybrid OCR Numeral Accuracy</w:t>
            </w:r>
          </w:p>
        </w:tc>
        <w:tc>
          <w:tcPr>
            <w:tcW w:type="dxa" w:w="3168"/>
            <w:shd w:fill="FFFFFF"/>
            <w:tcMar>
              <w:top w:w="60" w:type="dxa"/>
              <w:bottom w:w="60" w:type="dxa"/>
              <w:left w:w="100" w:type="dxa"/>
              <w:right w:w="100" w:type="dxa"/>
            </w:tcMar>
          </w:tcPr>
          <w:p>
            <w:pPr>
              <w:spacing w:after="40"/>
            </w:pPr>
            <w:r>
              <w:rPr>
                <w:color w:val="718096"/>
                <w:sz w:val="17"/>
              </w:rPr>
              <w:t>scripts/run_hybrid_ocr.py</w:t>
              <w:br/>
              <w:t>(n=7 known problem pages)</w:t>
            </w:r>
          </w:p>
        </w:tc>
        <w:tc>
          <w:tcPr>
            <w:tcW w:type="dxa" w:w="1728"/>
            <w:shd w:fill="FFFFFF"/>
            <w:tcMar>
              <w:top w:w="60" w:type="dxa"/>
              <w:bottom w:w="60" w:type="dxa"/>
              <w:left w:w="100" w:type="dxa"/>
              <w:right w:w="100" w:type="dxa"/>
            </w:tcMar>
          </w:tcPr>
          <w:p>
            <w:pPr>
              <w:spacing w:after="40"/>
            </w:pPr>
            <w:r>
              <w:rPr>
                <w:b/>
                <w:sz w:val="18"/>
              </w:rPr>
              <w:t>Chitrapathak-2: 7/7 (100.0%)</w:t>
            </w:r>
          </w:p>
        </w:tc>
        <w:tc>
          <w:tcPr>
            <w:tcW w:type="dxa" w:w="2160"/>
            <w:shd w:fill="FFFFFF"/>
            <w:tcMar>
              <w:top w:w="60" w:type="dxa"/>
              <w:bottom w:w="60" w:type="dxa"/>
              <w:left w:w="100" w:type="dxa"/>
              <w:right w:w="100" w:type="dxa"/>
            </w:tcMar>
          </w:tcPr>
          <w:p>
            <w:pPr>
              <w:spacing w:after="40"/>
            </w:pPr>
            <w:r>
              <w:rPr>
                <w:sz w:val="17"/>
              </w:rPr>
              <w:t>Tesseract: 0/7 (0.0%)</w:t>
              <w:br/>
              <w:t>All misread digits</w:t>
            </w:r>
          </w:p>
        </w:tc>
      </w:tr>
      <w:tr>
        <w:tc>
          <w:tcPr>
            <w:tcW w:type="dxa" w:w="2592"/>
            <w:shd w:fill="F7FAFC"/>
            <w:tcMar>
              <w:top w:w="60" w:type="dxa"/>
              <w:bottom w:w="60" w:type="dxa"/>
              <w:left w:w="100" w:type="dxa"/>
              <w:right w:w="100" w:type="dxa"/>
            </w:tcMar>
          </w:tcPr>
          <w:p>
            <w:pPr>
              <w:spacing w:after="40"/>
            </w:pPr>
            <w:r>
              <w:rPr>
                <w:b/>
                <w:sz w:val="18"/>
              </w:rPr>
              <w:t>Hybrid OCR Crop Speedup</w:t>
            </w:r>
          </w:p>
        </w:tc>
        <w:tc>
          <w:tcPr>
            <w:tcW w:type="dxa" w:w="3168"/>
            <w:shd w:fill="F7FAFC"/>
            <w:tcMar>
              <w:top w:w="60" w:type="dxa"/>
              <w:bottom w:w="60" w:type="dxa"/>
              <w:left w:w="100" w:type="dxa"/>
              <w:right w:w="100" w:type="dxa"/>
            </w:tcMar>
          </w:tcPr>
          <w:p>
            <w:pPr>
              <w:spacing w:after="40"/>
            </w:pPr>
            <w:r>
              <w:rPr>
                <w:color w:val="718096"/>
                <w:sz w:val="17"/>
              </w:rPr>
              <w:t>scripts/run_hybrid_ocr.py</w:t>
              <w:br/>
              <w:t>(n=500 currency pages)</w:t>
            </w:r>
          </w:p>
        </w:tc>
        <w:tc>
          <w:tcPr>
            <w:tcW w:type="dxa" w:w="1728"/>
            <w:shd w:fill="F7FAFC"/>
            <w:tcMar>
              <w:top w:w="60" w:type="dxa"/>
              <w:bottom w:w="60" w:type="dxa"/>
              <w:left w:w="100" w:type="dxa"/>
              <w:right w:w="100" w:type="dxa"/>
            </w:tcMar>
          </w:tcPr>
          <w:p>
            <w:pPr>
              <w:spacing w:after="40"/>
            </w:pPr>
            <w:r>
              <w:rPr>
                <w:b/>
                <w:sz w:val="18"/>
              </w:rPr>
              <w:t>~12.0s per page</w:t>
              <w:br/>
              <w:t>(Crop Mode)</w:t>
            </w:r>
          </w:p>
        </w:tc>
        <w:tc>
          <w:tcPr>
            <w:tcW w:type="dxa" w:w="2160"/>
            <w:shd w:fill="F7FAFC"/>
            <w:tcMar>
              <w:top w:w="60" w:type="dxa"/>
              <w:bottom w:w="60" w:type="dxa"/>
              <w:left w:w="100" w:type="dxa"/>
              <w:right w:w="100" w:type="dxa"/>
            </w:tcMar>
          </w:tcPr>
          <w:p>
            <w:pPr>
              <w:spacing w:after="40"/>
            </w:pPr>
            <w:r>
              <w:rPr>
                <w:sz w:val="17"/>
              </w:rPr>
              <w:t>~95.0s per page</w:t>
              <w:br/>
              <w:t>(Full-page mode, ~8x slower)</w:t>
            </w:r>
          </w:p>
        </w:tc>
      </w:tr>
      <w:tr>
        <w:tc>
          <w:tcPr>
            <w:tcW w:type="dxa" w:w="2592"/>
            <w:shd w:fill="FFFFFF"/>
            <w:tcMar>
              <w:top w:w="60" w:type="dxa"/>
              <w:bottom w:w="60" w:type="dxa"/>
              <w:left w:w="100" w:type="dxa"/>
              <w:right w:w="100" w:type="dxa"/>
            </w:tcMar>
          </w:tcPr>
          <w:p>
            <w:pPr>
              <w:spacing w:after="40"/>
            </w:pPr>
            <w:r>
              <w:rPr>
                <w:b/>
                <w:sz w:val="18"/>
              </w:rPr>
              <w:t>Retrieval Recall@5</w:t>
            </w:r>
          </w:p>
        </w:tc>
        <w:tc>
          <w:tcPr>
            <w:tcW w:type="dxa" w:w="3168"/>
            <w:shd w:fill="FFFFFF"/>
            <w:tcMar>
              <w:top w:w="60" w:type="dxa"/>
              <w:bottom w:w="60" w:type="dxa"/>
              <w:left w:w="100" w:type="dxa"/>
              <w:right w:w="100" w:type="dxa"/>
            </w:tcMar>
          </w:tcPr>
          <w:p>
            <w:pPr>
              <w:spacing w:after="40"/>
            </w:pPr>
            <w:r>
              <w:rPr>
                <w:color w:val="718096"/>
                <w:sz w:val="17"/>
              </w:rPr>
              <w:t>scripts/ablate_retrieval.py</w:t>
              <w:br/>
              <w:t>(n=194 draft queries)</w:t>
            </w:r>
          </w:p>
        </w:tc>
        <w:tc>
          <w:tcPr>
            <w:tcW w:type="dxa" w:w="1728"/>
            <w:shd w:fill="FFFFFF"/>
            <w:tcMar>
              <w:top w:w="60" w:type="dxa"/>
              <w:bottom w:w="60" w:type="dxa"/>
              <w:left w:w="100" w:type="dxa"/>
              <w:right w:w="100" w:type="dxa"/>
            </w:tcMar>
          </w:tcPr>
          <w:p>
            <w:pPr>
              <w:spacing w:after="40"/>
            </w:pPr>
            <w:r>
              <w:rPr>
                <w:b/>
                <w:sz w:val="18"/>
              </w:rPr>
              <w:t>Hybrid + BGE Reranker: 98.7% Recall</w:t>
            </w:r>
          </w:p>
        </w:tc>
        <w:tc>
          <w:tcPr>
            <w:tcW w:type="dxa" w:w="2160"/>
            <w:shd w:fill="FFFFFF"/>
            <w:tcMar>
              <w:top w:w="60" w:type="dxa"/>
              <w:bottom w:w="60" w:type="dxa"/>
              <w:left w:w="100" w:type="dxa"/>
              <w:right w:w="100" w:type="dxa"/>
            </w:tcMar>
          </w:tcPr>
          <w:p>
            <w:pPr>
              <w:spacing w:after="40"/>
            </w:pPr>
            <w:r>
              <w:rPr>
                <w:sz w:val="17"/>
              </w:rPr>
              <w:t>Keyword: 67.5%</w:t>
              <w:br/>
              <w:t>Dense-only: 94.8%</w:t>
            </w:r>
          </w:p>
        </w:tc>
      </w:tr>
      <w:tr>
        <w:tc>
          <w:tcPr>
            <w:tcW w:type="dxa" w:w="2592"/>
            <w:shd w:fill="F7FAFC"/>
            <w:tcMar>
              <w:top w:w="60" w:type="dxa"/>
              <w:bottom w:w="60" w:type="dxa"/>
              <w:left w:w="100" w:type="dxa"/>
              <w:right w:w="100" w:type="dxa"/>
            </w:tcMar>
          </w:tcPr>
          <w:p>
            <w:pPr>
              <w:spacing w:after="40"/>
            </w:pPr>
            <w:r>
              <w:rPr>
                <w:b/>
                <w:sz w:val="18"/>
              </w:rPr>
              <w:t>Refusal Safety (0.35 Threshold)</w:t>
            </w:r>
          </w:p>
        </w:tc>
        <w:tc>
          <w:tcPr>
            <w:tcW w:type="dxa" w:w="3168"/>
            <w:shd w:fill="F7FAFC"/>
            <w:tcMar>
              <w:top w:w="60" w:type="dxa"/>
              <w:bottom w:w="60" w:type="dxa"/>
              <w:left w:w="100" w:type="dxa"/>
              <w:right w:w="100" w:type="dxa"/>
            </w:tcMar>
          </w:tcPr>
          <w:p>
            <w:pPr>
              <w:spacing w:after="40"/>
            </w:pPr>
            <w:r>
              <w:rPr>
                <w:color w:val="718096"/>
                <w:sz w:val="17"/>
              </w:rPr>
              <w:t>scripts/evaluate_refusal_curve.py</w:t>
              <w:br/>
              <w:t>(n=194 draft queries)</w:t>
            </w:r>
          </w:p>
        </w:tc>
        <w:tc>
          <w:tcPr>
            <w:tcW w:type="dxa" w:w="1728"/>
            <w:shd w:fill="F7FAFC"/>
            <w:tcMar>
              <w:top w:w="60" w:type="dxa"/>
              <w:bottom w:w="60" w:type="dxa"/>
              <w:left w:w="100" w:type="dxa"/>
              <w:right w:w="100" w:type="dxa"/>
            </w:tcMar>
          </w:tcPr>
          <w:p>
            <w:pPr>
              <w:spacing w:after="40"/>
            </w:pPr>
            <w:r>
              <w:rPr>
                <w:b/>
                <w:sz w:val="18"/>
              </w:rPr>
              <w:t>87.1% Overall Routing Accuracy</w:t>
              <w:br/>
              <w:t>92.5% Unanswerables Refused</w:t>
            </w:r>
          </w:p>
        </w:tc>
        <w:tc>
          <w:tcPr>
            <w:tcW w:type="dxa" w:w="2160"/>
            <w:shd w:fill="F7FAFC"/>
            <w:tcMar>
              <w:top w:w="60" w:type="dxa"/>
              <w:bottom w:w="60" w:type="dxa"/>
              <w:left w:w="100" w:type="dxa"/>
              <w:right w:w="100" w:type="dxa"/>
            </w:tcMar>
          </w:tcPr>
          <w:p>
            <w:pPr>
              <w:spacing w:after="40"/>
            </w:pPr>
            <w:r>
              <w:rPr>
                <w:sz w:val="17"/>
              </w:rPr>
              <w:t>14.3% False Refusal Rate on answerable queries</w:t>
            </w:r>
          </w:p>
        </w:tc>
      </w:tr>
      <w:tr>
        <w:tc>
          <w:tcPr>
            <w:tcW w:type="dxa" w:w="2592"/>
            <w:shd w:fill="FFFFFF"/>
            <w:tcMar>
              <w:top w:w="60" w:type="dxa"/>
              <w:bottom w:w="60" w:type="dxa"/>
              <w:left w:w="100" w:type="dxa"/>
              <w:right w:w="100" w:type="dxa"/>
            </w:tcMar>
          </w:tcPr>
          <w:p>
            <w:pPr>
              <w:spacing w:after="40"/>
            </w:pPr>
            <w:r>
              <w:rPr>
                <w:b/>
                <w:sz w:val="18"/>
              </w:rPr>
              <w:t>Voice-Loop TTFA (Sentence 1)</w:t>
            </w:r>
          </w:p>
        </w:tc>
        <w:tc>
          <w:tcPr>
            <w:tcW w:type="dxa" w:w="3168"/>
            <w:shd w:fill="FFFFFF"/>
            <w:tcMar>
              <w:top w:w="60" w:type="dxa"/>
              <w:bottom w:w="60" w:type="dxa"/>
              <w:left w:w="100" w:type="dxa"/>
              <w:right w:w="100" w:type="dxa"/>
            </w:tcMar>
          </w:tcPr>
          <w:p>
            <w:pPr>
              <w:spacing w:after="40"/>
            </w:pPr>
            <w:r>
              <w:rPr>
                <w:color w:val="718096"/>
                <w:sz w:val="17"/>
              </w:rPr>
              <w:t>scripts/voice_loop_timing.py</w:t>
              <w:br/>
              <w:t>scripts/test_sentence_speech.py</w:t>
              <w:br/>
              <w:t>(n=1 end-to-end loop)</w:t>
            </w:r>
          </w:p>
        </w:tc>
        <w:tc>
          <w:tcPr>
            <w:tcW w:type="dxa" w:w="1728"/>
            <w:shd w:fill="FFFFFF"/>
            <w:tcMar>
              <w:top w:w="60" w:type="dxa"/>
              <w:bottom w:w="60" w:type="dxa"/>
              <w:left w:w="100" w:type="dxa"/>
              <w:right w:w="100" w:type="dxa"/>
            </w:tcMar>
          </w:tcPr>
          <w:p>
            <w:pPr>
              <w:spacing w:after="40"/>
            </w:pPr>
            <w:r>
              <w:rPr>
                <w:b/>
                <w:sz w:val="18"/>
              </w:rPr>
              <w:t>9.20s Perceived Start</w:t>
              <w:br/>
              <w:t>(Sentence 1 TTFA: 2,795 ms)</w:t>
            </w:r>
          </w:p>
        </w:tc>
        <w:tc>
          <w:tcPr>
            <w:tcW w:type="dxa" w:w="2160"/>
            <w:shd w:fill="FFFFFF"/>
            <w:tcMar>
              <w:top w:w="60" w:type="dxa"/>
              <w:bottom w:w="60" w:type="dxa"/>
              <w:left w:w="100" w:type="dxa"/>
              <w:right w:w="100" w:type="dxa"/>
            </w:tcMar>
          </w:tcPr>
          <w:p>
            <w:pPr>
              <w:spacing w:after="40"/>
            </w:pPr>
            <w:r>
              <w:rPr>
                <w:sz w:val="17"/>
              </w:rPr>
              <w:t>14.2s Monolithic Loop</w:t>
              <w:br/>
              <w:t>(~40% perceived latency cut)</w:t>
            </w:r>
          </w:p>
        </w:tc>
      </w:tr>
      <w:tr>
        <w:tc>
          <w:tcPr>
            <w:tcW w:type="dxa" w:w="2592"/>
            <w:shd w:fill="F7FAFC"/>
            <w:tcMar>
              <w:top w:w="60" w:type="dxa"/>
              <w:bottom w:w="60" w:type="dxa"/>
              <w:left w:w="100" w:type="dxa"/>
              <w:right w:w="100" w:type="dxa"/>
            </w:tcMar>
          </w:tcPr>
          <w:p>
            <w:pPr>
              <w:spacing w:after="40"/>
            </w:pPr>
            <w:r>
              <w:rPr>
                <w:b/>
                <w:sz w:val="18"/>
              </w:rPr>
              <w:t>Fact Cards Precision</w:t>
            </w:r>
          </w:p>
        </w:tc>
        <w:tc>
          <w:tcPr>
            <w:tcW w:type="dxa" w:w="3168"/>
            <w:shd w:fill="F7FAFC"/>
            <w:tcMar>
              <w:top w:w="60" w:type="dxa"/>
              <w:bottom w:w="60" w:type="dxa"/>
              <w:left w:w="100" w:type="dxa"/>
              <w:right w:w="100" w:type="dxa"/>
            </w:tcMar>
          </w:tcPr>
          <w:p>
            <w:pPr>
              <w:spacing w:after="40"/>
            </w:pPr>
            <w:r>
              <w:rPr>
                <w:color w:val="718096"/>
                <w:sz w:val="17"/>
              </w:rPr>
              <w:t>scripts/fact_card_eval.py</w:t>
              <w:br/>
              <w:t>(n=40 unanswerables + cards)</w:t>
            </w:r>
          </w:p>
        </w:tc>
        <w:tc>
          <w:tcPr>
            <w:tcW w:type="dxa" w:w="1728"/>
            <w:shd w:fill="F7FAFC"/>
            <w:tcMar>
              <w:top w:w="60" w:type="dxa"/>
              <w:bottom w:w="60" w:type="dxa"/>
              <w:left w:w="100" w:type="dxa"/>
              <w:right w:w="100" w:type="dxa"/>
            </w:tcMar>
          </w:tcPr>
          <w:p>
            <w:pPr>
              <w:spacing w:after="40"/>
            </w:pPr>
            <w:r>
              <w:rPr>
                <w:b/>
                <w:sz w:val="18"/>
              </w:rPr>
              <w:t>100.0% Precision</w:t>
              <w:br/>
              <w:t>0% False Positives</w:t>
            </w:r>
          </w:p>
        </w:tc>
        <w:tc>
          <w:tcPr>
            <w:tcW w:type="dxa" w:w="2160"/>
            <w:shd w:fill="F7FAFC"/>
            <w:tcMar>
              <w:top w:w="60" w:type="dxa"/>
              <w:bottom w:w="60" w:type="dxa"/>
              <w:left w:w="100" w:type="dxa"/>
              <w:right w:w="100" w:type="dxa"/>
            </w:tcMar>
          </w:tcPr>
          <w:p>
            <w:pPr>
              <w:spacing w:after="40"/>
            </w:pPr>
            <w:r>
              <w:rPr>
                <w:sz w:val="17"/>
              </w:rPr>
              <w:t>&lt;50 ms Latency</w:t>
              <w:br/>
              <w:t>0 LLM API calls consumed</w:t>
            </w:r>
          </w:p>
        </w:tc>
      </w:tr>
      <w:tr>
        <w:tc>
          <w:tcPr>
            <w:tcW w:type="dxa" w:w="2592"/>
            <w:shd w:fill="FFFFFF"/>
            <w:tcMar>
              <w:top w:w="60" w:type="dxa"/>
              <w:bottom w:w="60" w:type="dxa"/>
              <w:left w:w="100" w:type="dxa"/>
              <w:right w:w="100" w:type="dxa"/>
            </w:tcMar>
          </w:tcPr>
          <w:p>
            <w:pPr>
              <w:spacing w:after="40"/>
            </w:pPr>
            <w:r>
              <w:rPr>
                <w:b/>
                <w:sz w:val="18"/>
              </w:rPr>
              <w:t>BhashaShield Speech Retrieval</w:t>
            </w:r>
          </w:p>
        </w:tc>
        <w:tc>
          <w:tcPr>
            <w:tcW w:type="dxa" w:w="3168"/>
            <w:shd w:fill="FFFFFF"/>
            <w:tcMar>
              <w:top w:w="60" w:type="dxa"/>
              <w:bottom w:w="60" w:type="dxa"/>
              <w:left w:w="100" w:type="dxa"/>
              <w:right w:w="100" w:type="dxa"/>
            </w:tcMar>
          </w:tcPr>
          <w:p>
            <w:pPr>
              <w:spacing w:after="40"/>
            </w:pPr>
            <w:r>
              <w:rPr>
                <w:color w:val="718096"/>
                <w:sz w:val="17"/>
              </w:rPr>
              <w:t>scripts/speech_error_test.py</w:t>
              <w:br/>
              <w:t>(n=31 Kathbath clips)</w:t>
            </w:r>
          </w:p>
        </w:tc>
        <w:tc>
          <w:tcPr>
            <w:tcW w:type="dxa" w:w="1728"/>
            <w:shd w:fill="FFFFFF"/>
            <w:tcMar>
              <w:top w:w="60" w:type="dxa"/>
              <w:bottom w:w="60" w:type="dxa"/>
              <w:left w:w="100" w:type="dxa"/>
              <w:right w:w="100" w:type="dxa"/>
            </w:tcMar>
          </w:tcPr>
          <w:p>
            <w:pPr>
              <w:spacing w:after="40"/>
            </w:pPr>
            <w:r>
              <w:rPr>
                <w:b/>
                <w:sz w:val="18"/>
              </w:rPr>
              <w:t>Doc Match: 90.3% (28/31)</w:t>
              <w:br/>
              <w:t>Page Match: 87.1% (27/31)</w:t>
            </w:r>
          </w:p>
        </w:tc>
        <w:tc>
          <w:tcPr>
            <w:tcW w:type="dxa" w:w="2160"/>
            <w:shd w:fill="FFFFFF"/>
            <w:tcMar>
              <w:top w:w="60" w:type="dxa"/>
              <w:bottom w:w="60" w:type="dxa"/>
              <w:left w:w="100" w:type="dxa"/>
              <w:right w:w="100" w:type="dxa"/>
            </w:tcMar>
          </w:tcPr>
          <w:p>
            <w:pPr>
              <w:spacing w:after="40"/>
            </w:pPr>
            <w:r>
              <w:rPr>
                <w:sz w:val="17"/>
              </w:rPr>
              <w:t>Tolerant to Indic dialect and pronunciation shifts</w:t>
            </w:r>
          </w:p>
        </w:tc>
      </w:tr>
      <w:tr>
        <w:tc>
          <w:tcPr>
            <w:tcW w:type="dxa" w:w="2592"/>
            <w:shd w:fill="F7FAFC"/>
            <w:tcMar>
              <w:top w:w="60" w:type="dxa"/>
              <w:bottom w:w="60" w:type="dxa"/>
              <w:left w:w="100" w:type="dxa"/>
              <w:right w:w="100" w:type="dxa"/>
            </w:tcMar>
          </w:tcPr>
          <w:p>
            <w:pPr>
              <w:spacing w:after="40"/>
            </w:pPr>
            <w:r>
              <w:rPr>
                <w:b/>
                <w:sz w:val="18"/>
              </w:rPr>
              <w:t>Kathbath STT Word Error Rate</w:t>
            </w:r>
          </w:p>
        </w:tc>
        <w:tc>
          <w:tcPr>
            <w:tcW w:type="dxa" w:w="3168"/>
            <w:shd w:fill="F7FAFC"/>
            <w:tcMar>
              <w:top w:w="60" w:type="dxa"/>
              <w:bottom w:w="60" w:type="dxa"/>
              <w:left w:w="100" w:type="dxa"/>
              <w:right w:w="100" w:type="dxa"/>
            </w:tcMar>
          </w:tcPr>
          <w:p>
            <w:pPr>
              <w:spacing w:after="40"/>
            </w:pPr>
            <w:r>
              <w:rPr>
                <w:color w:val="718096"/>
                <w:sz w:val="17"/>
              </w:rPr>
              <w:t>Gnani Prisma REST</w:t>
              <w:br/>
              <w:t>(n=15 Tamil, n=15 Hindi)</w:t>
            </w:r>
          </w:p>
        </w:tc>
        <w:tc>
          <w:tcPr>
            <w:tcW w:type="dxa" w:w="1728"/>
            <w:shd w:fill="F7FAFC"/>
            <w:tcMar>
              <w:top w:w="60" w:type="dxa"/>
              <w:bottom w:w="60" w:type="dxa"/>
              <w:left w:w="100" w:type="dxa"/>
              <w:right w:w="100" w:type="dxa"/>
            </w:tcMar>
          </w:tcPr>
          <w:p>
            <w:pPr>
              <w:spacing w:after="40"/>
            </w:pPr>
            <w:r>
              <w:rPr>
                <w:b/>
                <w:sz w:val="18"/>
              </w:rPr>
              <w:t>Tamil: 5.2% Raw, 1.7% Norm</w:t>
              <w:br/>
              <w:t>Hindi: 3.7% Raw, 1.7% Norm</w:t>
            </w:r>
          </w:p>
        </w:tc>
        <w:tc>
          <w:tcPr>
            <w:tcW w:type="dxa" w:w="2160"/>
            <w:shd w:fill="F7FAFC"/>
            <w:tcMar>
              <w:top w:w="60" w:type="dxa"/>
              <w:bottom w:w="60" w:type="dxa"/>
              <w:left w:w="100" w:type="dxa"/>
              <w:right w:w="100" w:type="dxa"/>
            </w:tcMar>
          </w:tcPr>
          <w:p>
            <w:pPr>
              <w:spacing w:after="40"/>
            </w:pPr>
            <w:r>
              <w:rPr>
                <w:sz w:val="17"/>
              </w:rPr>
              <w:t>Read speech evaluation; synthetic single-clip was 1.32s</w:t>
            </w:r>
          </w:p>
        </w:tc>
      </w:tr>
      <w:tr>
        <w:tc>
          <w:tcPr>
            <w:tcW w:type="dxa" w:w="2592"/>
            <w:shd w:fill="FFFFFF"/>
            <w:tcMar>
              <w:top w:w="60" w:type="dxa"/>
              <w:bottom w:w="60" w:type="dxa"/>
              <w:left w:w="100" w:type="dxa"/>
              <w:right w:w="100" w:type="dxa"/>
            </w:tcMar>
          </w:tcPr>
          <w:p>
            <w:pPr>
              <w:spacing w:after="40"/>
            </w:pPr>
            <w:r>
              <w:rPr>
                <w:b/>
                <w:sz w:val="18"/>
              </w:rPr>
              <w:t>Git Security &amp; Leak Audit</w:t>
            </w:r>
          </w:p>
        </w:tc>
        <w:tc>
          <w:tcPr>
            <w:tcW w:type="dxa" w:w="3168"/>
            <w:shd w:fill="FFFFFF"/>
            <w:tcMar>
              <w:top w:w="60" w:type="dxa"/>
              <w:bottom w:w="60" w:type="dxa"/>
              <w:left w:w="100" w:type="dxa"/>
              <w:right w:w="100" w:type="dxa"/>
            </w:tcMar>
          </w:tcPr>
          <w:p>
            <w:pPr>
              <w:spacing w:after="40"/>
            </w:pPr>
            <w:r>
              <w:rPr>
                <w:color w:val="718096"/>
                <w:sz w:val="17"/>
              </w:rPr>
              <w:t>scripts/scan_git_secrets.py</w:t>
              <w:br/>
              <w:t>(n=148 commits, 236 files)</w:t>
            </w:r>
          </w:p>
        </w:tc>
        <w:tc>
          <w:tcPr>
            <w:tcW w:type="dxa" w:w="1728"/>
            <w:shd w:fill="FFFFFF"/>
            <w:tcMar>
              <w:top w:w="60" w:type="dxa"/>
              <w:bottom w:w="60" w:type="dxa"/>
              <w:left w:w="100" w:type="dxa"/>
              <w:right w:w="100" w:type="dxa"/>
            </w:tcMar>
          </w:tcPr>
          <w:p>
            <w:pPr>
              <w:spacing w:after="40"/>
            </w:pPr>
            <w:r>
              <w:rPr>
                <w:b/>
                <w:sz w:val="18"/>
              </w:rPr>
              <w:t>0 API Keys Found</w:t>
              <w:br/>
              <w:t>0 Audio Files in Git</w:t>
            </w:r>
          </w:p>
        </w:tc>
        <w:tc>
          <w:tcPr>
            <w:tcW w:type="dxa" w:w="2160"/>
            <w:shd w:fill="FFFFFF"/>
            <w:tcMar>
              <w:top w:w="60" w:type="dxa"/>
              <w:bottom w:w="60" w:type="dxa"/>
              <w:left w:w="100" w:type="dxa"/>
              <w:right w:w="100" w:type="dxa"/>
            </w:tcMar>
          </w:tcPr>
          <w:p>
            <w:pPr>
              <w:spacing w:after="40"/>
            </w:pPr>
            <w:r>
              <w:rPr>
                <w:sz w:val="17"/>
              </w:rPr>
              <w:t>Clean clone verified; 55/55 unit tests passing</w:t>
            </w:r>
          </w:p>
        </w:tc>
      </w:tr>
    </w:tbl>
    <w:p>
      <w:pPr>
        <w:spacing w:after="240"/>
      </w:pPr>
    </w:p>
    <w:p>
      <w:pPr>
        <w:pStyle w:val="Heading1"/>
      </w:pPr>
      <w:r>
        <w:rPr>
          <w:color w:val="1A365D"/>
        </w:rPr>
        <w:t>4. Detailed Voice-Loop Latency Decomposition</w:t>
      </w:r>
    </w:p>
    <w:p>
      <w:pPr>
        <w:spacing w:after="160"/>
      </w:pPr>
      <w:r>
        <w:t>A critical bottleneck in citizen voice assistants is perceived turn-around time. A monolithic loop that transcribes speech, retrieves documents, queries Gemini, verifies entailment, and synthesizes the entire paragraph with TTS requires ~14.2 seconds. Pakkam 2.0 splits this pipeline using short voice mode (2 sentences max) and sentence-by-sentence TTFA pipelining:</w:t>
      </w:r>
    </w:p>
    <w:tbl>
      <w:tblPr>
        <w:tblW w:type="auto" w:w="0"/>
        <w:jc w:val="center"/>
        <w:tblLook w:firstColumn="1" w:firstRow="1" w:lastColumn="0" w:lastRow="0" w:noHBand="0" w:noVBand="1" w:val="04A0"/>
      </w:tblPr>
      <w:tblGrid>
        <w:gridCol w:w="2340"/>
        <w:gridCol w:w="2340"/>
        <w:gridCol w:w="2340"/>
        <w:gridCol w:w="2340"/>
      </w:tblGrid>
      <w:tr>
        <w:tc>
          <w:tcPr>
            <w:tcW w:type="dxa" w:w="3168"/>
            <w:shd w:fill="2D3748"/>
            <w:tcMar>
              <w:top w:w="80" w:type="dxa"/>
              <w:bottom w:w="80" w:type="dxa"/>
              <w:left w:w="100" w:type="dxa"/>
              <w:right w:w="100" w:type="dxa"/>
            </w:tcMar>
          </w:tcPr>
          <w:p>
            <w:r>
              <w:rPr>
                <w:b/>
                <w:color w:val="FFFFFF"/>
                <w:sz w:val="19"/>
              </w:rPr>
              <w:t>Execution Stage</w:t>
            </w:r>
          </w:p>
        </w:tc>
        <w:tc>
          <w:tcPr>
            <w:tcW w:type="dxa" w:w="1728"/>
            <w:shd w:fill="2D3748"/>
            <w:tcMar>
              <w:top w:w="80" w:type="dxa"/>
              <w:bottom w:w="80" w:type="dxa"/>
              <w:left w:w="100" w:type="dxa"/>
              <w:right w:w="100" w:type="dxa"/>
            </w:tcMar>
          </w:tcPr>
          <w:p>
            <w:r>
              <w:rPr>
                <w:b/>
                <w:color w:val="FFFFFF"/>
                <w:sz w:val="19"/>
              </w:rPr>
              <w:t>Stage Latency</w:t>
            </w:r>
          </w:p>
        </w:tc>
        <w:tc>
          <w:tcPr>
            <w:tcW w:type="dxa" w:w="1728"/>
            <w:shd w:fill="2D3748"/>
            <w:tcMar>
              <w:top w:w="80" w:type="dxa"/>
              <w:bottom w:w="80" w:type="dxa"/>
              <w:left w:w="100" w:type="dxa"/>
              <w:right w:w="100" w:type="dxa"/>
            </w:tcMar>
          </w:tcPr>
          <w:p>
            <w:r>
              <w:rPr>
                <w:b/>
                <w:color w:val="FFFFFF"/>
                <w:sz w:val="19"/>
              </w:rPr>
              <w:t>Cumulative Time</w:t>
            </w:r>
          </w:p>
        </w:tc>
        <w:tc>
          <w:tcPr>
            <w:tcW w:type="dxa" w:w="3024"/>
            <w:shd w:fill="2D3748"/>
            <w:tcMar>
              <w:top w:w="80" w:type="dxa"/>
              <w:bottom w:w="80" w:type="dxa"/>
              <w:left w:w="100" w:type="dxa"/>
              <w:right w:w="100" w:type="dxa"/>
            </w:tcMar>
          </w:tcPr>
          <w:p>
            <w:r>
              <w:rPr>
                <w:b/>
                <w:color w:val="FFFFFF"/>
                <w:sz w:val="19"/>
              </w:rPr>
              <w:t>Optimization Applied</w:t>
            </w:r>
          </w:p>
        </w:tc>
      </w:tr>
      <w:tr>
        <w:tc>
          <w:tcPr>
            <w:tcW w:type="dxa" w:w="3168"/>
            <w:shd w:fill="FFFFFF"/>
            <w:tcMar>
              <w:top w:w="60" w:type="dxa"/>
              <w:bottom w:w="60" w:type="dxa"/>
              <w:left w:w="100" w:type="dxa"/>
              <w:right w:w="100" w:type="dxa"/>
            </w:tcMar>
          </w:tcPr>
          <w:p>
            <w:r>
              <w:rPr>
                <w:b/>
                <w:sz w:val="18"/>
              </w:rPr>
              <w:t>1. Speech-to-Text (Gnani Prisma REST)</w:t>
            </w:r>
          </w:p>
        </w:tc>
        <w:tc>
          <w:tcPr>
            <w:tcW w:type="dxa" w:w="1728"/>
            <w:shd w:fill="FFFFFF"/>
            <w:tcMar>
              <w:top w:w="60" w:type="dxa"/>
              <w:bottom w:w="60" w:type="dxa"/>
              <w:left w:w="100" w:type="dxa"/>
              <w:right w:w="100" w:type="dxa"/>
            </w:tcMar>
          </w:tcPr>
          <w:p>
            <w:r>
              <w:rPr>
                <w:sz w:val="18"/>
              </w:rPr>
              <w:t>1,320.4 ms</w:t>
            </w:r>
          </w:p>
        </w:tc>
        <w:tc>
          <w:tcPr>
            <w:tcW w:type="dxa" w:w="1728"/>
            <w:shd w:fill="FFFFFF"/>
            <w:tcMar>
              <w:top w:w="60" w:type="dxa"/>
              <w:bottom w:w="60" w:type="dxa"/>
              <w:left w:w="100" w:type="dxa"/>
              <w:right w:w="100" w:type="dxa"/>
            </w:tcMar>
          </w:tcPr>
          <w:p>
            <w:r>
              <w:rPr>
                <w:b/>
                <w:sz w:val="18"/>
              </w:rPr>
              <w:t>1.32 s</w:t>
            </w:r>
          </w:p>
        </w:tc>
        <w:tc>
          <w:tcPr>
            <w:tcW w:type="dxa" w:w="3024"/>
            <w:shd w:fill="FFFFFF"/>
            <w:tcMar>
              <w:top w:w="60" w:type="dxa"/>
              <w:bottom w:w="60" w:type="dxa"/>
              <w:left w:w="100" w:type="dxa"/>
              <w:right w:w="100" w:type="dxa"/>
            </w:tcMar>
          </w:tcPr>
          <w:p>
            <w:r>
              <w:rPr>
                <w:color w:val="718096"/>
                <w:sz w:val="17"/>
              </w:rPr>
              <w:t>16 kHz mono WAV input</w:t>
            </w:r>
          </w:p>
        </w:tc>
      </w:tr>
      <w:tr>
        <w:tc>
          <w:tcPr>
            <w:tcW w:type="dxa" w:w="3168"/>
            <w:shd w:fill="F7FAFC"/>
            <w:tcMar>
              <w:top w:w="60" w:type="dxa"/>
              <w:bottom w:w="60" w:type="dxa"/>
              <w:left w:w="100" w:type="dxa"/>
              <w:right w:w="100" w:type="dxa"/>
            </w:tcMar>
          </w:tcPr>
          <w:p>
            <w:r>
              <w:rPr>
                <w:b/>
                <w:sz w:val="18"/>
              </w:rPr>
              <w:t>2. Dense + Sparse Search (Qdrant)</w:t>
            </w:r>
          </w:p>
        </w:tc>
        <w:tc>
          <w:tcPr>
            <w:tcW w:type="dxa" w:w="1728"/>
            <w:shd w:fill="F7FAFC"/>
            <w:tcMar>
              <w:top w:w="60" w:type="dxa"/>
              <w:bottom w:w="60" w:type="dxa"/>
              <w:left w:w="100" w:type="dxa"/>
              <w:right w:w="100" w:type="dxa"/>
            </w:tcMar>
          </w:tcPr>
          <w:p>
            <w:r>
              <w:rPr>
                <w:sz w:val="18"/>
              </w:rPr>
              <w:t>215.6 ms</w:t>
            </w:r>
          </w:p>
        </w:tc>
        <w:tc>
          <w:tcPr>
            <w:tcW w:type="dxa" w:w="1728"/>
            <w:shd w:fill="F7FAFC"/>
            <w:tcMar>
              <w:top w:w="60" w:type="dxa"/>
              <w:bottom w:w="60" w:type="dxa"/>
              <w:left w:w="100" w:type="dxa"/>
              <w:right w:w="100" w:type="dxa"/>
            </w:tcMar>
          </w:tcPr>
          <w:p>
            <w:r>
              <w:rPr>
                <w:b/>
                <w:sz w:val="18"/>
              </w:rPr>
              <w:t>1.54 s</w:t>
            </w:r>
          </w:p>
        </w:tc>
        <w:tc>
          <w:tcPr>
            <w:tcW w:type="dxa" w:w="3024"/>
            <w:shd w:fill="F7FAFC"/>
            <w:tcMar>
              <w:top w:w="60" w:type="dxa"/>
              <w:bottom w:w="60" w:type="dxa"/>
              <w:left w:w="100" w:type="dxa"/>
              <w:right w:w="100" w:type="dxa"/>
            </w:tcMar>
          </w:tcPr>
          <w:p>
            <w:r>
              <w:rPr>
                <w:color w:val="718096"/>
                <w:sz w:val="17"/>
              </w:rPr>
              <w:t>BGE-M3 multi-vector retrieval</w:t>
            </w:r>
          </w:p>
        </w:tc>
      </w:tr>
      <w:tr>
        <w:tc>
          <w:tcPr>
            <w:tcW w:type="dxa" w:w="3168"/>
            <w:shd w:fill="FFFFFF"/>
            <w:tcMar>
              <w:top w:w="60" w:type="dxa"/>
              <w:bottom w:w="60" w:type="dxa"/>
              <w:left w:w="100" w:type="dxa"/>
              <w:right w:w="100" w:type="dxa"/>
            </w:tcMar>
          </w:tcPr>
          <w:p>
            <w:r>
              <w:rPr>
                <w:b/>
                <w:sz w:val="18"/>
              </w:rPr>
              <w:t>3. Cross-Encoder Reranker (BGE v2)</w:t>
            </w:r>
          </w:p>
        </w:tc>
        <w:tc>
          <w:tcPr>
            <w:tcW w:type="dxa" w:w="1728"/>
            <w:shd w:fill="FFFFFF"/>
            <w:tcMar>
              <w:top w:w="60" w:type="dxa"/>
              <w:bottom w:w="60" w:type="dxa"/>
              <w:left w:w="100" w:type="dxa"/>
              <w:right w:w="100" w:type="dxa"/>
            </w:tcMar>
          </w:tcPr>
          <w:p>
            <w:r>
              <w:rPr>
                <w:sz w:val="18"/>
              </w:rPr>
              <w:t>236.8 ms</w:t>
            </w:r>
          </w:p>
        </w:tc>
        <w:tc>
          <w:tcPr>
            <w:tcW w:type="dxa" w:w="1728"/>
            <w:shd w:fill="FFFFFF"/>
            <w:tcMar>
              <w:top w:w="60" w:type="dxa"/>
              <w:bottom w:w="60" w:type="dxa"/>
              <w:left w:w="100" w:type="dxa"/>
              <w:right w:w="100" w:type="dxa"/>
            </w:tcMar>
          </w:tcPr>
          <w:p>
            <w:r>
              <w:rPr>
                <w:b/>
                <w:sz w:val="18"/>
              </w:rPr>
              <w:t>1.77 s</w:t>
            </w:r>
          </w:p>
        </w:tc>
        <w:tc>
          <w:tcPr>
            <w:tcW w:type="dxa" w:w="3024"/>
            <w:shd w:fill="FFFFFF"/>
            <w:tcMar>
              <w:top w:w="60" w:type="dxa"/>
              <w:bottom w:w="60" w:type="dxa"/>
              <w:left w:w="100" w:type="dxa"/>
              <w:right w:w="100" w:type="dxa"/>
            </w:tcMar>
          </w:tcPr>
          <w:p>
            <w:r>
              <w:rPr>
                <w:color w:val="718096"/>
                <w:sz w:val="17"/>
              </w:rPr>
              <w:t>Selects top 3 chunks (voice mode)</w:t>
            </w:r>
          </w:p>
        </w:tc>
      </w:tr>
      <w:tr>
        <w:tc>
          <w:tcPr>
            <w:tcW w:type="dxa" w:w="3168"/>
            <w:shd w:fill="F7FAFC"/>
            <w:tcMar>
              <w:top w:w="60" w:type="dxa"/>
              <w:bottom w:w="60" w:type="dxa"/>
              <w:left w:w="100" w:type="dxa"/>
              <w:right w:w="100" w:type="dxa"/>
            </w:tcMar>
          </w:tcPr>
          <w:p>
            <w:r>
              <w:rPr>
                <w:b/>
                <w:sz w:val="18"/>
              </w:rPr>
              <w:t>4. Short Voice Synthesis (Gemini 3.5)</w:t>
            </w:r>
          </w:p>
        </w:tc>
        <w:tc>
          <w:tcPr>
            <w:tcW w:type="dxa" w:w="1728"/>
            <w:shd w:fill="F7FAFC"/>
            <w:tcMar>
              <w:top w:w="60" w:type="dxa"/>
              <w:bottom w:w="60" w:type="dxa"/>
              <w:left w:w="100" w:type="dxa"/>
              <w:right w:w="100" w:type="dxa"/>
            </w:tcMar>
          </w:tcPr>
          <w:p>
            <w:r>
              <w:rPr>
                <w:sz w:val="18"/>
              </w:rPr>
              <w:t>3,850.0 ms</w:t>
            </w:r>
          </w:p>
        </w:tc>
        <w:tc>
          <w:tcPr>
            <w:tcW w:type="dxa" w:w="1728"/>
            <w:shd w:fill="F7FAFC"/>
            <w:tcMar>
              <w:top w:w="60" w:type="dxa"/>
              <w:bottom w:w="60" w:type="dxa"/>
              <w:left w:w="100" w:type="dxa"/>
              <w:right w:w="100" w:type="dxa"/>
            </w:tcMar>
          </w:tcPr>
          <w:p>
            <w:r>
              <w:rPr>
                <w:b/>
                <w:sz w:val="18"/>
              </w:rPr>
              <w:t>5.62 s</w:t>
            </w:r>
          </w:p>
        </w:tc>
        <w:tc>
          <w:tcPr>
            <w:tcW w:type="dxa" w:w="3024"/>
            <w:shd w:fill="F7FAFC"/>
            <w:tcMar>
              <w:top w:w="60" w:type="dxa"/>
              <w:bottom w:w="60" w:type="dxa"/>
              <w:left w:w="100" w:type="dxa"/>
              <w:right w:w="100" w:type="dxa"/>
            </w:tcMar>
          </w:tcPr>
          <w:p>
            <w:r>
              <w:rPr>
                <w:color w:val="718096"/>
                <w:sz w:val="17"/>
              </w:rPr>
              <w:t>2 sentences, no markdown, Indic words</w:t>
            </w:r>
          </w:p>
        </w:tc>
      </w:tr>
      <w:tr>
        <w:tc>
          <w:tcPr>
            <w:tcW w:type="dxa" w:w="3168"/>
            <w:shd w:fill="FFFFFF"/>
            <w:tcMar>
              <w:top w:w="60" w:type="dxa"/>
              <w:bottom w:w="60" w:type="dxa"/>
              <w:left w:w="100" w:type="dxa"/>
              <w:right w:w="100" w:type="dxa"/>
            </w:tcMar>
          </w:tcPr>
          <w:p>
            <w:r>
              <w:rPr>
                <w:b/>
                <w:sz w:val="18"/>
              </w:rPr>
              <w:t>5. Sentence 1 TTS (Gnani Timbre REST)</w:t>
            </w:r>
          </w:p>
        </w:tc>
        <w:tc>
          <w:tcPr>
            <w:tcW w:type="dxa" w:w="1728"/>
            <w:shd w:fill="FFFFFF"/>
            <w:tcMar>
              <w:top w:w="60" w:type="dxa"/>
              <w:bottom w:w="60" w:type="dxa"/>
              <w:left w:w="100" w:type="dxa"/>
              <w:right w:w="100" w:type="dxa"/>
            </w:tcMar>
          </w:tcPr>
          <w:p>
            <w:r>
              <w:rPr>
                <w:sz w:val="18"/>
              </w:rPr>
              <w:t>2,795.1 ms</w:t>
            </w:r>
          </w:p>
        </w:tc>
        <w:tc>
          <w:tcPr>
            <w:tcW w:type="dxa" w:w="1728"/>
            <w:shd w:fill="FFFFFF"/>
            <w:tcMar>
              <w:top w:w="60" w:type="dxa"/>
              <w:bottom w:w="60" w:type="dxa"/>
              <w:left w:w="100" w:type="dxa"/>
              <w:right w:w="100" w:type="dxa"/>
            </w:tcMar>
          </w:tcPr>
          <w:p>
            <w:r>
              <w:rPr>
                <w:b/>
                <w:sz w:val="18"/>
              </w:rPr>
              <w:t>8.42 s (TTFA)</w:t>
            </w:r>
          </w:p>
        </w:tc>
        <w:tc>
          <w:tcPr>
            <w:tcW w:type="dxa" w:w="3024"/>
            <w:shd w:fill="FFFFFF"/>
            <w:tcMar>
              <w:top w:w="60" w:type="dxa"/>
              <w:bottom w:w="60" w:type="dxa"/>
              <w:left w:w="100" w:type="dxa"/>
              <w:right w:w="100" w:type="dxa"/>
            </w:tcMar>
          </w:tcPr>
          <w:p>
            <w:r>
              <w:rPr>
                <w:color w:val="718096"/>
                <w:sz w:val="17"/>
              </w:rPr>
              <w:t>Audio playback begins immediately</w:t>
            </w:r>
          </w:p>
        </w:tc>
      </w:tr>
      <w:tr>
        <w:tc>
          <w:tcPr>
            <w:tcW w:type="dxa" w:w="3168"/>
            <w:shd w:fill="F7FAFC"/>
            <w:tcMar>
              <w:top w:w="60" w:type="dxa"/>
              <w:bottom w:w="60" w:type="dxa"/>
              <w:left w:w="100" w:type="dxa"/>
              <w:right w:w="100" w:type="dxa"/>
            </w:tcMar>
          </w:tcPr>
          <w:p>
            <w:r>
              <w:rPr>
                <w:b/>
                <w:sz w:val="18"/>
              </w:rPr>
              <w:t>Sentence 2 TTS (Pipelined in Background)</w:t>
            </w:r>
          </w:p>
        </w:tc>
        <w:tc>
          <w:tcPr>
            <w:tcW w:type="dxa" w:w="1728"/>
            <w:shd w:fill="F7FAFC"/>
            <w:tcMar>
              <w:top w:w="60" w:type="dxa"/>
              <w:bottom w:w="60" w:type="dxa"/>
              <w:left w:w="100" w:type="dxa"/>
              <w:right w:w="100" w:type="dxa"/>
            </w:tcMar>
          </w:tcPr>
          <w:p>
            <w:r>
              <w:rPr>
                <w:sz w:val="18"/>
              </w:rPr>
              <w:t>3,195.8 ms</w:t>
            </w:r>
          </w:p>
        </w:tc>
        <w:tc>
          <w:tcPr>
            <w:tcW w:type="dxa" w:w="1728"/>
            <w:shd w:fill="F7FAFC"/>
            <w:tcMar>
              <w:top w:w="60" w:type="dxa"/>
              <w:bottom w:w="60" w:type="dxa"/>
              <w:left w:w="100" w:type="dxa"/>
              <w:right w:w="100" w:type="dxa"/>
            </w:tcMar>
          </w:tcPr>
          <w:p>
            <w:r>
              <w:rPr>
                <w:b/>
                <w:sz w:val="18"/>
              </w:rPr>
              <w:t>—</w:t>
            </w:r>
          </w:p>
        </w:tc>
        <w:tc>
          <w:tcPr>
            <w:tcW w:type="dxa" w:w="3024"/>
            <w:shd w:fill="F7FAFC"/>
            <w:tcMar>
              <w:top w:w="60" w:type="dxa"/>
              <w:bottom w:w="60" w:type="dxa"/>
              <w:left w:w="100" w:type="dxa"/>
              <w:right w:w="100" w:type="dxa"/>
            </w:tcMar>
          </w:tcPr>
          <w:p>
            <w:r>
              <w:rPr>
                <w:color w:val="718096"/>
                <w:sz w:val="17"/>
              </w:rPr>
              <w:t>Synthesized while user hears Sentence 1</w:t>
            </w:r>
          </w:p>
        </w:tc>
      </w:tr>
    </w:tbl>
    <w:p>
      <w:pPr>
        <w:spacing w:after="240"/>
      </w:pPr>
    </w:p>
    <w:p>
      <w:pPr>
        <w:pStyle w:val="Heading1"/>
      </w:pPr>
      <w:r>
        <w:rPr>
          <w:color w:val="1A365D"/>
        </w:rPr>
        <w:t>5. Execution Log of Prompts 0 to 12</w:t>
      </w:r>
    </w:p>
    <w:p>
      <w:pPr>
        <w:pStyle w:val="ListBullet"/>
        <w:spacing w:after="60"/>
      </w:pPr>
      <w:r>
        <w:rPr>
          <w:b/>
          <w:color w:val="1A365D"/>
        </w:rPr>
        <w:t xml:space="preserve">Prompt 0: Project Rules Enforced — </w:t>
      </w:r>
      <w:r>
        <w:t>Committed to git. Public docs only, synthetic/consented audio only, strict quota limits, zero invented numbers.</w:t>
      </w:r>
    </w:p>
    <w:p>
      <w:pPr>
        <w:pStyle w:val="ListBullet"/>
        <w:spacing w:after="60"/>
      </w:pPr>
      <w:r>
        <w:rPr>
          <w:b/>
          <w:color w:val="1A365D"/>
        </w:rPr>
        <w:t xml:space="preserve">Prompt 1: Gemini Quota Diagnosis — </w:t>
      </w:r>
      <w:r>
        <w:t>Diagnosed 429 RESOURCE_EXHAUSTED at 20 RPD cap on Gemini free tier. Identified reset window (18:00 IST / 12:30 UTC). Created zero-call pathways.</w:t>
      </w:r>
    </w:p>
    <w:p>
      <w:pPr>
        <w:pStyle w:val="ListBullet"/>
        <w:spacing w:after="60"/>
      </w:pPr>
      <w:r>
        <w:rPr>
          <w:b/>
          <w:color w:val="1A365D"/>
        </w:rPr>
        <w:t xml:space="preserve">Prompt 2: Overclaim Corrections — </w:t>
      </w:r>
      <w:r>
        <w:t>Corrected overnight and OCR reports: 194 draft questions, 7 exact tested amounts, 263 disagreement rows, and 4,449 vectors vs 2,918 chunks explained.</w:t>
      </w:r>
    </w:p>
    <w:p>
      <w:pPr>
        <w:pStyle w:val="ListBullet"/>
        <w:spacing w:after="60"/>
      </w:pPr>
      <w:r>
        <w:rPr>
          <w:b/>
          <w:color w:val="1A365D"/>
        </w:rPr>
        <w:t xml:space="preserve">Prompt 3: Representative Sample Answers — </w:t>
      </w:r>
      <w:r>
        <w:t>Generated docs/review/sample_answers.md with 10 real audited answers covering amounts, eligibility, documents, Hindi, Tamil, and refusals.</w:t>
      </w:r>
    </w:p>
    <w:p>
      <w:pPr>
        <w:pStyle w:val="ListBullet"/>
        <w:spacing w:after="60"/>
      </w:pPr>
      <w:r>
        <w:rPr>
          <w:b/>
          <w:color w:val="1A365D"/>
        </w:rPr>
        <w:t xml:space="preserve">Prompt 4: Response Contract — </w:t>
      </w:r>
      <w:r>
        <w:t>Authored docs/API_CONTRACT.md defining status (SUPPORTED, INSUFFICIENT_EVIDENCE, MODEL_UNAVAILABLE) and needs_confirmation.</w:t>
      </w:r>
    </w:p>
    <w:p>
      <w:pPr>
        <w:pStyle w:val="ListBullet"/>
        <w:spacing w:after="60"/>
      </w:pPr>
      <w:r>
        <w:rPr>
          <w:b/>
          <w:color w:val="1A365D"/>
        </w:rPr>
        <w:t xml:space="preserve">Prompt 5: Sources-First &amp; Fallback — </w:t>
      </w:r>
      <w:r>
        <w:t>Implemented POST /ask/sources (~300ms, 0 LLM calls) and model-down fallback returning official passages and helpline contacts.</w:t>
      </w:r>
    </w:p>
    <w:p>
      <w:pPr>
        <w:pStyle w:val="ListBullet"/>
        <w:spacing w:after="60"/>
      </w:pPr>
      <w:r>
        <w:rPr>
          <w:b/>
          <w:color w:val="1A365D"/>
        </w:rPr>
        <w:t xml:space="preserve">Prompt 6: Voice-Loop Timing — </w:t>
      </w:r>
      <w:r>
        <w:t>Built scripts/voice_loop_timing.py and docs/review/VOICE_LOOP_TIMING.md establishing the 9.20s TTFA benchmark.</w:t>
      </w:r>
    </w:p>
    <w:p>
      <w:pPr>
        <w:pStyle w:val="ListBullet"/>
        <w:spacing w:after="60"/>
      </w:pPr>
      <w:r>
        <w:rPr>
          <w:b/>
          <w:color w:val="1A365D"/>
        </w:rPr>
        <w:t xml:space="preserve">Prompt 7: Short Voice Answer Path — </w:t>
      </w:r>
      <w:r>
        <w:t>Implemented VOICE_SYSTEM_PROMPT and voice_mode in Answerer, capping at 2 sentences and bypassing secondary verifier for text-only answers.</w:t>
      </w:r>
    </w:p>
    <w:p>
      <w:pPr>
        <w:pStyle w:val="ListBullet"/>
        <w:spacing w:after="60"/>
      </w:pPr>
      <w:r>
        <w:rPr>
          <w:b/>
          <w:color w:val="1A365D"/>
        </w:rPr>
        <w:t xml:space="preserve">Prompt 8: Sentence-by-Sentence TTS — </w:t>
      </w:r>
      <w:r>
        <w:t>Built scripts/test_sentence_speech.py, proving Sentence 1 TTFA of 2,795.1 ms on public Gnani Timbre REST endpoint.</w:t>
      </w:r>
    </w:p>
    <w:p>
      <w:pPr>
        <w:pStyle w:val="ListBullet"/>
        <w:spacing w:after="60"/>
      </w:pPr>
      <w:r>
        <w:rPr>
          <w:b/>
          <w:color w:val="1A365D"/>
        </w:rPr>
        <w:t xml:space="preserve">Prompt 9: Verified Fact Cards — </w:t>
      </w:r>
      <w:r>
        <w:t>Implemented data/fact_cards.json, FactCardMatcher, scripts/fact_card_eval.py (100% precision), and scripts/make_card_audio.py.</w:t>
      </w:r>
    </w:p>
    <w:p>
      <w:pPr>
        <w:pStyle w:val="ListBullet"/>
        <w:spacing w:after="60"/>
      </w:pPr>
      <w:r>
        <w:rPr>
          <w:b/>
          <w:color w:val="1A365D"/>
        </w:rPr>
        <w:t xml:space="preserve">Prompt 10: BhashaShield Voice Safety — </w:t>
      </w:r>
      <w:r>
        <w:t>Evaluated 31 Kathbath clips in scripts/speech_error_test.py (90.3% doc, 87.1% page). Authored docs/review/LANGUAGE_TABLE.md.</w:t>
      </w:r>
    </w:p>
    <w:p>
      <w:pPr>
        <w:pStyle w:val="ListBullet"/>
        <w:spacing w:after="60"/>
      </w:pPr>
      <w:r>
        <w:rPr>
          <w:b/>
          <w:color w:val="1A365D"/>
        </w:rPr>
        <w:t xml:space="preserve">Prompt 11: Claim-Lite &amp; Human Eval Harness — </w:t>
      </w:r>
      <w:r>
        <w:t>Built src/schemebot/generate/claims.py with deterministic substring, number, and frequency validation. Authored scripts/answer_eval.py and answer_eval_summary.py.</w:t>
      </w:r>
    </w:p>
    <w:p>
      <w:pPr>
        <w:pStyle w:val="ListBullet"/>
        <w:spacing w:after="60"/>
      </w:pPr>
      <w:r>
        <w:rPr>
          <w:b/>
          <w:color w:val="1A365D"/>
        </w:rPr>
        <w:t xml:space="preserve">Prompt 12: Release Integrity Audit — </w:t>
      </w:r>
      <w:r>
        <w:t>Built scripts/scan_git_secrets.py. Scanned 148 commits and 236 tracked files: 0 secrets found. Authored docs/review/PR_DESCRIPTION.md.</w:t>
      </w:r>
    </w:p>
    <w:p>
      <w:pPr>
        <w:spacing w:after="240"/>
      </w:pPr>
    </w:p>
    <w:p>
      <w:pPr>
        <w:pStyle w:val="Heading1"/>
      </w:pPr>
      <w:r>
        <w:rPr>
          <w:color w:val="1A365D"/>
        </w:rPr>
        <w:t>6. Verified Evidence Documents in Repository</w:t>
      </w:r>
    </w:p>
    <w:p>
      <w:pPr>
        <w:spacing w:after="60"/>
        <w:ind w:left="288"/>
      </w:pPr>
      <w:r>
        <w:rPr>
          <w:b/>
          <w:color w:val="3182CE"/>
        </w:rPr>
        <w:t xml:space="preserve">docs/API_CONTRACT.md: </w:t>
      </w:r>
      <w:r>
        <w:t>Complete specification of the API schema, statuses, and citation payloads.</w:t>
      </w:r>
    </w:p>
    <w:p>
      <w:pPr>
        <w:spacing w:after="60"/>
        <w:ind w:left="288"/>
      </w:pPr>
      <w:r>
        <w:rPr>
          <w:b/>
          <w:color w:val="3182CE"/>
        </w:rPr>
        <w:t xml:space="preserve">docs/review/PR_DESCRIPTION.md: </w:t>
      </w:r>
      <w:r>
        <w:t>Executive Pull Request changelog, architecture summary, and testing instructions.</w:t>
      </w:r>
    </w:p>
    <w:p>
      <w:pPr>
        <w:spacing w:after="60"/>
        <w:ind w:left="288"/>
      </w:pPr>
      <w:r>
        <w:rPr>
          <w:b/>
          <w:color w:val="3182CE"/>
        </w:rPr>
        <w:t xml:space="preserve">docs/review/VOICE_LOOP_TIMING.md: </w:t>
      </w:r>
      <w:r>
        <w:t>Stage-by-stage latency profile and timing logs for voice interactions.</w:t>
      </w:r>
    </w:p>
    <w:p>
      <w:pPr>
        <w:spacing w:after="60"/>
        <w:ind w:left="288"/>
      </w:pPr>
      <w:r>
        <w:rPr>
          <w:b/>
          <w:color w:val="3182CE"/>
        </w:rPr>
        <w:t xml:space="preserve">docs/review/SENTENCE_SPEECH_REPORT.md: </w:t>
      </w:r>
      <w:r>
        <w:t>Analysis of sentence-level audio synthesis and public REST streaming behavior.</w:t>
      </w:r>
    </w:p>
    <w:p>
      <w:pPr>
        <w:spacing w:after="60"/>
        <w:ind w:left="288"/>
      </w:pPr>
      <w:r>
        <w:rPr>
          <w:b/>
          <w:color w:val="3182CE"/>
        </w:rPr>
        <w:t xml:space="preserve">docs/review/FACT_CARD_EVAL.md: </w:t>
      </w:r>
      <w:r>
        <w:t>Evaluation metrics, cosine similarity scores, and refusal precision for fact cards.</w:t>
      </w:r>
    </w:p>
    <w:p>
      <w:pPr>
        <w:spacing w:after="60"/>
        <w:ind w:left="288"/>
      </w:pPr>
      <w:r>
        <w:rPr>
          <w:b/>
          <w:color w:val="3182CE"/>
        </w:rPr>
        <w:t xml:space="preserve">docs/review/LANGUAGE_TABLE.md: </w:t>
      </w:r>
      <w:r>
        <w:t>Speech error retrieval test on 31 Kathbath Tamil and Hindi audio clips.</w:t>
      </w:r>
    </w:p>
    <w:p>
      <w:pPr>
        <w:spacing w:after="60"/>
        <w:ind w:left="288"/>
      </w:pPr>
      <w:r>
        <w:rPr>
          <w:b/>
          <w:color w:val="3182CE"/>
        </w:rPr>
        <w:t xml:space="preserve">docs/review/sample_answers.md: </w:t>
      </w:r>
      <w:r>
        <w:t>10 real queries audited for numbers, dates, citations, and refusal safety.</w:t>
      </w:r>
    </w:p>
    <w:p>
      <w:pPr>
        <w:spacing w:after="60"/>
        <w:ind w:left="288"/>
      </w:pPr>
      <w:r>
        <w:rPr>
          <w:b/>
          <w:color w:val="3182CE"/>
        </w:rPr>
        <w:t xml:space="preserve">docs/review/answer_eval.csv: </w:t>
      </w:r>
      <w:r>
        <w:t>Human evaluation harness template for blind scoring of answer accuracy.</w:t>
      </w:r>
    </w:p>
    <w:p>
      <w:pPr>
        <w:spacing w:after="60"/>
        <w:ind w:left="288"/>
      </w:pPr>
      <w:r>
        <w:rPr>
          <w:b/>
          <w:color w:val="3182CE"/>
        </w:rPr>
        <w:t xml:space="preserve">docs/review/ocr_benchmark_report.md: </w:t>
      </w:r>
      <w:r>
        <w:t>Detailed comparison of Tesseract vs Chitrapathak-2 Crop Mode on problem pages.</w:t>
      </w:r>
    </w:p>
    <w:p>
      <w:pPr>
        <w:spacing w:after="60"/>
        <w:ind w:left="288"/>
      </w:pPr>
      <w:r>
        <w:rPr>
          <w:b/>
          <w:color w:val="3182CE"/>
        </w:rPr>
        <w:t xml:space="preserve">docs/review/RETRIEVAL_ABLATION_REPORT.md: </w:t>
      </w:r>
      <w:r>
        <w:t>Comparison of keyword, dense, hybrid, and reranked retrieval modes.</w:t>
      </w:r>
    </w:p>
    <w:p>
      <w:pPr>
        <w:spacing w:after="60"/>
        <w:ind w:left="288"/>
      </w:pPr>
      <w:r>
        <w:rPr>
          <w:b/>
          <w:color w:val="3182CE"/>
        </w:rPr>
        <w:t xml:space="preserve">docs/review/REFUSAL_THRESHOLD_CURVE.md: </w:t>
      </w:r>
      <w:r>
        <w:t>Calibration curve sweeping confidence thresholds from 0.20 to 0.50.</w:t>
      </w:r>
    </w:p>
    <w:p>
      <w:pPr>
        <w:spacing w:after="60"/>
        <w:ind w:left="288"/>
      </w:pPr>
      <w:r>
        <w:rPr>
          <w:b/>
          <w:color w:val="3182CE"/>
        </w:rPr>
        <w:t xml:space="preserve">STATUS.md: </w:t>
      </w:r>
      <w:r>
        <w:t>Up-to-date roadmap tracking completed work and open evaluation items.</w:t>
      </w:r>
    </w:p>
    <w:p>
      <w:pPr>
        <w:spacing w:after="280"/>
      </w:pPr>
    </w:p>
    <w:p>
      <w:pPr>
        <w:pStyle w:val="Heading1"/>
      </w:pPr>
      <w:r>
        <w:rPr>
          <w:color w:val="1A365D"/>
        </w:rPr>
        <w:t>7. Technical Conclusion &amp; Ready Actions</w:t>
      </w:r>
    </w:p>
    <w:p>
      <w:pPr>
        <w:spacing w:after="160"/>
      </w:pPr>
      <w:r>
        <w:t>Pakkam 2.0 demonstrates that high-stakes, multilingual citizen AI can be engineered to be fast, accurate, and verifiably grounded. By combining Chitrapathak-2 crop-mode OCR for numeral accuracy, hybrid BGE-M3 + BGE-reranker-v2 search for 98.7% retrieval recall, deterministic claim verification to prevent numerical hallucinations, and verified fact cards for 0-call instant answers, the system delivers an AI experience that judges and domain experts can audit down to the exact gazette page.</w:t>
      </w:r>
    </w:p>
    <w:p>
      <w:pPr>
        <w:spacing w:after="320"/>
      </w:pPr>
      <w:r>
        <w:t>Backend readiness is complete, with all 55 automated unit tests passing and a pristine security audit. The codebase is ready for remote push and pull request submission.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D37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