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7737C" w14:textId="50C2EE0F" w:rsidR="00C15521" w:rsidRDefault="00546D30" w:rsidP="00546D30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VALIC ONLINE</w:t>
      </w:r>
    </w:p>
    <w:p w14:paraId="14DB7B3A" w14:textId="77777777" w:rsidR="00546D30" w:rsidRDefault="00546D30" w:rsidP="00546D30">
      <w:pPr>
        <w:rPr>
          <w:rFonts w:ascii="Arial" w:hAnsi="Arial" w:cs="Arial"/>
          <w:sz w:val="20"/>
          <w:szCs w:val="20"/>
          <w:lang w:val="en-US"/>
        </w:rPr>
      </w:pPr>
    </w:p>
    <w:p w14:paraId="5CC3B48A" w14:textId="1310FEF2" w:rsidR="003120A4" w:rsidRPr="003120A4" w:rsidRDefault="003120A4" w:rsidP="00546D3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Overview:</w:t>
      </w:r>
    </w:p>
    <w:p w14:paraId="732D6874" w14:textId="5FD72C19" w:rsidR="007072AF" w:rsidRDefault="007072AF" w:rsidP="00546D30">
      <w:pPr>
        <w:rPr>
          <w:rFonts w:ascii="Arial" w:hAnsi="Arial" w:cs="Arial"/>
          <w:sz w:val="20"/>
          <w:szCs w:val="20"/>
          <w:lang w:val="en-US"/>
        </w:rPr>
      </w:pPr>
      <w:r w:rsidRPr="007072AF">
        <w:rPr>
          <w:rFonts w:ascii="Arial" w:hAnsi="Arial" w:cs="Arial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>ALIC</w:t>
      </w:r>
      <w:r w:rsidRPr="007072AF">
        <w:rPr>
          <w:rFonts w:ascii="Arial" w:hAnsi="Arial" w:cs="Arial"/>
          <w:sz w:val="20"/>
          <w:szCs w:val="20"/>
          <w:lang w:val="en-US"/>
        </w:rPr>
        <w:t xml:space="preserve"> Online</w:t>
      </w:r>
      <w:r w:rsidR="001E452B">
        <w:rPr>
          <w:rFonts w:ascii="Arial" w:hAnsi="Arial" w:cs="Arial"/>
          <w:sz w:val="20"/>
          <w:szCs w:val="20"/>
          <w:lang w:val="en-US"/>
        </w:rPr>
        <w:t xml:space="preserve"> (VOL) </w:t>
      </w:r>
      <w:r w:rsidRPr="007072AF">
        <w:rPr>
          <w:rFonts w:ascii="Arial" w:hAnsi="Arial" w:cs="Arial"/>
          <w:sz w:val="20"/>
          <w:szCs w:val="20"/>
          <w:lang w:val="en-US"/>
        </w:rPr>
        <w:t>is a popular online platform in the United States, primarily used for managing retirement savings accounts. It's a tool designed to provide individuals and businesses with easy access to their retirement plans, allowing them to track investments, make changes, and access important information.</w:t>
      </w:r>
    </w:p>
    <w:p w14:paraId="4EA52ABD" w14:textId="6D3D36C9" w:rsidR="00546D30" w:rsidRDefault="001E452B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</w:t>
      </w:r>
      <w:r w:rsidR="00546D30">
        <w:rPr>
          <w:rFonts w:ascii="Arial" w:hAnsi="Arial" w:cs="Arial"/>
          <w:sz w:val="20"/>
          <w:szCs w:val="20"/>
          <w:lang w:val="en-US"/>
        </w:rPr>
        <w:t xml:space="preserve">is </w:t>
      </w: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="00546D30">
        <w:rPr>
          <w:rFonts w:ascii="Arial" w:hAnsi="Arial" w:cs="Arial"/>
          <w:sz w:val="20"/>
          <w:szCs w:val="20"/>
          <w:lang w:val="en-US"/>
        </w:rPr>
        <w:t>client facing system used by clients and VALIC employees to manage their accounts. A participant having an active Annuity or Mutual fund account can login to VALIC Online to view their account details.</w:t>
      </w:r>
      <w:r w:rsidR="00D41BF5">
        <w:rPr>
          <w:rFonts w:ascii="Arial" w:hAnsi="Arial" w:cs="Arial"/>
          <w:sz w:val="20"/>
          <w:szCs w:val="20"/>
          <w:lang w:val="en-US"/>
        </w:rPr>
        <w:t xml:space="preserve"> The Valic Digital project</w:t>
      </w:r>
      <w:r w:rsidR="00855F43">
        <w:rPr>
          <w:rFonts w:ascii="Arial" w:hAnsi="Arial" w:cs="Arial"/>
          <w:sz w:val="20"/>
          <w:szCs w:val="20"/>
          <w:lang w:val="en-US"/>
        </w:rPr>
        <w:t xml:space="preserve"> will enable VALIC to digitally transform its business by providing</w:t>
      </w:r>
      <w:r w:rsidR="00861138">
        <w:rPr>
          <w:rFonts w:ascii="Arial" w:hAnsi="Arial" w:cs="Arial"/>
          <w:sz w:val="20"/>
          <w:szCs w:val="20"/>
          <w:lang w:val="en-US"/>
        </w:rPr>
        <w:t xml:space="preserve"> its customers such as participants, CSPs, financial advisors to engage and benefit from a more efficient and digitally enabled fashion.</w:t>
      </w:r>
    </w:p>
    <w:p w14:paraId="32A905A4" w14:textId="77777777" w:rsidR="0017450E" w:rsidRDefault="0017450E" w:rsidP="00546D30">
      <w:pPr>
        <w:rPr>
          <w:rFonts w:ascii="Arial" w:hAnsi="Arial" w:cs="Arial"/>
          <w:sz w:val="20"/>
          <w:szCs w:val="20"/>
          <w:lang w:val="en-US"/>
        </w:rPr>
      </w:pPr>
    </w:p>
    <w:p w14:paraId="1D86C537" w14:textId="7D28981D" w:rsidR="00861138" w:rsidRDefault="0017450E" w:rsidP="00546D30">
      <w:pPr>
        <w:rPr>
          <w:rFonts w:ascii="Arial" w:hAnsi="Arial" w:cs="Arial"/>
          <w:sz w:val="20"/>
          <w:szCs w:val="20"/>
          <w:lang w:val="en-US"/>
        </w:rPr>
      </w:pPr>
      <w:r w:rsidRPr="0017450E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96094A3" wp14:editId="3C7E9364">
            <wp:extent cx="5731510" cy="2560955"/>
            <wp:effectExtent l="0" t="0" r="2540" b="0"/>
            <wp:docPr id="1317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B19A" w14:textId="77777777" w:rsidR="0017450E" w:rsidRDefault="0017450E" w:rsidP="00546D30">
      <w:pPr>
        <w:rPr>
          <w:rFonts w:ascii="Arial" w:hAnsi="Arial" w:cs="Arial"/>
          <w:sz w:val="20"/>
          <w:szCs w:val="20"/>
          <w:lang w:val="en-US"/>
        </w:rPr>
      </w:pPr>
    </w:p>
    <w:p w14:paraId="480AE460" w14:textId="72CE222B" w:rsidR="003120A4" w:rsidRDefault="003120A4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Purpose:</w:t>
      </w:r>
    </w:p>
    <w:p w14:paraId="05B2FDCC" w14:textId="545A4843" w:rsidR="003120A4" w:rsidRDefault="003120A4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VALIC Online (VOL) is an </w:t>
      </w:r>
      <w:r w:rsidR="00CA7703">
        <w:rPr>
          <w:rFonts w:ascii="Arial" w:hAnsi="Arial" w:cs="Arial"/>
          <w:sz w:val="20"/>
          <w:szCs w:val="20"/>
          <w:lang w:val="en-US"/>
        </w:rPr>
        <w:t>internet-based</w:t>
      </w:r>
      <w:r>
        <w:rPr>
          <w:rFonts w:ascii="Arial" w:hAnsi="Arial" w:cs="Arial"/>
          <w:sz w:val="20"/>
          <w:szCs w:val="20"/>
          <w:lang w:val="en-US"/>
        </w:rPr>
        <w:t xml:space="preserve"> application. VOL</w:t>
      </w:r>
      <w:r w:rsidR="00455F33">
        <w:rPr>
          <w:rFonts w:ascii="Arial" w:hAnsi="Arial" w:cs="Arial"/>
          <w:sz w:val="20"/>
          <w:szCs w:val="20"/>
          <w:lang w:val="en-US"/>
        </w:rPr>
        <w:t xml:space="preserve"> has a high business criticality because of the level of usage of this application. VALIC has a large number of clients </w:t>
      </w:r>
      <w:r w:rsidR="00C024D3">
        <w:rPr>
          <w:rFonts w:ascii="Arial" w:hAnsi="Arial" w:cs="Arial"/>
          <w:sz w:val="20"/>
          <w:szCs w:val="20"/>
          <w:lang w:val="en-US"/>
        </w:rPr>
        <w:t>and a significant number of them are using this application for account checking and online transactions.</w:t>
      </w:r>
    </w:p>
    <w:p w14:paraId="130F6680" w14:textId="77777777" w:rsidR="00A46E73" w:rsidRDefault="00A46E73" w:rsidP="00A46E73">
      <w:pPr>
        <w:rPr>
          <w:rFonts w:ascii="Arial" w:hAnsi="Arial" w:cs="Arial"/>
          <w:b/>
          <w:bCs/>
          <w:sz w:val="20"/>
          <w:szCs w:val="20"/>
        </w:rPr>
      </w:pPr>
    </w:p>
    <w:p w14:paraId="18B192BE" w14:textId="0C1EC244" w:rsidR="00A46E73" w:rsidRPr="00A46E73" w:rsidRDefault="00A46E73" w:rsidP="00A46E73">
      <w:pPr>
        <w:rPr>
          <w:rFonts w:ascii="Arial" w:hAnsi="Arial" w:cs="Arial"/>
          <w:b/>
          <w:bCs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Key Features and Benefits</w:t>
      </w:r>
    </w:p>
    <w:p w14:paraId="6F5744BC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Account Access and Management:</w:t>
      </w:r>
      <w:r w:rsidRPr="00A46E73">
        <w:rPr>
          <w:rFonts w:ascii="Arial" w:hAnsi="Arial" w:cs="Arial"/>
          <w:sz w:val="20"/>
          <w:szCs w:val="20"/>
        </w:rPr>
        <w:t xml:space="preserve"> Users can log in to view their account balance, investment performance, and contribution history.</w:t>
      </w:r>
    </w:p>
    <w:p w14:paraId="01F4C59B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Investment Options:</w:t>
      </w:r>
      <w:r w:rsidRPr="00A46E73">
        <w:rPr>
          <w:rFonts w:ascii="Arial" w:hAnsi="Arial" w:cs="Arial"/>
          <w:sz w:val="20"/>
          <w:szCs w:val="20"/>
        </w:rPr>
        <w:t xml:space="preserve"> Valic Online typically offers a variety of investment options, including stocks, bonds, mutual funds, and annuities.</w:t>
      </w:r>
    </w:p>
    <w:p w14:paraId="264D6E9A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Contribution and Withdrawal:</w:t>
      </w:r>
      <w:r w:rsidRPr="00A46E73">
        <w:rPr>
          <w:rFonts w:ascii="Arial" w:hAnsi="Arial" w:cs="Arial"/>
          <w:sz w:val="20"/>
          <w:szCs w:val="20"/>
        </w:rPr>
        <w:t xml:space="preserve"> Users can make contributions to their retirement accounts and request withdrawals, subject to applicable rules and regulations.</w:t>
      </w:r>
    </w:p>
    <w:p w14:paraId="0398D2A2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Loan Options:</w:t>
      </w:r>
      <w:r w:rsidRPr="00A46E73">
        <w:rPr>
          <w:rFonts w:ascii="Arial" w:hAnsi="Arial" w:cs="Arial"/>
          <w:sz w:val="20"/>
          <w:szCs w:val="20"/>
        </w:rPr>
        <w:t xml:space="preserve"> In some cases, users may be able to take loans from their retirement accounts, though this is generally subject to restrictions and may have tax implications.</w:t>
      </w:r>
    </w:p>
    <w:p w14:paraId="18D53C50" w14:textId="2EBFB8BC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Online Enrol</w:t>
      </w:r>
      <w:r>
        <w:rPr>
          <w:rFonts w:ascii="Arial" w:hAnsi="Arial" w:cs="Arial"/>
          <w:b/>
          <w:bCs/>
          <w:sz w:val="20"/>
          <w:szCs w:val="20"/>
        </w:rPr>
        <w:t>l</w:t>
      </w:r>
      <w:r w:rsidRPr="00A46E73">
        <w:rPr>
          <w:rFonts w:ascii="Arial" w:hAnsi="Arial" w:cs="Arial"/>
          <w:b/>
          <w:bCs/>
          <w:sz w:val="20"/>
          <w:szCs w:val="20"/>
        </w:rPr>
        <w:t>ment:</w:t>
      </w:r>
      <w:r w:rsidRPr="00A46E73">
        <w:rPr>
          <w:rFonts w:ascii="Arial" w:hAnsi="Arial" w:cs="Arial"/>
          <w:sz w:val="20"/>
          <w:szCs w:val="20"/>
        </w:rPr>
        <w:t xml:space="preserve"> For employers offering Valic retirement plans, employees may be able to enroll or make changes to their accounts online.</w:t>
      </w:r>
    </w:p>
    <w:p w14:paraId="47778A06" w14:textId="77777777" w:rsid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Educational Resources:</w:t>
      </w:r>
      <w:r w:rsidRPr="00A46E73">
        <w:rPr>
          <w:rFonts w:ascii="Arial" w:hAnsi="Arial" w:cs="Arial"/>
          <w:sz w:val="20"/>
          <w:szCs w:val="20"/>
        </w:rPr>
        <w:t xml:space="preserve"> Valic Online often provides educational resources, such as articles, videos, and calculators, to help users understand retirement planning concepts.</w:t>
      </w:r>
    </w:p>
    <w:p w14:paraId="20475EDB" w14:textId="77777777" w:rsidR="00A46E73" w:rsidRDefault="00A46E73" w:rsidP="00A46E73">
      <w:pPr>
        <w:rPr>
          <w:rFonts w:ascii="Arial" w:hAnsi="Arial" w:cs="Arial"/>
          <w:sz w:val="20"/>
          <w:szCs w:val="20"/>
        </w:rPr>
      </w:pPr>
    </w:p>
    <w:p w14:paraId="6B421635" w14:textId="5DE21762" w:rsidR="00A46E73" w:rsidRDefault="00E44803" w:rsidP="00A46E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 helps the customer by making their account</w:t>
      </w:r>
      <w:r w:rsidR="00133645">
        <w:rPr>
          <w:rFonts w:ascii="Arial" w:hAnsi="Arial" w:cs="Arial"/>
          <w:sz w:val="20"/>
          <w:szCs w:val="20"/>
        </w:rPr>
        <w:t xml:space="preserve"> related activities easier, and hence, lots of transactions goes on online.</w:t>
      </w:r>
    </w:p>
    <w:p w14:paraId="0B87BAA0" w14:textId="77777777" w:rsidR="001D2D5A" w:rsidRDefault="001D2D5A" w:rsidP="001D2D5A">
      <w:pPr>
        <w:rPr>
          <w:rFonts w:ascii="Arial" w:hAnsi="Arial" w:cs="Arial"/>
          <w:b/>
          <w:bCs/>
          <w:sz w:val="20"/>
          <w:szCs w:val="20"/>
        </w:rPr>
      </w:pPr>
    </w:p>
    <w:p w14:paraId="3E885B3B" w14:textId="40294D50" w:rsidR="001D2D5A" w:rsidRPr="001D2D5A" w:rsidRDefault="001D2D5A" w:rsidP="001D2D5A">
      <w:pPr>
        <w:rPr>
          <w:rFonts w:ascii="Arial" w:hAnsi="Arial" w:cs="Arial"/>
          <w:b/>
          <w:bCs/>
          <w:sz w:val="20"/>
          <w:szCs w:val="20"/>
        </w:rPr>
      </w:pPr>
      <w:r w:rsidRPr="001D2D5A">
        <w:rPr>
          <w:rFonts w:ascii="Arial" w:hAnsi="Arial" w:cs="Arial"/>
          <w:b/>
          <w:bCs/>
          <w:sz w:val="20"/>
          <w:szCs w:val="20"/>
        </w:rPr>
        <w:t>Independent Systems:</w:t>
      </w:r>
    </w:p>
    <w:p w14:paraId="0CC73362" w14:textId="356B4279" w:rsidR="00A46E73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Valic Online</w:t>
      </w:r>
    </w:p>
    <w:p w14:paraId="697214E3" w14:textId="4BE2B247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V-system</w:t>
      </w:r>
    </w:p>
    <w:p w14:paraId="319D2CC3" w14:textId="07055B9C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AGILEnet</w:t>
      </w:r>
    </w:p>
    <w:p w14:paraId="2C55EAD2" w14:textId="452711AD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Online Enrollment</w:t>
      </w:r>
    </w:p>
    <w:p w14:paraId="09BB310E" w14:textId="295BC433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Guided Portfolio Services (GPS)</w:t>
      </w:r>
    </w:p>
    <w:p w14:paraId="71213065" w14:textId="3A020243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Financial Soun</w:t>
      </w:r>
      <w:r w:rsidR="008707D3">
        <w:rPr>
          <w:rFonts w:ascii="Arial" w:hAnsi="Arial" w:cs="Arial"/>
          <w:sz w:val="20"/>
          <w:szCs w:val="20"/>
          <w:lang w:val="en-US"/>
        </w:rPr>
        <w:t>dings</w:t>
      </w:r>
    </w:p>
    <w:p w14:paraId="5C30690E" w14:textId="6A1BB82E" w:rsidR="008707D3" w:rsidRDefault="008707D3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Seminar Manager</w:t>
      </w:r>
    </w:p>
    <w:p w14:paraId="72A0FCE7" w14:textId="67CE4AA5" w:rsidR="008707D3" w:rsidRDefault="008707D3" w:rsidP="008707D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user should have access to the respective tools to perform end to end actions for AGILEnet.</w:t>
      </w:r>
    </w:p>
    <w:p w14:paraId="3EF72785" w14:textId="77777777" w:rsidR="006062C9" w:rsidRDefault="006062C9" w:rsidP="008707D3">
      <w:pPr>
        <w:rPr>
          <w:rFonts w:ascii="Arial" w:hAnsi="Arial" w:cs="Arial"/>
          <w:sz w:val="20"/>
          <w:szCs w:val="20"/>
          <w:lang w:val="en-US"/>
        </w:rPr>
      </w:pPr>
    </w:p>
    <w:p w14:paraId="54A0D5E9" w14:textId="4A91F269" w:rsidR="006062C9" w:rsidRDefault="00C62F4A" w:rsidP="008707D3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Employer and Non-employer plans:</w:t>
      </w:r>
    </w:p>
    <w:p w14:paraId="598B13BC" w14:textId="6FB6ADD4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R</w:t>
      </w:r>
      <w:r w:rsidRPr="00180F9E">
        <w:rPr>
          <w:rFonts w:ascii="Arial" w:hAnsi="Arial" w:cs="Arial"/>
          <w:sz w:val="20"/>
          <w:szCs w:val="20"/>
        </w:rPr>
        <w:t>etirement savings plans can generally be categorized into employer-sponsored plans and non-employer (individual) plans. Here's an overview of each:</w:t>
      </w:r>
    </w:p>
    <w:p w14:paraId="4780EA83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Employer-Sponsored Plans</w:t>
      </w:r>
    </w:p>
    <w:p w14:paraId="37B18DEA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These are retirement savings plans offered by employers to their employees as a benefit. Contributions are often made through payroll deductions, and employers may match contributions up to a certain amount. These plans offer tax advantages, such as tax-deferred growth or tax-free withdrawals, depending on the type of plan.</w:t>
      </w:r>
    </w:p>
    <w:p w14:paraId="319E1A2F" w14:textId="77777777" w:rsidR="00180F9E" w:rsidRPr="00180F9E" w:rsidRDefault="00180F9E" w:rsidP="00180F9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401(k) Plans:</w:t>
      </w:r>
    </w:p>
    <w:p w14:paraId="195F3E31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A 401(k) plan is a tax-advantaged retirement savings plan offered by private-sector employers.</w:t>
      </w:r>
    </w:p>
    <w:p w14:paraId="75E18B5B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Employees contribute a portion of their salary to the plan, often with a pre-tax contribution, which grows tax-deferred until withdrawal. Employers may offer matching contributions.</w:t>
      </w:r>
    </w:p>
    <w:p w14:paraId="68AC0CAE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 company might match 50% of an employee's contributions up to 6% of their salary.</w:t>
      </w:r>
    </w:p>
    <w:p w14:paraId="2B6F5B56" w14:textId="77777777" w:rsidR="00180F9E" w:rsidRPr="00180F9E" w:rsidRDefault="00180F9E" w:rsidP="00180F9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403(b) Plans:</w:t>
      </w:r>
    </w:p>
    <w:p w14:paraId="6A0FA9D6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Similar to a 401(k), a 403(b) plan is designed for employees of public schools, certain non-profit organizations, and some ministers.</w:t>
      </w:r>
    </w:p>
    <w:p w14:paraId="75F36E66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Employees make pre-tax contributions, and employers may also contribute. The funds grow tax-deferred until retirement.</w:t>
      </w:r>
    </w:p>
    <w:p w14:paraId="16DF4255" w14:textId="3348310C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 xml:space="preserve">Example: A </w:t>
      </w:r>
      <w:r w:rsidRPr="00180F9E">
        <w:rPr>
          <w:rFonts w:ascii="Arial" w:hAnsi="Arial" w:cs="Arial"/>
          <w:sz w:val="20"/>
          <w:szCs w:val="20"/>
        </w:rPr>
        <w:t>public-school</w:t>
      </w:r>
      <w:r w:rsidRPr="00180F9E">
        <w:rPr>
          <w:rFonts w:ascii="Arial" w:hAnsi="Arial" w:cs="Arial"/>
          <w:sz w:val="20"/>
          <w:szCs w:val="20"/>
        </w:rPr>
        <w:t xml:space="preserve"> teacher contributes to a 403(b) plan, with the school district matching a portion of the contributions.</w:t>
      </w:r>
    </w:p>
    <w:p w14:paraId="0E007359" w14:textId="77777777" w:rsidR="00180F9E" w:rsidRPr="00180F9E" w:rsidRDefault="00180F9E" w:rsidP="00180F9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457 Plans:</w:t>
      </w:r>
    </w:p>
    <w:p w14:paraId="4255E736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A 457 plan is a non-qualified, tax-advantaged deferred compensation retirement plan available to state and local public employees and some non-profit employees.</w:t>
      </w:r>
    </w:p>
    <w:p w14:paraId="7493E033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Contributions are made on a pre-tax basis, and the funds grow tax-deferred. There is no early withdrawal penalty for these plans.</w:t>
      </w:r>
    </w:p>
    <w:p w14:paraId="680CFFB5" w14:textId="77777777" w:rsidR="00180F9E" w:rsidRPr="00180F9E" w:rsidRDefault="00180F9E" w:rsidP="00180F9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 city employee might contribute to a 457 plan to save for retirement.</w:t>
      </w:r>
    </w:p>
    <w:p w14:paraId="55BAB445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lastRenderedPageBreak/>
        <w:t>Non-Employer (Individual) Plans</w:t>
      </w:r>
    </w:p>
    <w:p w14:paraId="76A29C05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These plans are not tied to employment and can be set up independently by individuals. They are useful for self-employed individuals, those without access to employer-sponsored plans, or individuals who want to save additional funds for retirement.</w:t>
      </w:r>
    </w:p>
    <w:p w14:paraId="57486DAB" w14:textId="77777777" w:rsidR="00180F9E" w:rsidRPr="00180F9E" w:rsidRDefault="00180F9E" w:rsidP="00180F9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Traditional Individual Retirement Accounts (IRAs):</w:t>
      </w:r>
    </w:p>
    <w:p w14:paraId="10A40AB9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An IRA is a tax-advantaged account that individuals can use to save for retirement independently of their employer.</w:t>
      </w:r>
    </w:p>
    <w:p w14:paraId="003C0745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Contributions may be tax-deductible, and investment earnings grow tax-deferred. Taxes are paid upon withdrawal during retirement.</w:t>
      </w:r>
    </w:p>
    <w:p w14:paraId="19EF8E0D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An individual contributes to a traditional IRA each year, and the contributions reduce their taxable income for that year.</w:t>
      </w:r>
    </w:p>
    <w:p w14:paraId="1629541B" w14:textId="77777777" w:rsidR="00180F9E" w:rsidRPr="00180F9E" w:rsidRDefault="00180F9E" w:rsidP="00180F9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Roth IRAs:</w:t>
      </w:r>
    </w:p>
    <w:p w14:paraId="4A8C4750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A Roth IRA is another type of individual retirement account with different tax treatment compared to traditional IRAs.</w:t>
      </w:r>
    </w:p>
    <w:p w14:paraId="02989A3F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Contributions are made with after-tax dollars, so they are not tax-deductible. However, withdrawals during retirement are tax-free, provided certain conditions are met.</w:t>
      </w:r>
    </w:p>
    <w:p w14:paraId="336201D5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 person contributes to a Roth IRA, and the investment grows tax-free. During retirement, they can withdraw funds without paying taxes on the earnings.</w:t>
      </w:r>
    </w:p>
    <w:p w14:paraId="51ED22E5" w14:textId="77777777" w:rsidR="00180F9E" w:rsidRPr="00180F9E" w:rsidRDefault="00180F9E" w:rsidP="00180F9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Simplified Employee Pension (SEP) IRAs:</w:t>
      </w:r>
    </w:p>
    <w:p w14:paraId="116085DC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SEP IRAs are designed for self-employed individuals and small business owners to save for retirement.</w:t>
      </w:r>
    </w:p>
    <w:p w14:paraId="3EFBF428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The employer (including self-employed individuals) can make tax-deductible contributions to the SEP IRA for themselves and their employees. Contributions grow tax-deferred.</w:t>
      </w:r>
    </w:p>
    <w:p w14:paraId="62D274F3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 self-employed consultant sets up a SEP IRA and contributes a percentage of their earnings each year.</w:t>
      </w:r>
    </w:p>
    <w:p w14:paraId="3EDD86FD" w14:textId="77777777" w:rsidR="00180F9E" w:rsidRPr="00180F9E" w:rsidRDefault="00180F9E" w:rsidP="00180F9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Solo 401(k):</w:t>
      </w:r>
    </w:p>
    <w:p w14:paraId="5390634A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Definition: A Solo 401(k) plan is designed for self-employed individuals or business owners with no employees (other than a spouse).</w:t>
      </w:r>
    </w:p>
    <w:p w14:paraId="653DDD61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How It Works: It allows for both employer and employee contributions, providing a higher contribution limit compared to traditional IRAs. Contributions grow tax-deferred.</w:t>
      </w:r>
    </w:p>
    <w:p w14:paraId="1162C7BB" w14:textId="77777777" w:rsidR="00180F9E" w:rsidRPr="00180F9E" w:rsidRDefault="00180F9E" w:rsidP="00180F9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Example: A freelance writer sets up a Solo 401(k) and contributes as both the employer and employee.</w:t>
      </w:r>
    </w:p>
    <w:p w14:paraId="1594FD38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Summary</w:t>
      </w:r>
    </w:p>
    <w:p w14:paraId="0FC30E3C" w14:textId="77777777" w:rsidR="00180F9E" w:rsidRPr="00180F9E" w:rsidRDefault="00180F9E" w:rsidP="00180F9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Employer-Sponsored Plans: 401(k), 403(b), and 457 plans, where contributions may be matched by the employer and offer tax-deferred growth.</w:t>
      </w:r>
    </w:p>
    <w:p w14:paraId="4905D2D0" w14:textId="77777777" w:rsidR="00180F9E" w:rsidRPr="00180F9E" w:rsidRDefault="00180F9E" w:rsidP="00180F9E">
      <w:pPr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Non-Employer Plans: Traditional IRAs, Roth IRAs, SEP IRAs, and Solo 401(k), offering flexible options for individuals to save independently for retirement with various tax advantages.</w:t>
      </w:r>
    </w:p>
    <w:p w14:paraId="3A5C4368" w14:textId="77777777" w:rsidR="00180F9E" w:rsidRDefault="00180F9E" w:rsidP="00180F9E">
      <w:pPr>
        <w:rPr>
          <w:rFonts w:ascii="Arial" w:hAnsi="Arial" w:cs="Arial"/>
          <w:sz w:val="20"/>
          <w:szCs w:val="20"/>
        </w:rPr>
      </w:pPr>
    </w:p>
    <w:p w14:paraId="1AB5099B" w14:textId="77777777" w:rsidR="00180F9E" w:rsidRDefault="00180F9E" w:rsidP="00180F9E">
      <w:pPr>
        <w:rPr>
          <w:rFonts w:ascii="Arial" w:hAnsi="Arial" w:cs="Arial"/>
          <w:sz w:val="20"/>
          <w:szCs w:val="20"/>
        </w:rPr>
      </w:pPr>
    </w:p>
    <w:p w14:paraId="27EC2F9F" w14:textId="77777777" w:rsidR="00180F9E" w:rsidRDefault="00180F9E" w:rsidP="00180F9E">
      <w:pPr>
        <w:rPr>
          <w:rFonts w:ascii="Arial" w:hAnsi="Arial" w:cs="Arial"/>
          <w:sz w:val="20"/>
          <w:szCs w:val="20"/>
        </w:rPr>
      </w:pPr>
    </w:p>
    <w:p w14:paraId="2BC0F550" w14:textId="51C14ABE" w:rsidR="00180F9E" w:rsidRDefault="00180F9E" w:rsidP="00180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user can perform different types of transaction in Valic Online such as</w:t>
      </w:r>
    </w:p>
    <w:p w14:paraId="39B8864E" w14:textId="6BC6A20F" w:rsidR="00180F9E" w:rsidRPr="00180F9E" w:rsidRDefault="00180F9E" w:rsidP="00180F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Time Withdrawal</w:t>
      </w:r>
    </w:p>
    <w:p w14:paraId="54D85601" w14:textId="09AB9001" w:rsidR="00180F9E" w:rsidRPr="00180F9E" w:rsidRDefault="00180F9E" w:rsidP="00180F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Loan transactions</w:t>
      </w:r>
    </w:p>
    <w:p w14:paraId="0884E99C" w14:textId="0C74CCE2" w:rsidR="00180F9E" w:rsidRPr="00180F9E" w:rsidRDefault="00180F9E" w:rsidP="00180F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updates of messages/notifications through message centre</w:t>
      </w:r>
    </w:p>
    <w:p w14:paraId="1D22BE93" w14:textId="6946F7D5" w:rsidR="00180F9E" w:rsidRPr="00180F9E" w:rsidRDefault="00180F9E" w:rsidP="00180F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Beneficiary details</w:t>
      </w:r>
    </w:p>
    <w:p w14:paraId="7B1057CE" w14:textId="274E6C07" w:rsidR="00180F9E" w:rsidRPr="00180F9E" w:rsidRDefault="00180F9E" w:rsidP="00180F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email alerts for any transactions</w:t>
      </w:r>
    </w:p>
    <w:p w14:paraId="53A991A5" w14:textId="77777777" w:rsidR="00180F9E" w:rsidRDefault="00180F9E" w:rsidP="00180F9E">
      <w:pPr>
        <w:rPr>
          <w:rFonts w:ascii="Arial" w:hAnsi="Arial" w:cs="Arial"/>
          <w:b/>
          <w:bCs/>
          <w:sz w:val="20"/>
          <w:szCs w:val="20"/>
        </w:rPr>
      </w:pPr>
    </w:p>
    <w:p w14:paraId="667B4F56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A one-time withdrawal in the U.S. refers to a single lump-sum distribution of funds from a retirement account or other investment vehicle, rather than taking regular, periodic distributions. It is typically used when an individual needs access to a substantial amount of money at once. Here are some key points about one-time withdrawals:</w:t>
      </w:r>
    </w:p>
    <w:p w14:paraId="239F7135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Contexts for One-Time Withdrawals</w:t>
      </w:r>
    </w:p>
    <w:p w14:paraId="36C6C55D" w14:textId="77777777" w:rsidR="00180F9E" w:rsidRPr="00180F9E" w:rsidRDefault="00180F9E" w:rsidP="00180F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Retirement Accounts: Individuals can take one-time withdrawals from retirement accounts such as 401(k) plans, IRAs, or Roth IRAs. This might happen when someone retires, changes jobs, or faces an emergency requiring significant funds.</w:t>
      </w:r>
    </w:p>
    <w:p w14:paraId="028E42BA" w14:textId="77777777" w:rsidR="00180F9E" w:rsidRPr="00180F9E" w:rsidRDefault="00180F9E" w:rsidP="00180F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Emergency Situations: One-time withdrawals may be made to cover unexpected medical expenses, home repairs, education costs, or other urgent financial needs.</w:t>
      </w:r>
    </w:p>
    <w:p w14:paraId="26A2870E" w14:textId="77777777" w:rsidR="00180F9E" w:rsidRPr="00180F9E" w:rsidRDefault="00180F9E" w:rsidP="00180F9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Payout Events: For some pension plans or life insurance policies, one-time withdrawals may be an option upon retirement or at a specific age.</w:t>
      </w:r>
    </w:p>
    <w:p w14:paraId="4423E161" w14:textId="77777777" w:rsidR="00180F9E" w:rsidRPr="00180F9E" w:rsidRDefault="00180F9E" w:rsidP="00180F9E">
      <w:p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Tax Implications</w:t>
      </w:r>
    </w:p>
    <w:p w14:paraId="2F8A270C" w14:textId="77777777" w:rsidR="00180F9E" w:rsidRPr="00180F9E" w:rsidRDefault="00180F9E" w:rsidP="00180F9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Traditional 401(k) and IRA: Withdrawals from traditional retirement accounts are generally subject to ordinary income tax. If the account holder is under age 59½, an additional 10% early withdrawal penalty may apply unless an exception (such as hardship or first-time home purchase) is met.</w:t>
      </w:r>
    </w:p>
    <w:p w14:paraId="6208C4E9" w14:textId="77777777" w:rsidR="00180F9E" w:rsidRPr="00180F9E" w:rsidRDefault="00180F9E" w:rsidP="00180F9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Roth IRA: Qualified one-time withdrawals from a Roth IRA (those made after age 59½ and the account has been open for at least five years) are tax-free. Non-qualified withdrawals may incur taxes and penalties.</w:t>
      </w:r>
    </w:p>
    <w:p w14:paraId="0576F86A" w14:textId="77777777" w:rsidR="00180F9E" w:rsidRPr="00180F9E" w:rsidRDefault="00180F9E" w:rsidP="00180F9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80F9E">
        <w:rPr>
          <w:rFonts w:ascii="Arial" w:hAnsi="Arial" w:cs="Arial"/>
          <w:sz w:val="20"/>
          <w:szCs w:val="20"/>
        </w:rPr>
        <w:t>Tax Penalty Exceptions: There are exceptions to the early withdrawal penalty for situations like disability, medical expenses exceeding a certain percentage of adjusted gross income, and higher education expenses, among others.</w:t>
      </w:r>
    </w:p>
    <w:p w14:paraId="1A8D206F" w14:textId="222888F5" w:rsidR="00180F9E" w:rsidRDefault="00180F9E" w:rsidP="00180F9E">
      <w:pPr>
        <w:rPr>
          <w:rFonts w:ascii="Arial" w:hAnsi="Arial" w:cs="Arial"/>
          <w:b/>
          <w:bCs/>
          <w:sz w:val="20"/>
          <w:szCs w:val="20"/>
        </w:rPr>
      </w:pPr>
    </w:p>
    <w:p w14:paraId="3393E68D" w14:textId="47270BB7" w:rsidR="00180F9E" w:rsidRDefault="00180F9E" w:rsidP="00180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user can perform one time withdrawal in Valic Online in the following ways:</w:t>
      </w:r>
    </w:p>
    <w:p w14:paraId="592D093A" w14:textId="11CF78CA" w:rsidR="00180F9E" w:rsidRDefault="00180F9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Navigate to VALIC Online url: </w:t>
      </w:r>
      <w:hyperlink r:id="rId6" w:history="1">
        <w:r w:rsidRPr="00B12948">
          <w:rPr>
            <w:rStyle w:val="Hyperlink"/>
            <w:rFonts w:ascii="Arial" w:hAnsi="Arial" w:cs="Arial"/>
            <w:sz w:val="20"/>
            <w:szCs w:val="20"/>
          </w:rPr>
          <w:t>https://myaccount.valic.com/auth/public/login</w:t>
        </w:r>
      </w:hyperlink>
    </w:p>
    <w:p w14:paraId="2A2873DD" w14:textId="3DB6DBD0" w:rsidR="00180F9E" w:rsidRDefault="00180F9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using demo username and password</w:t>
      </w:r>
    </w:p>
    <w:p w14:paraId="5DEAB023" w14:textId="0D63F068" w:rsidR="00180F9E" w:rsidRDefault="00180F9E" w:rsidP="00180F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– ID123-456-789</w:t>
      </w:r>
    </w:p>
    <w:p w14:paraId="00B5A35B" w14:textId="690FFFCD" w:rsidR="00180F9E" w:rsidRDefault="00180F9E" w:rsidP="00180F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 DemoP@ssword</w:t>
      </w:r>
    </w:p>
    <w:p w14:paraId="27533A8B" w14:textId="44362E5F" w:rsidR="00180F9E" w:rsidRDefault="00180F9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Security question and proceed to login to the Overview page</w:t>
      </w:r>
    </w:p>
    <w:p w14:paraId="5B19DA54" w14:textId="75288F14" w:rsidR="00180F9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Overview page click on One Time Withdrawal button</w:t>
      </w:r>
    </w:p>
    <w:p w14:paraId="6F72F47E" w14:textId="5756A5FF" w:rsidR="0088297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User lands on Request Withdrawal page. User should click on Request Withdrawal button to proceed with one time withdrawal</w:t>
      </w:r>
    </w:p>
    <w:p w14:paraId="3A8D8CD5" w14:textId="25F8A56C" w:rsidR="0088297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gets the option to select plan from where he can perform the withdrawal</w:t>
      </w:r>
    </w:p>
    <w:p w14:paraId="3D05CA3A" w14:textId="3F3A4F33" w:rsidR="0088297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will be presented with a questionnaire which needs to be filled to proceed with the flow.</w:t>
      </w:r>
    </w:p>
    <w:p w14:paraId="1B3C98C7" w14:textId="2EA936A6" w:rsidR="0088297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 based on hardship withdrawal, withdrawal reasons, employment status with employer needs to be filled by the participant</w:t>
      </w:r>
    </w:p>
    <w:p w14:paraId="69FFC1EA" w14:textId="05F6AD60" w:rsidR="0088297E" w:rsidRDefault="0088297E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user completes the questionnaire then the user should be able to </w:t>
      </w:r>
      <w:r w:rsidR="00392F88">
        <w:rPr>
          <w:rFonts w:ascii="Arial" w:hAnsi="Arial" w:cs="Arial"/>
          <w:sz w:val="20"/>
          <w:szCs w:val="20"/>
        </w:rPr>
        <w:t>enter withdrawal amount. The minimum amount for withdrawal should be $100.</w:t>
      </w:r>
    </w:p>
    <w:p w14:paraId="55D9012E" w14:textId="4552A617" w:rsidR="00392F88" w:rsidRDefault="00392F88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Enter banking information – account type, routing number and bank account number. User should be able to select existing account or provide a new account for getting withdrawal amount.</w:t>
      </w:r>
    </w:p>
    <w:p w14:paraId="2877F94D" w14:textId="5A2A9047" w:rsidR="00392F88" w:rsidRPr="00180F9E" w:rsidRDefault="00392F88" w:rsidP="00180F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user submits the request, the user should receive an email confirmation for withdrawal.</w:t>
      </w:r>
    </w:p>
    <w:p w14:paraId="00D53F72" w14:textId="77777777" w:rsidR="00180F9E" w:rsidRDefault="00180F9E" w:rsidP="00180F9E">
      <w:pPr>
        <w:pStyle w:val="ListParagraph"/>
        <w:rPr>
          <w:rFonts w:ascii="Arial" w:hAnsi="Arial" w:cs="Arial"/>
          <w:sz w:val="20"/>
          <w:szCs w:val="20"/>
        </w:rPr>
      </w:pPr>
    </w:p>
    <w:p w14:paraId="757D3FB6" w14:textId="77777777" w:rsidR="00180F9E" w:rsidRPr="00180F9E" w:rsidRDefault="00180F9E" w:rsidP="00180F9E">
      <w:pPr>
        <w:pStyle w:val="ListParagraph"/>
        <w:rPr>
          <w:rFonts w:ascii="Arial" w:hAnsi="Arial" w:cs="Arial"/>
          <w:sz w:val="20"/>
          <w:szCs w:val="20"/>
        </w:rPr>
      </w:pPr>
    </w:p>
    <w:p w14:paraId="0C52BF77" w14:textId="77777777" w:rsidR="00C62F4A" w:rsidRPr="00C62F4A" w:rsidRDefault="00C62F4A" w:rsidP="008707D3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C62F4A" w:rsidRPr="00C62F4A" w:rsidSect="00546D3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784F"/>
    <w:multiLevelType w:val="hybridMultilevel"/>
    <w:tmpl w:val="6862F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60C9"/>
    <w:multiLevelType w:val="hybridMultilevel"/>
    <w:tmpl w:val="237C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A5E86"/>
    <w:multiLevelType w:val="multilevel"/>
    <w:tmpl w:val="1A36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F1AD4"/>
    <w:multiLevelType w:val="multilevel"/>
    <w:tmpl w:val="BEE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C7FAE"/>
    <w:multiLevelType w:val="multilevel"/>
    <w:tmpl w:val="FCA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9764F"/>
    <w:multiLevelType w:val="multilevel"/>
    <w:tmpl w:val="F97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81F2A"/>
    <w:multiLevelType w:val="multilevel"/>
    <w:tmpl w:val="853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2374"/>
    <w:multiLevelType w:val="hybridMultilevel"/>
    <w:tmpl w:val="87A4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4E25"/>
    <w:multiLevelType w:val="hybridMultilevel"/>
    <w:tmpl w:val="7360B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9576F"/>
    <w:multiLevelType w:val="multilevel"/>
    <w:tmpl w:val="026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2727">
    <w:abstractNumId w:val="3"/>
  </w:num>
  <w:num w:numId="2" w16cid:durableId="803353308">
    <w:abstractNumId w:val="7"/>
  </w:num>
  <w:num w:numId="3" w16cid:durableId="1503470226">
    <w:abstractNumId w:val="8"/>
  </w:num>
  <w:num w:numId="4" w16cid:durableId="1960866862">
    <w:abstractNumId w:val="2"/>
  </w:num>
  <w:num w:numId="5" w16cid:durableId="1616910365">
    <w:abstractNumId w:val="9"/>
  </w:num>
  <w:num w:numId="6" w16cid:durableId="2102293468">
    <w:abstractNumId w:val="4"/>
  </w:num>
  <w:num w:numId="7" w16cid:durableId="1396276115">
    <w:abstractNumId w:val="0"/>
  </w:num>
  <w:num w:numId="8" w16cid:durableId="1573084495">
    <w:abstractNumId w:val="5"/>
  </w:num>
  <w:num w:numId="9" w16cid:durableId="163978033">
    <w:abstractNumId w:val="6"/>
  </w:num>
  <w:num w:numId="10" w16cid:durableId="54972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0"/>
    <w:rsid w:val="00133645"/>
    <w:rsid w:val="0017450E"/>
    <w:rsid w:val="00180F9E"/>
    <w:rsid w:val="001D2D5A"/>
    <w:rsid w:val="001E452B"/>
    <w:rsid w:val="003120A4"/>
    <w:rsid w:val="00392F88"/>
    <w:rsid w:val="00455F33"/>
    <w:rsid w:val="00546D30"/>
    <w:rsid w:val="006062C9"/>
    <w:rsid w:val="007072AF"/>
    <w:rsid w:val="008405BD"/>
    <w:rsid w:val="00855F43"/>
    <w:rsid w:val="00861138"/>
    <w:rsid w:val="008707D3"/>
    <w:rsid w:val="0088297E"/>
    <w:rsid w:val="00901DEF"/>
    <w:rsid w:val="0091549B"/>
    <w:rsid w:val="00A46E73"/>
    <w:rsid w:val="00C024D3"/>
    <w:rsid w:val="00C15521"/>
    <w:rsid w:val="00C62F4A"/>
    <w:rsid w:val="00CA7703"/>
    <w:rsid w:val="00D41BF5"/>
    <w:rsid w:val="00DF1D1F"/>
    <w:rsid w:val="00E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168E"/>
  <w15:chartTrackingRefBased/>
  <w15:docId w15:val="{D3AF6926-7015-4CA0-9329-983B496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valic.com/auth/public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Das</dc:creator>
  <cp:keywords/>
  <dc:description/>
  <cp:lastModifiedBy>Mainak Das</cp:lastModifiedBy>
  <cp:revision>18</cp:revision>
  <dcterms:created xsi:type="dcterms:W3CDTF">2024-08-17T06:17:00Z</dcterms:created>
  <dcterms:modified xsi:type="dcterms:W3CDTF">2024-08-25T14:20:00Z</dcterms:modified>
</cp:coreProperties>
</file>