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E48F" w14:textId="518C44F6" w:rsidR="00647FED" w:rsidRPr="000F06B4" w:rsidRDefault="00647FED" w:rsidP="00647FED">
      <w:pPr>
        <w:rPr>
          <w:rFonts w:ascii="Segoe UI" w:hAnsi="Segoe UI" w:cs="Segoe UI"/>
          <w:b/>
          <w:bCs/>
          <w:sz w:val="21"/>
          <w:szCs w:val="21"/>
          <w:shd w:val="clear" w:color="auto" w:fill="FBFBFB"/>
        </w:rPr>
      </w:pPr>
      <w:r w:rsidRPr="000F06B4">
        <w:rPr>
          <w:rFonts w:ascii="Segoe UI" w:hAnsi="Segoe UI" w:cs="Segoe UI"/>
          <w:b/>
          <w:bCs/>
          <w:sz w:val="21"/>
          <w:szCs w:val="21"/>
          <w:shd w:val="clear" w:color="auto" w:fill="FBFBFB"/>
        </w:rPr>
        <w:t>Introduction</w:t>
      </w:r>
    </w:p>
    <w:p w14:paraId="73261D0F" w14:textId="316B3BFB" w:rsidR="00647FED" w:rsidRPr="000F06B4" w:rsidRDefault="00647FED"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This README file provides an overview of the datasets contained in this repository, as well as information on how to access and use them.</w:t>
      </w:r>
    </w:p>
    <w:p w14:paraId="33DF9FF1" w14:textId="399EB030" w:rsidR="00647FED" w:rsidRDefault="00647FED" w:rsidP="005E7F34">
      <w:pPr>
        <w:spacing w:before="240"/>
        <w:jc w:val="both"/>
        <w:rPr>
          <w:lang w:val="en-US"/>
        </w:rPr>
      </w:pPr>
      <w:r>
        <w:t>The datasets</w:t>
      </w:r>
      <w:r>
        <w:rPr>
          <w:lang w:val="en-US"/>
        </w:rPr>
        <w:t xml:space="preserve"> in the master files (</w:t>
      </w:r>
      <w:r w:rsidRPr="00647FED">
        <w:rPr>
          <w:color w:val="0432FF"/>
          <w:lang w:val="en-US"/>
        </w:rPr>
        <w:t>extracted_climate_vars_2021-2050</w:t>
      </w:r>
      <w:r w:rsidRPr="00647FED">
        <w:rPr>
          <w:color w:val="00B0F0"/>
          <w:lang w:val="en-US"/>
        </w:rPr>
        <w:t xml:space="preserve"> </w:t>
      </w:r>
      <w:r>
        <w:rPr>
          <w:lang w:val="en-US"/>
        </w:rPr>
        <w:t xml:space="preserve">and </w:t>
      </w:r>
      <w:r w:rsidRPr="00647FED">
        <w:rPr>
          <w:color w:val="0432FF"/>
          <w:lang w:val="en-US"/>
        </w:rPr>
        <w:t>extracted_climate_vars_2071-2100</w:t>
      </w:r>
      <w:r>
        <w:rPr>
          <w:lang w:val="en-US"/>
        </w:rPr>
        <w:t>)</w:t>
      </w:r>
      <w:r>
        <w:t xml:space="preserve"> provided in this repository </w:t>
      </w:r>
      <w:r w:rsidR="00286DF0">
        <w:rPr>
          <w:lang w:val="en-US"/>
        </w:rPr>
        <w:t>wer</w:t>
      </w:r>
      <w:r>
        <w:rPr>
          <w:lang w:val="en-US"/>
        </w:rPr>
        <w:t>e extracted from re</w:t>
      </w:r>
      <w:r w:rsidR="007B732B">
        <w:rPr>
          <w:lang w:val="en-US"/>
        </w:rPr>
        <w:t>-</w:t>
      </w:r>
      <w:r>
        <w:rPr>
          <w:lang w:val="en-US"/>
        </w:rPr>
        <w:t xml:space="preserve">gridded climate data archived in the server </w:t>
      </w:r>
      <w:r w:rsidRPr="007B732B">
        <w:rPr>
          <w:color w:val="0432FF"/>
          <w:lang w:val="en-US"/>
        </w:rPr>
        <w:t>(</w:t>
      </w:r>
      <w:r w:rsidR="007B732B" w:rsidRPr="007B732B">
        <w:rPr>
          <w:color w:val="0432FF"/>
          <w:lang w:val="en-US"/>
        </w:rPr>
        <w:t>/Volumes/Data-1/CMIP6-Data/1_ESMs</w:t>
      </w:r>
      <w:r>
        <w:rPr>
          <w:lang w:val="en-US"/>
        </w:rPr>
        <w:t xml:space="preserve">) </w:t>
      </w:r>
      <w:r w:rsidR="005E7F34">
        <w:rPr>
          <w:lang w:val="en-US"/>
        </w:rPr>
        <w:t xml:space="preserve">as </w:t>
      </w:r>
      <w:r w:rsidR="007B732B" w:rsidRPr="007B732B">
        <w:rPr>
          <w:color w:val="0432FF"/>
          <w:lang w:val="en-US"/>
        </w:rPr>
        <w:t xml:space="preserve">2021-2050 </w:t>
      </w:r>
      <w:r w:rsidR="007B732B">
        <w:rPr>
          <w:lang w:val="en-US"/>
        </w:rPr>
        <w:t>folder represent</w:t>
      </w:r>
      <w:r w:rsidR="005E7F34">
        <w:rPr>
          <w:lang w:val="en-US"/>
        </w:rPr>
        <w:t>ing</w:t>
      </w:r>
      <w:r w:rsidR="007B732B">
        <w:rPr>
          <w:lang w:val="en-US"/>
        </w:rPr>
        <w:t xml:space="preserve"> </w:t>
      </w:r>
      <w:r w:rsidR="007B732B" w:rsidRPr="007B732B">
        <w:rPr>
          <w:lang w:val="en-US"/>
        </w:rPr>
        <w:t>near-future</w:t>
      </w:r>
      <w:r w:rsidR="007B732B">
        <w:rPr>
          <w:lang w:val="en-US"/>
        </w:rPr>
        <w:t xml:space="preserve"> climate data</w:t>
      </w:r>
      <w:r w:rsidR="005E7F34">
        <w:rPr>
          <w:lang w:val="en-US"/>
        </w:rPr>
        <w:t>,</w:t>
      </w:r>
      <w:r w:rsidR="007B732B">
        <w:rPr>
          <w:lang w:val="en-US"/>
        </w:rPr>
        <w:t xml:space="preserve"> </w:t>
      </w:r>
      <w:r w:rsidR="007B732B" w:rsidRPr="007B732B">
        <w:rPr>
          <w:color w:val="0432FF"/>
          <w:lang w:val="en-US"/>
        </w:rPr>
        <w:t xml:space="preserve">2071-2100 </w:t>
      </w:r>
      <w:r w:rsidR="007B732B" w:rsidRPr="007B732B">
        <w:rPr>
          <w:lang w:val="en-US"/>
        </w:rPr>
        <w:t>folder represent</w:t>
      </w:r>
      <w:r w:rsidR="005E7F34">
        <w:rPr>
          <w:lang w:val="en-US"/>
        </w:rPr>
        <w:t>ing</w:t>
      </w:r>
      <w:r w:rsidR="007B732B" w:rsidRPr="007B732B">
        <w:rPr>
          <w:lang w:val="en-US"/>
        </w:rPr>
        <w:t xml:space="preserve"> </w:t>
      </w:r>
      <w:r w:rsidR="007B732B">
        <w:rPr>
          <w:lang w:val="en-US"/>
        </w:rPr>
        <w:t>far</w:t>
      </w:r>
      <w:r w:rsidR="007B732B" w:rsidRPr="007B732B">
        <w:rPr>
          <w:lang w:val="en-US"/>
        </w:rPr>
        <w:t>-future climate dat</w:t>
      </w:r>
      <w:r w:rsidR="007B732B">
        <w:rPr>
          <w:lang w:val="en-US"/>
        </w:rPr>
        <w:t>a</w:t>
      </w:r>
      <w:r w:rsidR="0075733B">
        <w:rPr>
          <w:lang w:val="en-US"/>
        </w:rPr>
        <w:t xml:space="preserve"> processed for the four </w:t>
      </w:r>
      <w:r w:rsidR="0075733B" w:rsidRPr="0075733B">
        <w:rPr>
          <w:lang w:val="en-US"/>
        </w:rPr>
        <w:t>Shared Socioeconomic Pathways</w:t>
      </w:r>
      <w:r w:rsidR="0075733B">
        <w:rPr>
          <w:lang w:val="en-US"/>
        </w:rPr>
        <w:t xml:space="preserve"> (SSPs – 126, 245, 370 &amp; 585)</w:t>
      </w:r>
      <w:r w:rsidR="005E7F34">
        <w:rPr>
          <w:lang w:val="en-US"/>
        </w:rPr>
        <w:t xml:space="preserve"> as shown in Figure </w:t>
      </w:r>
      <w:r w:rsidR="0087665B">
        <w:rPr>
          <w:lang w:val="en-US"/>
        </w:rPr>
        <w:t>1</w:t>
      </w:r>
      <w:r w:rsidR="005E7F34">
        <w:rPr>
          <w:lang w:val="en-US"/>
        </w:rPr>
        <w:t>.</w:t>
      </w:r>
    </w:p>
    <w:p w14:paraId="636F263A" w14:textId="5AD78579" w:rsidR="00647FED" w:rsidRPr="00647FED" w:rsidRDefault="00647FED" w:rsidP="00647FED">
      <w:pPr>
        <w:spacing w:before="240"/>
        <w:rPr>
          <w:lang w:val="en-US"/>
        </w:rPr>
      </w:pPr>
    </w:p>
    <w:p w14:paraId="5A1E9157" w14:textId="7F4B8046" w:rsidR="007B732B" w:rsidRDefault="007B732B" w:rsidP="00647FED">
      <w:pPr>
        <w:rPr>
          <w:lang w:val="en-US"/>
        </w:rPr>
      </w:pPr>
      <w:r>
        <w:rPr>
          <w:lang w:val="en-US"/>
        </w:rPr>
        <w:t>Figure 1:</w:t>
      </w:r>
    </w:p>
    <w:p w14:paraId="1E53A991" w14:textId="77777777" w:rsidR="007B732B" w:rsidRDefault="007B732B" w:rsidP="00647FED">
      <w:pPr>
        <w:rPr>
          <w:lang w:val="en-US"/>
        </w:rPr>
      </w:pPr>
    </w:p>
    <w:p w14:paraId="7DB1E3DC" w14:textId="43C320FC" w:rsidR="0075733B" w:rsidRDefault="0075733B" w:rsidP="00647FED">
      <w:pPr>
        <w:rPr>
          <w:lang w:val="en-US"/>
        </w:rPr>
      </w:pPr>
      <w:r>
        <w:rPr>
          <w:lang w:val="en-US"/>
        </w:rPr>
        <w:t xml:space="preserve">Table </w:t>
      </w:r>
      <w:r w:rsidR="0087665B">
        <w:rPr>
          <w:lang w:val="en-US"/>
        </w:rPr>
        <w:t xml:space="preserve">1: </w:t>
      </w:r>
      <w:r w:rsidR="0087665B" w:rsidRPr="0087665B">
        <w:rPr>
          <w:lang w:val="en-US"/>
        </w:rPr>
        <w:t>Summary of the variables downloaded</w:t>
      </w:r>
    </w:p>
    <w:tbl>
      <w:tblPr>
        <w:tblStyle w:val="TableGrid"/>
        <w:tblW w:w="0" w:type="auto"/>
        <w:tblLook w:val="04A0" w:firstRow="1" w:lastRow="0" w:firstColumn="1" w:lastColumn="0" w:noHBand="0" w:noVBand="1"/>
      </w:tblPr>
      <w:tblGrid>
        <w:gridCol w:w="2550"/>
        <w:gridCol w:w="1180"/>
        <w:gridCol w:w="5286"/>
      </w:tblGrid>
      <w:tr w:rsidR="0075733B" w14:paraId="4EC7962B" w14:textId="77777777" w:rsidTr="000F06B4">
        <w:tc>
          <w:tcPr>
            <w:tcW w:w="2550" w:type="dxa"/>
          </w:tcPr>
          <w:p w14:paraId="564EA735" w14:textId="5DB17320" w:rsidR="0075733B" w:rsidRPr="000F06B4" w:rsidRDefault="0075733B"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Name</w:t>
            </w:r>
          </w:p>
        </w:tc>
        <w:tc>
          <w:tcPr>
            <w:tcW w:w="1180" w:type="dxa"/>
          </w:tcPr>
          <w:p w14:paraId="227171AD" w14:textId="5BB60498" w:rsidR="0075733B" w:rsidRPr="000F06B4" w:rsidRDefault="00CA111C"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Units</w:t>
            </w:r>
          </w:p>
        </w:tc>
        <w:tc>
          <w:tcPr>
            <w:tcW w:w="5286" w:type="dxa"/>
          </w:tcPr>
          <w:p w14:paraId="7522B005" w14:textId="33FFF309" w:rsidR="0075733B" w:rsidRPr="000F06B4" w:rsidRDefault="00CA111C"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Description</w:t>
            </w:r>
          </w:p>
        </w:tc>
      </w:tr>
      <w:tr w:rsidR="0075733B" w14:paraId="5C2367F5" w14:textId="77777777" w:rsidTr="000F06B4">
        <w:tc>
          <w:tcPr>
            <w:tcW w:w="2550" w:type="dxa"/>
            <w:vAlign w:val="center"/>
          </w:tcPr>
          <w:p w14:paraId="59D8CE41" w14:textId="0FF23738" w:rsidR="0075733B" w:rsidRPr="000F06B4" w:rsidRDefault="00CA111C"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cdd (Consecutive dry days)</w:t>
            </w:r>
          </w:p>
        </w:tc>
        <w:tc>
          <w:tcPr>
            <w:tcW w:w="1180" w:type="dxa"/>
            <w:vAlign w:val="center"/>
          </w:tcPr>
          <w:p w14:paraId="6D6D7D42" w14:textId="5CE5E6C2" w:rsidR="0075733B" w:rsidRPr="00B448CB" w:rsidRDefault="00B448CB" w:rsidP="000F06B4">
            <w:pPr>
              <w:rPr>
                <w:rFonts w:ascii="Segoe UI" w:hAnsi="Segoe UI" w:cs="Segoe UI"/>
                <w:sz w:val="21"/>
                <w:szCs w:val="21"/>
                <w:shd w:val="clear" w:color="auto" w:fill="FBFBFB"/>
                <w:lang w:val="en-US"/>
              </w:rPr>
            </w:pPr>
            <w:r>
              <w:rPr>
                <w:rFonts w:ascii="Segoe UI" w:hAnsi="Segoe UI" w:cs="Segoe UI"/>
                <w:sz w:val="21"/>
                <w:szCs w:val="21"/>
                <w:shd w:val="clear" w:color="auto" w:fill="FBFBFB"/>
                <w:lang w:val="en-US"/>
              </w:rPr>
              <w:t>day</w:t>
            </w:r>
          </w:p>
        </w:tc>
        <w:tc>
          <w:tcPr>
            <w:tcW w:w="5286" w:type="dxa"/>
          </w:tcPr>
          <w:p w14:paraId="1C6B5187" w14:textId="663CB554" w:rsidR="0075733B" w:rsidRPr="000F06B4" w:rsidRDefault="00CA111C"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Maximum number of days in a row with precipitation below 1 mm in a year. If a dry spell does not end in a particular year and spans a period longer than 1 year (as may happen in very dry regions), then CDD is not reported for that year and the accumulated dry days are carried forward to the year when the spell ends.</w:t>
            </w:r>
          </w:p>
        </w:tc>
      </w:tr>
      <w:tr w:rsidR="0075733B" w:rsidRPr="000F06B4" w14:paraId="0A703089" w14:textId="77777777" w:rsidTr="000F06B4">
        <w:tc>
          <w:tcPr>
            <w:tcW w:w="2550" w:type="dxa"/>
            <w:vAlign w:val="center"/>
          </w:tcPr>
          <w:p w14:paraId="5557F985" w14:textId="00B6BF7C" w:rsidR="0075733B" w:rsidRPr="000F06B4" w:rsidRDefault="00CA111C"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evspsbl (Evaporation including sublimation and transpiration)</w:t>
            </w:r>
          </w:p>
        </w:tc>
        <w:tc>
          <w:tcPr>
            <w:tcW w:w="1180" w:type="dxa"/>
            <w:vAlign w:val="center"/>
          </w:tcPr>
          <w:p w14:paraId="2B0C4327" w14:textId="00E29533" w:rsidR="0075733B"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K</w:t>
            </w:r>
            <w:r w:rsidR="00CA111C" w:rsidRPr="000F06B4">
              <w:rPr>
                <w:rFonts w:ascii="Segoe UI" w:hAnsi="Segoe UI" w:cs="Segoe UI"/>
                <w:sz w:val="21"/>
                <w:szCs w:val="21"/>
                <w:shd w:val="clear" w:color="auto" w:fill="FBFBFB"/>
              </w:rPr>
              <w:t>g</w:t>
            </w:r>
            <w:r w:rsidR="00D12412">
              <w:rPr>
                <w:rFonts w:ascii="Segoe UI" w:hAnsi="Segoe UI" w:cs="Segoe UI"/>
                <w:sz w:val="21"/>
                <w:szCs w:val="21"/>
                <w:shd w:val="clear" w:color="auto" w:fill="FBFBFB"/>
              </w:rPr>
              <w:t xml:space="preserve"> </w:t>
            </w:r>
            <w:r w:rsidR="00CA111C" w:rsidRPr="000F06B4">
              <w:rPr>
                <w:rFonts w:ascii="Segoe UI" w:hAnsi="Segoe UI" w:cs="Segoe UI"/>
                <w:sz w:val="21"/>
                <w:szCs w:val="21"/>
                <w:shd w:val="clear" w:color="auto" w:fill="FBFBFB"/>
              </w:rPr>
              <w:t>m</w:t>
            </w:r>
            <w:r w:rsidR="00CA111C" w:rsidRPr="000F06B4">
              <w:rPr>
                <w:rFonts w:ascii="Segoe UI" w:hAnsi="Segoe UI" w:cs="Segoe UI"/>
                <w:sz w:val="21"/>
                <w:szCs w:val="21"/>
                <w:shd w:val="clear" w:color="auto" w:fill="FBFBFB"/>
                <w:vertAlign w:val="superscript"/>
              </w:rPr>
              <w:t>-2</w:t>
            </w:r>
            <w:r w:rsidR="00CA111C" w:rsidRPr="000F06B4">
              <w:rPr>
                <w:rFonts w:ascii="Segoe UI" w:hAnsi="Segoe UI" w:cs="Segoe UI"/>
                <w:sz w:val="21"/>
                <w:szCs w:val="21"/>
                <w:shd w:val="clear" w:color="auto" w:fill="FBFBFB"/>
              </w:rPr>
              <w:t xml:space="preserve"> s</w:t>
            </w:r>
            <w:r w:rsidR="00CA111C" w:rsidRPr="000F06B4">
              <w:rPr>
                <w:rFonts w:ascii="Segoe UI" w:hAnsi="Segoe UI" w:cs="Segoe UI"/>
                <w:sz w:val="21"/>
                <w:szCs w:val="21"/>
                <w:shd w:val="clear" w:color="auto" w:fill="FBFBFB"/>
                <w:vertAlign w:val="superscript"/>
              </w:rPr>
              <w:t>-1</w:t>
            </w:r>
          </w:p>
        </w:tc>
        <w:tc>
          <w:tcPr>
            <w:tcW w:w="5286" w:type="dxa"/>
          </w:tcPr>
          <w:p w14:paraId="1078EEDC" w14:textId="4C460EF8" w:rsidR="0075733B" w:rsidRPr="000F06B4" w:rsidRDefault="00CA111C" w:rsidP="00647FED">
            <w:pPr>
              <w:rPr>
                <w:rFonts w:ascii="Segoe UI" w:hAnsi="Segoe UI" w:cs="Segoe UI"/>
                <w:sz w:val="21"/>
                <w:szCs w:val="21"/>
                <w:shd w:val="clear" w:color="auto" w:fill="FBFBFB"/>
              </w:rPr>
            </w:pPr>
            <w:r w:rsidRPr="000F06B4">
              <w:rPr>
                <w:rFonts w:ascii="Segoe UI" w:hAnsi="Segoe UI" w:cs="Segoe UI"/>
                <w:sz w:val="21"/>
                <w:szCs w:val="21"/>
                <w:shd w:val="clear" w:color="auto" w:fill="FBFBFB"/>
              </w:rPr>
              <w:t>The transfer of latent heat (resulting from water phase changes, such as evaporation, condensation, sublimation and transpiration) between the Earth's surface and the atmosphere through the effects of turbulent air motion.</w:t>
            </w:r>
          </w:p>
        </w:tc>
      </w:tr>
      <w:tr w:rsidR="000F06B4" w:rsidRPr="000F06B4" w14:paraId="6DF98D82" w14:textId="77777777" w:rsidTr="000F06B4">
        <w:tc>
          <w:tcPr>
            <w:tcW w:w="2550" w:type="dxa"/>
            <w:vAlign w:val="center"/>
          </w:tcPr>
          <w:p w14:paraId="0D02BD9B" w14:textId="11B745E5" w:rsidR="000F06B4" w:rsidRPr="000F06B4" w:rsidRDefault="000F06B4" w:rsidP="000F06B4">
            <w:pPr>
              <w:rPr>
                <w:rFonts w:ascii="Segoe UI" w:hAnsi="Segoe UI" w:cs="Segoe UI"/>
                <w:sz w:val="21"/>
                <w:szCs w:val="21"/>
                <w:shd w:val="clear" w:color="auto" w:fill="FBFBFB"/>
              </w:rPr>
            </w:pPr>
            <w:r>
              <w:rPr>
                <w:rFonts w:ascii="Segoe UI" w:hAnsi="Segoe UI" w:cs="Segoe UI"/>
                <w:sz w:val="21"/>
                <w:szCs w:val="21"/>
                <w:shd w:val="clear" w:color="auto" w:fill="FBFBFB"/>
                <w:lang w:val="en-US"/>
              </w:rPr>
              <w:t>n</w:t>
            </w:r>
            <w:r w:rsidRPr="000F06B4">
              <w:rPr>
                <w:rFonts w:ascii="Segoe UI" w:hAnsi="Segoe UI" w:cs="Segoe UI"/>
                <w:sz w:val="21"/>
                <w:szCs w:val="21"/>
                <w:shd w:val="clear" w:color="auto" w:fill="FBFBFB"/>
              </w:rPr>
              <w:t>pp (</w:t>
            </w:r>
            <w:r>
              <w:rPr>
                <w:rFonts w:ascii="Segoe UI" w:hAnsi="Segoe UI" w:cs="Segoe UI"/>
                <w:sz w:val="21"/>
                <w:szCs w:val="21"/>
                <w:shd w:val="clear" w:color="auto" w:fill="FBFBFB"/>
              </w:rPr>
              <w:t>net_primary_production</w:t>
            </w:r>
            <w:r w:rsidRPr="000F06B4">
              <w:rPr>
                <w:rFonts w:ascii="Segoe UI" w:hAnsi="Segoe UI" w:cs="Segoe UI"/>
                <w:sz w:val="21"/>
                <w:szCs w:val="21"/>
                <w:shd w:val="clear" w:color="auto" w:fill="FBFBFB"/>
              </w:rPr>
              <w:t>)</w:t>
            </w:r>
          </w:p>
        </w:tc>
        <w:tc>
          <w:tcPr>
            <w:tcW w:w="1180" w:type="dxa"/>
            <w:vAlign w:val="center"/>
          </w:tcPr>
          <w:p w14:paraId="3D30A1E0" w14:textId="1BA82A32"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Kg</w:t>
            </w:r>
            <w:r w:rsidR="00D12412">
              <w:rPr>
                <w:rFonts w:ascii="Segoe UI" w:hAnsi="Segoe UI" w:cs="Segoe UI"/>
                <w:sz w:val="21"/>
                <w:szCs w:val="21"/>
                <w:shd w:val="clear" w:color="auto" w:fill="FBFBFB"/>
              </w:rPr>
              <w:t xml:space="preserve"> </w:t>
            </w:r>
            <w:r w:rsidRPr="000F06B4">
              <w:rPr>
                <w:rFonts w:ascii="Segoe UI" w:hAnsi="Segoe UI" w:cs="Segoe UI"/>
                <w:sz w:val="21"/>
                <w:szCs w:val="21"/>
                <w:shd w:val="clear" w:color="auto" w:fill="FBFBFB"/>
              </w:rPr>
              <w:t>m</w:t>
            </w:r>
            <w:r w:rsidRPr="000F06B4">
              <w:rPr>
                <w:rFonts w:ascii="Segoe UI" w:hAnsi="Segoe UI" w:cs="Segoe UI"/>
                <w:sz w:val="21"/>
                <w:szCs w:val="21"/>
                <w:shd w:val="clear" w:color="auto" w:fill="FBFBFB"/>
                <w:vertAlign w:val="superscript"/>
              </w:rPr>
              <w:t>-2</w:t>
            </w:r>
            <w:r w:rsidRPr="000F06B4">
              <w:rPr>
                <w:rFonts w:ascii="Segoe UI" w:hAnsi="Segoe UI" w:cs="Segoe UI"/>
                <w:sz w:val="21"/>
                <w:szCs w:val="21"/>
                <w:shd w:val="clear" w:color="auto" w:fill="FBFBFB"/>
              </w:rPr>
              <w:t xml:space="preserve"> s</w:t>
            </w:r>
            <w:r w:rsidRPr="000F06B4">
              <w:rPr>
                <w:rFonts w:ascii="Segoe UI" w:hAnsi="Segoe UI" w:cs="Segoe UI"/>
                <w:sz w:val="21"/>
                <w:szCs w:val="21"/>
                <w:shd w:val="clear" w:color="auto" w:fill="FBFBFB"/>
                <w:vertAlign w:val="superscript"/>
              </w:rPr>
              <w:t>-1</w:t>
            </w:r>
          </w:p>
        </w:tc>
        <w:tc>
          <w:tcPr>
            <w:tcW w:w="5286" w:type="dxa"/>
          </w:tcPr>
          <w:p w14:paraId="0DBEDB8E" w14:textId="4EA2881A" w:rsidR="000F06B4" w:rsidRPr="000F06B4" w:rsidRDefault="005E7F34" w:rsidP="000F06B4">
            <w:pPr>
              <w:rPr>
                <w:rFonts w:ascii="Segoe UI" w:hAnsi="Segoe UI" w:cs="Segoe UI"/>
                <w:sz w:val="21"/>
                <w:szCs w:val="21"/>
                <w:shd w:val="clear" w:color="auto" w:fill="FBFBFB"/>
              </w:rPr>
            </w:pPr>
            <w:r>
              <w:rPr>
                <w:rFonts w:ascii="Segoe UI" w:hAnsi="Segoe UI" w:cs="Segoe UI"/>
                <w:sz w:val="21"/>
                <w:szCs w:val="21"/>
                <w:shd w:val="clear" w:color="auto" w:fill="FBFBFB"/>
                <w:lang w:val="en-US"/>
              </w:rPr>
              <w:t>M</w:t>
            </w:r>
            <w:r w:rsidRPr="005E7F34">
              <w:rPr>
                <w:rFonts w:ascii="Segoe UI" w:hAnsi="Segoe UI" w:cs="Segoe UI"/>
                <w:sz w:val="21"/>
                <w:szCs w:val="21"/>
                <w:shd w:val="clear" w:color="auto" w:fill="FBFBFB"/>
              </w:rPr>
              <w:t>easure of the amount of carbon that is taken up by plants during photosynthesis and stored as organic matter in vegetation. It is an important indicator of the productivity of the Earth's ecosystems and a key component of the carbon cycle.</w:t>
            </w:r>
          </w:p>
        </w:tc>
      </w:tr>
      <w:tr w:rsidR="000F06B4" w:rsidRPr="000F06B4" w14:paraId="4A8128BC" w14:textId="77777777" w:rsidTr="000F06B4">
        <w:tc>
          <w:tcPr>
            <w:tcW w:w="2550" w:type="dxa"/>
            <w:vAlign w:val="center"/>
          </w:tcPr>
          <w:p w14:paraId="19B6938A" w14:textId="457DC2D5" w:rsidR="000F06B4" w:rsidRPr="000F06B4" w:rsidRDefault="000F06B4" w:rsidP="000F06B4">
            <w:pPr>
              <w:rPr>
                <w:rFonts w:ascii="Segoe UI" w:hAnsi="Segoe UI" w:cs="Segoe UI"/>
                <w:sz w:val="21"/>
                <w:szCs w:val="21"/>
                <w:shd w:val="clear" w:color="auto" w:fill="FBFBFB"/>
                <w:lang w:val="en-US"/>
              </w:rPr>
            </w:pPr>
            <w:r>
              <w:rPr>
                <w:rFonts w:ascii="Segoe UI" w:hAnsi="Segoe UI" w:cs="Segoe UI"/>
                <w:sz w:val="21"/>
                <w:szCs w:val="21"/>
                <w:shd w:val="clear" w:color="auto" w:fill="FBFBFB"/>
                <w:lang w:val="en-US"/>
              </w:rPr>
              <w:t>p</w:t>
            </w:r>
            <w:r w:rsidRPr="000F06B4">
              <w:rPr>
                <w:rFonts w:ascii="Segoe UI" w:hAnsi="Segoe UI" w:cs="Segoe UI"/>
                <w:sz w:val="21"/>
                <w:szCs w:val="21"/>
                <w:shd w:val="clear" w:color="auto" w:fill="FBFBFB"/>
              </w:rPr>
              <w:t>r</w:t>
            </w:r>
            <w:r>
              <w:rPr>
                <w:rFonts w:ascii="Segoe UI" w:hAnsi="Segoe UI" w:cs="Segoe UI"/>
                <w:sz w:val="21"/>
                <w:szCs w:val="21"/>
                <w:shd w:val="clear" w:color="auto" w:fill="FBFBFB"/>
                <w:lang w:val="en-US"/>
              </w:rPr>
              <w:t xml:space="preserve"> (precipitation)</w:t>
            </w:r>
          </w:p>
        </w:tc>
        <w:tc>
          <w:tcPr>
            <w:tcW w:w="1180" w:type="dxa"/>
            <w:vAlign w:val="center"/>
          </w:tcPr>
          <w:p w14:paraId="0C46CA69" w14:textId="245D813B"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Kg</w:t>
            </w:r>
            <w:r w:rsidR="00D12412">
              <w:rPr>
                <w:rFonts w:ascii="Segoe UI" w:hAnsi="Segoe UI" w:cs="Segoe UI"/>
                <w:sz w:val="21"/>
                <w:szCs w:val="21"/>
                <w:shd w:val="clear" w:color="auto" w:fill="FBFBFB"/>
              </w:rPr>
              <w:t xml:space="preserve"> </w:t>
            </w:r>
            <w:r w:rsidRPr="000F06B4">
              <w:rPr>
                <w:rFonts w:ascii="Segoe UI" w:hAnsi="Segoe UI" w:cs="Segoe UI"/>
                <w:sz w:val="21"/>
                <w:szCs w:val="21"/>
                <w:shd w:val="clear" w:color="auto" w:fill="FBFBFB"/>
              </w:rPr>
              <w:t>m</w:t>
            </w:r>
            <w:r w:rsidRPr="000F06B4">
              <w:rPr>
                <w:rFonts w:ascii="Segoe UI" w:hAnsi="Segoe UI" w:cs="Segoe UI"/>
                <w:sz w:val="21"/>
                <w:szCs w:val="21"/>
                <w:shd w:val="clear" w:color="auto" w:fill="FBFBFB"/>
                <w:vertAlign w:val="superscript"/>
              </w:rPr>
              <w:t>-2</w:t>
            </w:r>
            <w:r w:rsidRPr="000F06B4">
              <w:rPr>
                <w:rFonts w:ascii="Segoe UI" w:hAnsi="Segoe UI" w:cs="Segoe UI"/>
                <w:sz w:val="21"/>
                <w:szCs w:val="21"/>
                <w:shd w:val="clear" w:color="auto" w:fill="FBFBFB"/>
              </w:rPr>
              <w:t xml:space="preserve"> s</w:t>
            </w:r>
            <w:r w:rsidRPr="000F06B4">
              <w:rPr>
                <w:rFonts w:ascii="Segoe UI" w:hAnsi="Segoe UI" w:cs="Segoe UI"/>
                <w:sz w:val="21"/>
                <w:szCs w:val="21"/>
                <w:shd w:val="clear" w:color="auto" w:fill="FBFBFB"/>
                <w:vertAlign w:val="superscript"/>
              </w:rPr>
              <w:t>-1</w:t>
            </w:r>
          </w:p>
        </w:tc>
        <w:tc>
          <w:tcPr>
            <w:tcW w:w="5286" w:type="dxa"/>
          </w:tcPr>
          <w:p w14:paraId="12CFD73E" w14:textId="485E6D1D"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The sum of liquid and frozen water, comprising rain and snow, that falls to the Earth's surface. It is the sum of large-scale precipitation and convective precipitation. This parameter does not include fog, dew or the precipitation that evaporates in the atmosphere before it lands at the surface of the Earth. This variable represents amount of water per unit area and time.</w:t>
            </w:r>
          </w:p>
        </w:tc>
      </w:tr>
      <w:tr w:rsidR="000F06B4" w:rsidRPr="000F06B4" w14:paraId="74B9632F" w14:textId="77777777" w:rsidTr="000F06B4">
        <w:tc>
          <w:tcPr>
            <w:tcW w:w="2550" w:type="dxa"/>
            <w:vAlign w:val="center"/>
          </w:tcPr>
          <w:p w14:paraId="58048B83" w14:textId="1088A13F"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sst</w:t>
            </w:r>
          </w:p>
        </w:tc>
        <w:tc>
          <w:tcPr>
            <w:tcW w:w="1180" w:type="dxa"/>
            <w:vAlign w:val="center"/>
          </w:tcPr>
          <w:p w14:paraId="41690AEA" w14:textId="27E3CDC5"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K</w:t>
            </w:r>
          </w:p>
        </w:tc>
        <w:tc>
          <w:tcPr>
            <w:tcW w:w="5286" w:type="dxa"/>
          </w:tcPr>
          <w:p w14:paraId="75D4832E" w14:textId="14234391"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Temperature of sea water near the surface.</w:t>
            </w:r>
          </w:p>
        </w:tc>
      </w:tr>
      <w:tr w:rsidR="000F06B4" w:rsidRPr="000F06B4" w14:paraId="551AB910" w14:textId="77777777" w:rsidTr="000F06B4">
        <w:tc>
          <w:tcPr>
            <w:tcW w:w="2550" w:type="dxa"/>
            <w:vAlign w:val="center"/>
          </w:tcPr>
          <w:p w14:paraId="071EFC70" w14:textId="79EF707F"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Ts</w:t>
            </w:r>
          </w:p>
        </w:tc>
        <w:tc>
          <w:tcPr>
            <w:tcW w:w="1180" w:type="dxa"/>
            <w:vAlign w:val="center"/>
          </w:tcPr>
          <w:p w14:paraId="4AC6F9A0" w14:textId="6959CBF7"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K</w:t>
            </w:r>
          </w:p>
        </w:tc>
        <w:tc>
          <w:tcPr>
            <w:tcW w:w="5286" w:type="dxa"/>
          </w:tcPr>
          <w:p w14:paraId="4E635E05" w14:textId="25F6D80E"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Temperature at the interface (not the bulk temperature of the medium above or below) between air and sea for open-sea regions.</w:t>
            </w:r>
          </w:p>
        </w:tc>
      </w:tr>
      <w:tr w:rsidR="000F06B4" w:rsidRPr="000F06B4" w14:paraId="20003641" w14:textId="77777777" w:rsidTr="000F06B4">
        <w:tc>
          <w:tcPr>
            <w:tcW w:w="2550" w:type="dxa"/>
            <w:vAlign w:val="center"/>
          </w:tcPr>
          <w:p w14:paraId="7D3A6D15" w14:textId="66D074EB"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Tx90 (Warm days)</w:t>
            </w:r>
          </w:p>
        </w:tc>
        <w:tc>
          <w:tcPr>
            <w:tcW w:w="1180" w:type="dxa"/>
            <w:vAlign w:val="center"/>
          </w:tcPr>
          <w:p w14:paraId="4577A967" w14:textId="7AD29463" w:rsidR="000F06B4" w:rsidRPr="00B448CB" w:rsidRDefault="00B448CB" w:rsidP="000F06B4">
            <w:pPr>
              <w:rPr>
                <w:rFonts w:ascii="Segoe UI" w:hAnsi="Segoe UI" w:cs="Segoe UI"/>
                <w:sz w:val="21"/>
                <w:szCs w:val="21"/>
                <w:shd w:val="clear" w:color="auto" w:fill="FBFBFB"/>
                <w:lang w:val="en-US"/>
              </w:rPr>
            </w:pPr>
            <w:r>
              <w:rPr>
                <w:rFonts w:ascii="Segoe UI" w:hAnsi="Segoe UI" w:cs="Segoe UI"/>
                <w:sz w:val="21"/>
                <w:szCs w:val="21"/>
                <w:shd w:val="clear" w:color="auto" w:fill="FBFBFB"/>
                <w:lang w:val="en-US"/>
              </w:rPr>
              <w:t>%</w:t>
            </w:r>
          </w:p>
        </w:tc>
        <w:tc>
          <w:tcPr>
            <w:tcW w:w="5286" w:type="dxa"/>
          </w:tcPr>
          <w:p w14:paraId="1AAAA81E" w14:textId="17F562A6" w:rsidR="000F06B4" w:rsidRPr="000F06B4" w:rsidRDefault="000F06B4" w:rsidP="000F06B4">
            <w:pPr>
              <w:rPr>
                <w:rFonts w:ascii="Segoe UI" w:hAnsi="Segoe UI" w:cs="Segoe UI"/>
                <w:sz w:val="21"/>
                <w:szCs w:val="21"/>
                <w:shd w:val="clear" w:color="auto" w:fill="FBFBFB"/>
              </w:rPr>
            </w:pPr>
            <w:r w:rsidRPr="000F06B4">
              <w:rPr>
                <w:rFonts w:ascii="Segoe UI" w:hAnsi="Segoe UI" w:cs="Segoe UI"/>
                <w:sz w:val="21"/>
                <w:szCs w:val="21"/>
                <w:shd w:val="clear" w:color="auto" w:fill="FBFBFB"/>
              </w:rPr>
              <w:t>Percentage of days with maximum temperature above the corresponding calendar day 90th percentile of maximum temperature for a 5-day moving window in the base period.</w:t>
            </w:r>
          </w:p>
        </w:tc>
      </w:tr>
    </w:tbl>
    <w:p w14:paraId="297D4883" w14:textId="09CB47B6" w:rsidR="0075733B" w:rsidRPr="000F06B4" w:rsidRDefault="0075733B" w:rsidP="00647FED">
      <w:pPr>
        <w:rPr>
          <w:rFonts w:ascii="Segoe UI" w:hAnsi="Segoe UI" w:cs="Segoe UI"/>
          <w:sz w:val="21"/>
          <w:szCs w:val="21"/>
          <w:shd w:val="clear" w:color="auto" w:fill="FBFBFB"/>
        </w:rPr>
      </w:pPr>
    </w:p>
    <w:sectPr w:rsidR="0075733B" w:rsidRPr="000F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ED"/>
    <w:rsid w:val="000F06B4"/>
    <w:rsid w:val="001A3C1E"/>
    <w:rsid w:val="00286DF0"/>
    <w:rsid w:val="005E7F34"/>
    <w:rsid w:val="00647FED"/>
    <w:rsid w:val="0075733B"/>
    <w:rsid w:val="007B732B"/>
    <w:rsid w:val="0087665B"/>
    <w:rsid w:val="009F6924"/>
    <w:rsid w:val="00B448CB"/>
    <w:rsid w:val="00CA111C"/>
    <w:rsid w:val="00D12412"/>
    <w:rsid w:val="00D712A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220AFEB"/>
  <w15:chartTrackingRefBased/>
  <w15:docId w15:val="{A4DC0AC4-D478-E741-9F62-190FA0C6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Majambo Gamoyo</dc:creator>
  <cp:keywords/>
  <dc:description/>
  <cp:lastModifiedBy>Majambo Gamoyo</cp:lastModifiedBy>
  <cp:revision>8</cp:revision>
  <dcterms:created xsi:type="dcterms:W3CDTF">2023-05-03T19:24:00Z</dcterms:created>
  <dcterms:modified xsi:type="dcterms:W3CDTF">2023-05-04T11:39:00Z</dcterms:modified>
</cp:coreProperties>
</file>